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4" w:line="440" w:lineRule="exact"/>
        <w:outlineLvl w:val="0"/>
        <w:rPr>
          <w:rFonts w:ascii="Times New Roman" w:hAnsi="Times New Roman" w:eastAsia="黑体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0" w:lineRule="atLeast"/>
        <w:jc w:val="center"/>
        <w:rPr>
          <w:rFonts w:ascii="方正大标宋简体" w:eastAsia="方正大标宋简体"/>
          <w:sz w:val="44"/>
          <w:szCs w:val="44"/>
        </w:rPr>
      </w:pPr>
    </w:p>
    <w:p>
      <w:pPr>
        <w:spacing w:line="0" w:lineRule="atLeast"/>
        <w:jc w:val="center"/>
        <w:outlineLvl w:val="0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北交所股票启用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新证券</w:t>
      </w:r>
      <w:r>
        <w:rPr>
          <w:rFonts w:hint="eastAsia" w:ascii="方正大标宋简体" w:eastAsia="方正大标宋简体"/>
          <w:sz w:val="44"/>
          <w:szCs w:val="44"/>
        </w:rPr>
        <w:t>代</w:t>
      </w:r>
      <w:bookmarkStart w:id="0" w:name="_GoBack"/>
      <w:bookmarkEnd w:id="0"/>
      <w:r>
        <w:rPr>
          <w:rFonts w:hint="eastAsia" w:ascii="方正大标宋简体" w:eastAsia="方正大标宋简体"/>
          <w:sz w:val="44"/>
          <w:szCs w:val="44"/>
        </w:rPr>
        <w:t>码号段</w:t>
      </w:r>
    </w:p>
    <w:p>
      <w:pPr>
        <w:spacing w:line="0" w:lineRule="atLeast"/>
        <w:jc w:val="center"/>
        <w:outlineLvl w:val="0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仿真测试反馈报告</w:t>
      </w:r>
    </w:p>
    <w:p>
      <w:pPr>
        <w:spacing w:line="0" w:lineRule="atLeast"/>
        <w:jc w:val="left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96" w:type="dxa"/>
          </w:tcPr>
          <w:p>
            <w:pPr>
              <w:pStyle w:val="8"/>
              <w:spacing w:before="60" w:after="60" w:line="0" w:lineRule="atLeast"/>
              <w:ind w:firstLine="0" w:firstLineChars="0"/>
              <w:jc w:val="left"/>
              <w:rPr>
                <w:rFonts w:ascii="黑体" w:hAnsi="黑体" w:eastAsia="黑体" w:cs="Arial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sz w:val="28"/>
                <w:szCs w:val="28"/>
              </w:rPr>
              <w:t>一、</w:t>
            </w:r>
            <w:r>
              <w:rPr>
                <w:rFonts w:ascii="黑体" w:hAnsi="黑体" w:eastAsia="黑体" w:cs="Arial"/>
                <w:sz w:val="28"/>
                <w:szCs w:val="28"/>
              </w:rPr>
              <w:t>参测机构名称：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96" w:type="dxa"/>
          </w:tcPr>
          <w:p>
            <w:pPr>
              <w:pStyle w:val="8"/>
              <w:spacing w:before="60" w:after="60" w:line="0" w:lineRule="atLeast"/>
              <w:ind w:firstLine="0" w:firstLineChars="0"/>
              <w:jc w:val="left"/>
              <w:rPr>
                <w:rFonts w:ascii="黑体" w:hAnsi="黑体" w:eastAsia="黑体" w:cs="Arial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sz w:val="28"/>
                <w:szCs w:val="28"/>
              </w:rPr>
              <w:t>二、</w:t>
            </w:r>
            <w:r>
              <w:rPr>
                <w:rFonts w:ascii="黑体" w:hAnsi="黑体" w:eastAsia="黑体" w:cs="Arial"/>
                <w:sz w:val="28"/>
                <w:szCs w:val="28"/>
              </w:rPr>
              <w:t>测试时间</w:t>
            </w:r>
          </w:p>
          <w:p>
            <w:pPr>
              <w:pStyle w:val="8"/>
              <w:spacing w:before="60" w:after="60" w:line="0" w:lineRule="atLeast"/>
              <w:ind w:firstLine="56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□第一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轮仿真（2024年2月19日至2024年3月1日）</w:t>
            </w:r>
          </w:p>
          <w:p>
            <w:pPr>
              <w:spacing w:line="0" w:lineRule="atLeas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□第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二轮仿真（2024年3月4日至2024年3月15日）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before="60" w:after="60" w:line="0" w:lineRule="atLeas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三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、测试情况</w:t>
            </w:r>
          </w:p>
          <w:p>
            <w:pPr>
              <w:spacing w:before="60" w:after="60"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能正常进行市价、限价、申购、询价、大宗交易等各类申报。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□通过       □未通过     □未测      </w:t>
            </w:r>
          </w:p>
          <w:p>
            <w:pPr>
              <w:spacing w:before="60" w:after="60"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2.申报过程中能够正确的进行资金冻结处理。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□通过       □未通过     □未测      </w:t>
            </w:r>
          </w:p>
          <w:p>
            <w:pPr>
              <w:spacing w:before="60" w:after="60"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3.能够正常接收并揭示北交所各类行情信息，新代码和原新三板代码不做关联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。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□通过       □未通过     □未测      </w:t>
            </w:r>
          </w:p>
          <w:p>
            <w:pPr>
              <w:spacing w:before="60" w:after="60"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4.能够正确接收、处理北交所下发的适当性、分层信息等各类文件。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通过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未通过     □未测      </w:t>
            </w:r>
          </w:p>
          <w:p>
            <w:pPr>
              <w:numPr>
                <w:ilvl w:val="0"/>
                <w:numId w:val="1"/>
              </w:numPr>
              <w:spacing w:before="60" w:after="60"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能够正常完成北交所股票的清算交收。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通过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未通过     □未测      </w:t>
            </w:r>
          </w:p>
          <w:p>
            <w:pPr>
              <w:spacing w:before="60" w:after="60"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6.融资融券相关业务未见异常。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□通过       □未通过     □未测       □不涉及</w:t>
            </w:r>
          </w:p>
          <w:p>
            <w:pPr>
              <w:spacing w:before="60" w:after="60"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北交所做市商做市系统未见异常，可正常履行做市义务。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□通过       □未通过     □未测       □不涉及</w:t>
            </w:r>
          </w:p>
          <w:p>
            <w:pPr>
              <w:spacing w:before="60" w:after="60"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val="e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技术系统原有各项业务（新三板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挂牌公司股票及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优先股、可转债、要约等）运行正常。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□通过       □未通过     □未测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before="60" w:after="60" w:line="0" w:lineRule="atLeas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三、测试结论</w:t>
            </w:r>
          </w:p>
          <w:p>
            <w:pPr>
              <w:spacing w:before="60" w:after="60"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能够正确完成所有业务测试场景，达到上线要求。</w:t>
            </w:r>
          </w:p>
          <w:p>
            <w:pPr>
              <w:spacing w:before="60" w:after="60" w:line="0" w:lineRule="atLeas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□完全通过   □部分通过   □未通过</w:t>
            </w:r>
          </w:p>
          <w:p>
            <w:pPr>
              <w:spacing w:before="60" w:after="60"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注：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如果选择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“部分通过”或“未通过”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，请在问题记录中写明详细情况、原因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。尚未完成技术改造的，请填写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预期改造完成时间。）</w:t>
            </w:r>
          </w:p>
          <w:p>
            <w:pPr>
              <w:spacing w:before="60" w:after="60" w:line="0" w:lineRule="atLeas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before="60" w:after="60" w:line="0" w:lineRule="atLeast"/>
              <w:jc w:val="left"/>
              <w:rPr>
                <w:rFonts w:ascii="黑体" w:hAnsi="黑体" w:eastAsia="黑体" w:cs="Arial"/>
                <w:sz w:val="28"/>
                <w:szCs w:val="28"/>
              </w:rPr>
            </w:pPr>
            <w:r>
              <w:rPr>
                <w:rFonts w:ascii="黑体" w:hAnsi="黑体" w:eastAsia="黑体" w:cs="Arial"/>
                <w:sz w:val="28"/>
                <w:szCs w:val="28"/>
              </w:rPr>
              <w:t>四</w:t>
            </w:r>
            <w:r>
              <w:rPr>
                <w:rFonts w:hint="eastAsia" w:ascii="黑体" w:hAnsi="黑体" w:eastAsia="黑体" w:cs="Arial"/>
                <w:sz w:val="28"/>
                <w:szCs w:val="28"/>
              </w:rPr>
              <w:t>、</w:t>
            </w:r>
            <w:r>
              <w:rPr>
                <w:rFonts w:ascii="黑体" w:hAnsi="黑体" w:eastAsia="黑体" w:cs="Arial"/>
                <w:sz w:val="28"/>
                <w:szCs w:val="28"/>
              </w:rPr>
              <w:t>问题记录</w:t>
            </w:r>
          </w:p>
          <w:p>
            <w:pPr>
              <w:spacing w:before="60" w:after="60" w:line="0" w:lineRule="atLeast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spacing w:before="60" w:after="60" w:line="0" w:lineRule="atLeast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spacing w:before="60" w:after="60" w:line="0" w:lineRule="atLeast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spacing w:before="60" w:after="60" w:line="0" w:lineRule="atLeast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spacing w:before="60" w:after="60" w:line="0" w:lineRule="atLeast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spacing w:before="60" w:after="60" w:line="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注：测试中发现的问题，请在本栏描述。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296" w:type="dxa"/>
          </w:tcPr>
          <w:p>
            <w:pPr>
              <w:spacing w:before="60" w:after="60" w:line="0" w:lineRule="atLeast"/>
              <w:jc w:val="lef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黑体" w:hAnsi="黑体" w:eastAsia="黑体" w:cs="Arial"/>
                <w:sz w:val="28"/>
                <w:szCs w:val="28"/>
              </w:rPr>
              <w:t>测试负责人：</w:t>
            </w:r>
          </w:p>
          <w:p>
            <w:pPr>
              <w:spacing w:before="60" w:after="60" w:line="0" w:lineRule="atLeast"/>
              <w:jc w:val="left"/>
              <w:rPr>
                <w:rFonts w:ascii="黑体" w:hAnsi="黑体" w:eastAsia="黑体" w:cs="Arial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ascii="黑体" w:hAnsi="黑体" w:eastAsia="黑体" w:cs="Arial"/>
                <w:sz w:val="28"/>
                <w:szCs w:val="28"/>
              </w:rPr>
              <w:t>联系电话（固话和手机）：</w:t>
            </w:r>
          </w:p>
          <w:p>
            <w:pPr>
              <w:spacing w:before="60" w:after="60" w:line="0" w:lineRule="atLeast"/>
              <w:jc w:val="left"/>
              <w:rPr>
                <w:rFonts w:ascii="黑体" w:hAnsi="黑体" w:eastAsia="黑体" w:cs="Arial"/>
                <w:sz w:val="28"/>
                <w:szCs w:val="28"/>
              </w:rPr>
            </w:pPr>
          </w:p>
          <w:p>
            <w:pPr>
              <w:spacing w:before="60" w:after="60" w:line="0" w:lineRule="atLeast"/>
              <w:jc w:val="left"/>
              <w:rPr>
                <w:rFonts w:ascii="黑体" w:hAnsi="黑体" w:eastAsia="黑体" w:cs="Arial"/>
                <w:sz w:val="28"/>
                <w:szCs w:val="28"/>
              </w:rPr>
            </w:pPr>
          </w:p>
        </w:tc>
      </w:tr>
    </w:tbl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  <w:rPr>
          <w:rFonts w:ascii="Times New Roman" w:hAnsi="Times New Roman" w:eastAsia="楷体" w:cs="Times New Roman"/>
          <w:sz w:val="24"/>
          <w:szCs w:val="28"/>
        </w:rPr>
      </w:pPr>
      <w:r>
        <w:br w:type="textWrapping"/>
      </w:r>
      <w:r>
        <w:rPr>
          <w:rFonts w:ascii="Times New Roman" w:hAnsi="Times New Roman" w:eastAsia="楷体" w:cs="Times New Roman"/>
          <w:sz w:val="24"/>
          <w:szCs w:val="28"/>
        </w:rPr>
        <w:t>注：测试结束后，各</w:t>
      </w:r>
      <w:r>
        <w:rPr>
          <w:rFonts w:hint="eastAsia" w:ascii="Times New Roman" w:hAnsi="Times New Roman" w:eastAsia="楷体" w:cs="Times New Roman"/>
          <w:sz w:val="24"/>
          <w:szCs w:val="28"/>
        </w:rPr>
        <w:t>证券公司、参测基金公司和信息商应收集各自</w:t>
      </w:r>
      <w:r>
        <w:rPr>
          <w:rFonts w:ascii="Times New Roman" w:hAnsi="Times New Roman" w:eastAsia="楷体" w:cs="Times New Roman"/>
          <w:sz w:val="24"/>
          <w:szCs w:val="28"/>
        </w:rPr>
        <w:t>技术系统的测试情况，</w:t>
      </w:r>
      <w:r>
        <w:rPr>
          <w:rFonts w:hint="eastAsia" w:ascii="Times New Roman" w:hAnsi="Times New Roman" w:eastAsia="楷体" w:cs="Times New Roman"/>
          <w:sz w:val="24"/>
          <w:szCs w:val="28"/>
        </w:rPr>
        <w:t>并于测试结束当日（第一轮：2024年3月1日，第二轮：2024年3月15日）17:</w:t>
      </w:r>
      <w:r>
        <w:rPr>
          <w:rFonts w:ascii="Times New Roman" w:hAnsi="Times New Roman" w:eastAsia="楷体" w:cs="Times New Roman"/>
          <w:sz w:val="24"/>
          <w:szCs w:val="28"/>
        </w:rPr>
        <w:t>00之前通过</w:t>
      </w:r>
      <w:r>
        <w:rPr>
          <w:rFonts w:hint="eastAsia" w:ascii="Times New Roman" w:hAnsi="Times New Roman" w:eastAsia="楷体" w:cs="Times New Roman"/>
          <w:sz w:val="24"/>
          <w:szCs w:val="28"/>
        </w:rPr>
        <w:t>电子邮件</w:t>
      </w:r>
      <w:r>
        <w:rPr>
          <w:rFonts w:ascii="Times New Roman" w:hAnsi="Times New Roman" w:eastAsia="楷体" w:cs="Times New Roman"/>
          <w:sz w:val="24"/>
          <w:szCs w:val="28"/>
        </w:rPr>
        <w:t>向</w:t>
      </w:r>
      <w:r>
        <w:rPr>
          <w:rFonts w:hint="eastAsia" w:ascii="Times New Roman" w:hAnsi="Times New Roman" w:eastAsia="楷体" w:cs="Times New Roman"/>
          <w:sz w:val="24"/>
          <w:szCs w:val="28"/>
        </w:rPr>
        <w:t>北交所</w:t>
      </w:r>
      <w:r>
        <w:rPr>
          <w:rFonts w:ascii="Times New Roman" w:hAnsi="Times New Roman" w:eastAsia="楷体" w:cs="Times New Roman"/>
          <w:sz w:val="24"/>
          <w:szCs w:val="28"/>
        </w:rPr>
        <w:t>提交测试报告（</w:t>
      </w:r>
      <w:r>
        <w:rPr>
          <w:rFonts w:hint="eastAsia" w:ascii="Times New Roman" w:hAnsi="Times New Roman" w:eastAsia="楷体" w:cs="Times New Roman"/>
          <w:sz w:val="24"/>
          <w:szCs w:val="28"/>
        </w:rPr>
        <w:t>无需盖章</w:t>
      </w:r>
      <w:r>
        <w:rPr>
          <w:rFonts w:ascii="Times New Roman" w:hAnsi="Times New Roman" w:eastAsia="楷体" w:cs="Times New Roman"/>
          <w:sz w:val="24"/>
          <w:szCs w:val="28"/>
        </w:rPr>
        <w:t>）</w:t>
      </w:r>
      <w:r>
        <w:rPr>
          <w:rFonts w:hint="eastAsia" w:ascii="Times New Roman" w:hAnsi="Times New Roman" w:eastAsia="楷体" w:cs="Times New Roman"/>
          <w:sz w:val="24"/>
          <w:szCs w:val="28"/>
        </w:rPr>
        <w:t>，</w:t>
      </w:r>
      <w:r>
        <w:rPr>
          <w:rFonts w:ascii="Times New Roman" w:hAnsi="Times New Roman" w:eastAsia="楷体" w:cs="Times New Roman"/>
          <w:sz w:val="24"/>
          <w:szCs w:val="28"/>
        </w:rPr>
        <w:t>邮件主题</w:t>
      </w:r>
      <w:r>
        <w:rPr>
          <w:rFonts w:hint="eastAsia" w:ascii="Times New Roman" w:hAnsi="Times New Roman" w:eastAsia="楷体" w:cs="Times New Roman"/>
          <w:sz w:val="24"/>
          <w:szCs w:val="28"/>
        </w:rPr>
        <w:t>和附件名称</w:t>
      </w:r>
      <w:r>
        <w:rPr>
          <w:rFonts w:ascii="Times New Roman" w:hAnsi="Times New Roman" w:eastAsia="楷体" w:cs="Times New Roman"/>
          <w:sz w:val="24"/>
          <w:szCs w:val="28"/>
        </w:rPr>
        <w:t>均为：</w:t>
      </w:r>
      <w:r>
        <w:rPr>
          <w:rFonts w:hint="eastAsia" w:ascii="Times New Roman" w:hAnsi="Times New Roman" w:eastAsia="楷体" w:cs="Times New Roman"/>
          <w:sz w:val="24"/>
          <w:szCs w:val="28"/>
        </w:rPr>
        <w:t>机构</w:t>
      </w:r>
      <w:r>
        <w:rPr>
          <w:rFonts w:ascii="Times New Roman" w:hAnsi="Times New Roman" w:eastAsia="楷体" w:cs="Times New Roman"/>
          <w:sz w:val="24"/>
          <w:szCs w:val="28"/>
        </w:rPr>
        <w:t>名称+</w:t>
      </w:r>
      <w:r>
        <w:rPr>
          <w:rFonts w:hint="eastAsia" w:ascii="Times New Roman" w:hAnsi="Times New Roman" w:eastAsia="楷体" w:cs="Times New Roman"/>
          <w:sz w:val="24"/>
          <w:szCs w:val="28"/>
        </w:rPr>
        <w:t>北交所股票启用</w:t>
      </w:r>
      <w:r>
        <w:rPr>
          <w:rFonts w:hint="eastAsia" w:ascii="Times New Roman" w:hAnsi="Times New Roman" w:eastAsia="楷体" w:cs="Times New Roman"/>
          <w:sz w:val="24"/>
          <w:szCs w:val="28"/>
          <w:lang w:eastAsia="zh-CN"/>
        </w:rPr>
        <w:t>新证券</w:t>
      </w:r>
      <w:r>
        <w:rPr>
          <w:rFonts w:hint="eastAsia" w:ascii="Times New Roman" w:hAnsi="Times New Roman" w:eastAsia="楷体" w:cs="Times New Roman"/>
          <w:sz w:val="24"/>
          <w:szCs w:val="28"/>
        </w:rPr>
        <w:t>代码号段</w:t>
      </w:r>
      <w:r>
        <w:rPr>
          <w:rFonts w:hint="eastAsia" w:ascii="Times New Roman" w:hAnsi="Times New Roman" w:eastAsia="楷体" w:cs="Times New Roman"/>
          <w:sz w:val="24"/>
          <w:szCs w:val="28"/>
          <w:lang w:val="en"/>
        </w:rPr>
        <w:t>第</w:t>
      </w:r>
      <w:r>
        <w:rPr>
          <w:rFonts w:hint="eastAsia" w:ascii="Times New Roman" w:hAnsi="Times New Roman" w:eastAsia="楷体" w:cs="Times New Roman"/>
          <w:sz w:val="24"/>
          <w:szCs w:val="28"/>
        </w:rPr>
        <w:t>N轮仿真</w:t>
      </w:r>
      <w:r>
        <w:rPr>
          <w:rFonts w:ascii="Times New Roman" w:hAnsi="Times New Roman" w:eastAsia="楷体" w:cs="Times New Roman"/>
          <w:sz w:val="24"/>
          <w:szCs w:val="28"/>
        </w:rPr>
        <w:t>测试</w:t>
      </w:r>
      <w:r>
        <w:rPr>
          <w:rFonts w:hint="eastAsia" w:ascii="Times New Roman" w:hAnsi="Times New Roman" w:eastAsia="楷体" w:cs="Times New Roman"/>
          <w:sz w:val="24"/>
          <w:szCs w:val="28"/>
        </w:rPr>
        <w:t>报告，</w:t>
      </w:r>
      <w:r>
        <w:rPr>
          <w:rFonts w:ascii="Times New Roman" w:hAnsi="Times New Roman" w:eastAsia="楷体" w:cs="Times New Roman"/>
          <w:sz w:val="24"/>
          <w:szCs w:val="28"/>
        </w:rPr>
        <w:t>收件邮箱为</w:t>
      </w:r>
      <w:r>
        <w:rPr>
          <w:rFonts w:hint="eastAsia" w:ascii="Times New Roman" w:hAnsi="Times New Roman" w:eastAsia="楷体" w:cs="Times New Roman"/>
          <w:sz w:val="24"/>
          <w:szCs w:val="28"/>
        </w:rPr>
        <w:t>：</w:t>
      </w:r>
      <w:r>
        <w:fldChar w:fldCharType="begin"/>
      </w:r>
      <w:r>
        <w:instrText xml:space="preserve"> HYPERLINK "mailto:techservice@neeq.com.cn" </w:instrText>
      </w:r>
      <w:r>
        <w:fldChar w:fldCharType="separate"/>
      </w:r>
      <w:r>
        <w:rPr>
          <w:rFonts w:hint="eastAsia" w:ascii="Times New Roman" w:hAnsi="Times New Roman" w:eastAsia="楷体" w:cs="Times New Roman"/>
          <w:sz w:val="24"/>
          <w:szCs w:val="28"/>
        </w:rPr>
        <w:t>techservice@neeq.com.cn</w:t>
      </w:r>
      <w:r>
        <w:rPr>
          <w:rFonts w:hint="eastAsia" w:ascii="Times New Roman" w:hAnsi="Times New Roman" w:eastAsia="楷体" w:cs="Times New Roman"/>
          <w:sz w:val="24"/>
          <w:szCs w:val="28"/>
        </w:rPr>
        <w:fldChar w:fldCharType="end"/>
      </w:r>
      <w:r>
        <w:rPr>
          <w:rFonts w:ascii="Times New Roman" w:hAnsi="Times New Roman" w:eastAsia="楷体" w:cs="Times New Roman"/>
          <w:sz w:val="24"/>
          <w:szCs w:val="28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7169124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79165758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64EA7"/>
    <w:multiLevelType w:val="singleLevel"/>
    <w:tmpl w:val="FBE64EA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A8"/>
    <w:rsid w:val="00030C62"/>
    <w:rsid w:val="00051C20"/>
    <w:rsid w:val="000F10B6"/>
    <w:rsid w:val="00130595"/>
    <w:rsid w:val="00255DDF"/>
    <w:rsid w:val="00322042"/>
    <w:rsid w:val="003A719A"/>
    <w:rsid w:val="003B4AA8"/>
    <w:rsid w:val="003E7A93"/>
    <w:rsid w:val="004C25E3"/>
    <w:rsid w:val="005258A4"/>
    <w:rsid w:val="0066266D"/>
    <w:rsid w:val="00681E6B"/>
    <w:rsid w:val="006C1E89"/>
    <w:rsid w:val="006F059A"/>
    <w:rsid w:val="00822087"/>
    <w:rsid w:val="008A6B97"/>
    <w:rsid w:val="009879A7"/>
    <w:rsid w:val="009879C6"/>
    <w:rsid w:val="00A55770"/>
    <w:rsid w:val="00AC6261"/>
    <w:rsid w:val="00AD31F1"/>
    <w:rsid w:val="00B33350"/>
    <w:rsid w:val="00B75920"/>
    <w:rsid w:val="00C56CE1"/>
    <w:rsid w:val="00C933F1"/>
    <w:rsid w:val="00C94C3D"/>
    <w:rsid w:val="00CA37AF"/>
    <w:rsid w:val="00D15D74"/>
    <w:rsid w:val="00D434A8"/>
    <w:rsid w:val="00D94A4E"/>
    <w:rsid w:val="00E35C9E"/>
    <w:rsid w:val="00E95E00"/>
    <w:rsid w:val="00F20D72"/>
    <w:rsid w:val="00F44274"/>
    <w:rsid w:val="00FA39EC"/>
    <w:rsid w:val="03D9ACEF"/>
    <w:rsid w:val="0A772342"/>
    <w:rsid w:val="15796B0D"/>
    <w:rsid w:val="15CEFEA2"/>
    <w:rsid w:val="17FF0A54"/>
    <w:rsid w:val="1BFCE234"/>
    <w:rsid w:val="36FB5734"/>
    <w:rsid w:val="3799C458"/>
    <w:rsid w:val="3ABF3CAC"/>
    <w:rsid w:val="3BB29D43"/>
    <w:rsid w:val="3BBDC055"/>
    <w:rsid w:val="3BFF6F1D"/>
    <w:rsid w:val="3E969E0E"/>
    <w:rsid w:val="3EB377F2"/>
    <w:rsid w:val="3EBFCBF2"/>
    <w:rsid w:val="3EFF8A4B"/>
    <w:rsid w:val="3F7AE1CA"/>
    <w:rsid w:val="3F7F0C67"/>
    <w:rsid w:val="3FDF8113"/>
    <w:rsid w:val="47FB12F6"/>
    <w:rsid w:val="4EDFCC35"/>
    <w:rsid w:val="4F5FD904"/>
    <w:rsid w:val="4FDF5ABD"/>
    <w:rsid w:val="4FFE035D"/>
    <w:rsid w:val="55FFF753"/>
    <w:rsid w:val="5757D02A"/>
    <w:rsid w:val="58D76499"/>
    <w:rsid w:val="5AF6E261"/>
    <w:rsid w:val="5DBF74CE"/>
    <w:rsid w:val="5EED6B51"/>
    <w:rsid w:val="5F7B0672"/>
    <w:rsid w:val="5F9E2A7E"/>
    <w:rsid w:val="5FFD4F20"/>
    <w:rsid w:val="5FFDE180"/>
    <w:rsid w:val="637FF77A"/>
    <w:rsid w:val="6BFF38C5"/>
    <w:rsid w:val="6E79CB86"/>
    <w:rsid w:val="6EBE9E74"/>
    <w:rsid w:val="6FBD66D6"/>
    <w:rsid w:val="6FF7E4D9"/>
    <w:rsid w:val="71F7EEC8"/>
    <w:rsid w:val="735B3963"/>
    <w:rsid w:val="75FCE1AC"/>
    <w:rsid w:val="760F0B06"/>
    <w:rsid w:val="76EEC450"/>
    <w:rsid w:val="76FD742A"/>
    <w:rsid w:val="76FFA220"/>
    <w:rsid w:val="777FD2E6"/>
    <w:rsid w:val="78F6AFEC"/>
    <w:rsid w:val="7953A586"/>
    <w:rsid w:val="797F0C6E"/>
    <w:rsid w:val="79FD22D7"/>
    <w:rsid w:val="79FD7544"/>
    <w:rsid w:val="7ABF9DBB"/>
    <w:rsid w:val="7AF6780B"/>
    <w:rsid w:val="7AF77DEC"/>
    <w:rsid w:val="7BBBE419"/>
    <w:rsid w:val="7BD98582"/>
    <w:rsid w:val="7BFCC625"/>
    <w:rsid w:val="7C7D7FA8"/>
    <w:rsid w:val="7CB6FC75"/>
    <w:rsid w:val="7D72A174"/>
    <w:rsid w:val="7D7F7417"/>
    <w:rsid w:val="7DDD760B"/>
    <w:rsid w:val="7DFF9F52"/>
    <w:rsid w:val="7E8D9F15"/>
    <w:rsid w:val="7ED79364"/>
    <w:rsid w:val="7EDE70AD"/>
    <w:rsid w:val="7EF29645"/>
    <w:rsid w:val="7EF4C752"/>
    <w:rsid w:val="7F6F463C"/>
    <w:rsid w:val="7FAF9AD7"/>
    <w:rsid w:val="7FBBE7EA"/>
    <w:rsid w:val="7FBE3A51"/>
    <w:rsid w:val="7FC62354"/>
    <w:rsid w:val="7FD073FA"/>
    <w:rsid w:val="7FD7EA07"/>
    <w:rsid w:val="7FF50DB3"/>
    <w:rsid w:val="7FFA2750"/>
    <w:rsid w:val="7FFF0DEC"/>
    <w:rsid w:val="89970294"/>
    <w:rsid w:val="97D56C17"/>
    <w:rsid w:val="9FCDF9A5"/>
    <w:rsid w:val="A6EFC633"/>
    <w:rsid w:val="A7DD3774"/>
    <w:rsid w:val="AEAF0AAA"/>
    <w:rsid w:val="AFDE12FA"/>
    <w:rsid w:val="B674C3DB"/>
    <w:rsid w:val="B7F32B0E"/>
    <w:rsid w:val="BE7B697E"/>
    <w:rsid w:val="BEFF342F"/>
    <w:rsid w:val="BFF1E876"/>
    <w:rsid w:val="BFFF285B"/>
    <w:rsid w:val="C6B7EA13"/>
    <w:rsid w:val="C7DF9328"/>
    <w:rsid w:val="C974431C"/>
    <w:rsid w:val="CDE9CF95"/>
    <w:rsid w:val="D1D70023"/>
    <w:rsid w:val="DB5CECD3"/>
    <w:rsid w:val="DD3FC460"/>
    <w:rsid w:val="DD6B9DE1"/>
    <w:rsid w:val="DDEF2A55"/>
    <w:rsid w:val="DEFE5AB4"/>
    <w:rsid w:val="DF73F790"/>
    <w:rsid w:val="DFDB83AF"/>
    <w:rsid w:val="DFFC362E"/>
    <w:rsid w:val="E7CB0401"/>
    <w:rsid w:val="E9671C18"/>
    <w:rsid w:val="EBEF2783"/>
    <w:rsid w:val="ECF73FF2"/>
    <w:rsid w:val="EED38A74"/>
    <w:rsid w:val="EEFCE7FC"/>
    <w:rsid w:val="EFEEDEA2"/>
    <w:rsid w:val="EFFF3FD4"/>
    <w:rsid w:val="F4EEEC03"/>
    <w:rsid w:val="F75C22CE"/>
    <w:rsid w:val="F7AF9381"/>
    <w:rsid w:val="F7DD92E8"/>
    <w:rsid w:val="F7ED2D55"/>
    <w:rsid w:val="F96F22D0"/>
    <w:rsid w:val="F9EDE235"/>
    <w:rsid w:val="FB0F7AAE"/>
    <w:rsid w:val="FBBF32FA"/>
    <w:rsid w:val="FBFDCC5D"/>
    <w:rsid w:val="FBFF3E58"/>
    <w:rsid w:val="FD6F600B"/>
    <w:rsid w:val="FE2F5B5A"/>
    <w:rsid w:val="FE7D9353"/>
    <w:rsid w:val="FECDA975"/>
    <w:rsid w:val="FEEFA429"/>
    <w:rsid w:val="FEF9B186"/>
    <w:rsid w:val="FEFEC111"/>
    <w:rsid w:val="FEFF4A26"/>
    <w:rsid w:val="FF599AE5"/>
    <w:rsid w:val="FF5B9A42"/>
    <w:rsid w:val="FF5F1E14"/>
    <w:rsid w:val="FF722301"/>
    <w:rsid w:val="FF9C9063"/>
    <w:rsid w:val="FFBD2464"/>
    <w:rsid w:val="FFEC1714"/>
    <w:rsid w:val="FFFB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829</Characters>
  <Lines>6</Lines>
  <Paragraphs>1</Paragraphs>
  <TotalTime>2</TotalTime>
  <ScaleCrop>false</ScaleCrop>
  <LinksUpToDate>false</LinksUpToDate>
  <CharactersWithSpaces>973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2022-09-23T07:42:00Z</dcterms:created>
  <dc:creator>张恒zh</dc:creator>
  <cp:lastModifiedBy>fuyl</cp:lastModifiedBy>
  <dcterms:modified xsi:type="dcterms:W3CDTF">2024-02-01T09:49:32Z</dcterms:modified>
  <dc:title>北证办发〔2023〕X号附件2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