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723"/>
        <w:rPr>
          <w:rFonts w:ascii="方正大标宋简体" w:eastAsia="方正大标宋简体" w:cs="Times New Roman"/>
          <w:b/>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spacing w:line="240" w:lineRule="auto"/>
        <w:ind w:firstLine="840"/>
        <w:jc w:val="center"/>
        <w:rPr>
          <w:rFonts w:ascii="方正大标宋简体" w:eastAsia="方正大标宋简体" w:cs="Times New Roman"/>
          <w:color w:val="000000" w:themeColor="text1"/>
          <w:sz w:val="42"/>
          <w:szCs w:val="42"/>
          <w:lang w:val="en"/>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北交所</w:t>
      </w:r>
      <w:r>
        <w:rPr>
          <w:rFonts w:hint="eastAsia" w:ascii="方正大标宋简体" w:eastAsia="方正大标宋简体" w:cs="Times New Roman"/>
          <w:color w:val="000000" w:themeColor="text1"/>
          <w:sz w:val="42"/>
          <w:szCs w:val="42"/>
          <w:lang w:val="en"/>
          <w14:textFill>
            <w14:solidFill>
              <w14:schemeClr w14:val="tx1"/>
            </w14:solidFill>
          </w14:textFill>
        </w:rPr>
        <w:t>股票启用</w:t>
      </w:r>
      <w:bookmarkStart w:id="103" w:name="_GoBack"/>
      <w:bookmarkEnd w:id="103"/>
      <w:r>
        <w:rPr>
          <w:rFonts w:hint="eastAsia" w:ascii="方正大标宋简体" w:eastAsia="方正大标宋简体" w:cs="Times New Roman"/>
          <w:color w:val="000000" w:themeColor="text1"/>
          <w:sz w:val="42"/>
          <w:szCs w:val="42"/>
          <w:lang w:val="en" w:eastAsia="zh-CN"/>
          <w14:textFill>
            <w14:solidFill>
              <w14:schemeClr w14:val="tx1"/>
            </w14:solidFill>
          </w14:textFill>
        </w:rPr>
        <w:t>新证券</w:t>
      </w:r>
      <w:r>
        <w:rPr>
          <w:rFonts w:hint="eastAsia" w:ascii="方正大标宋简体" w:eastAsia="方正大标宋简体" w:cs="Times New Roman"/>
          <w:color w:val="000000" w:themeColor="text1"/>
          <w:sz w:val="42"/>
          <w:szCs w:val="42"/>
          <w:lang w:val="en"/>
          <w14:textFill>
            <w14:solidFill>
              <w14:schemeClr w14:val="tx1"/>
            </w14:solidFill>
          </w14:textFill>
        </w:rPr>
        <w:t>代码号段</w:t>
      </w:r>
    </w:p>
    <w:p>
      <w:pPr>
        <w:spacing w:line="240" w:lineRule="auto"/>
        <w:ind w:firstLine="840"/>
        <w:jc w:val="center"/>
        <w:rPr>
          <w:rFonts w:ascii="方正大标宋简体" w:eastAsia="方正大标宋简体" w:cs="Times New Roman"/>
          <w:color w:val="000000" w:themeColor="text1"/>
          <w:sz w:val="42"/>
          <w:szCs w:val="42"/>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仿真测试方案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二四年二月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515"/>
        <w:gridCol w:w="1604"/>
        <w:gridCol w:w="5386"/>
      </w:tblGrid>
      <w:tr>
        <w:tblPrEx>
          <w:tblCellMar>
            <w:top w:w="0" w:type="dxa"/>
            <w:left w:w="108" w:type="dxa"/>
            <w:bottom w:w="0" w:type="dxa"/>
            <w:right w:w="108" w:type="dxa"/>
          </w:tblCellMar>
        </w:tblPrEx>
        <w:trPr>
          <w:cantSplit/>
          <w:jc w:val="center"/>
        </w:trPr>
        <w:tc>
          <w:tcPr>
            <w:tcW w:w="1515"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6990"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北交所股票启用</w:t>
            </w:r>
            <w:r>
              <w:rPr>
                <w:rFonts w:hint="eastAsia" w:ascii="Times New Roman" w:hAnsi="Times New Roman" w:eastAsia="方正仿宋简体"/>
                <w:color w:val="000000" w:themeColor="text1"/>
                <w:szCs w:val="24"/>
                <w:lang w:eastAsia="zh-CN"/>
                <w14:textFill>
                  <w14:solidFill>
                    <w14:schemeClr w14:val="tx1"/>
                  </w14:solidFill>
                </w14:textFill>
              </w:rPr>
              <w:t>新证券</w:t>
            </w:r>
            <w:r>
              <w:rPr>
                <w:rFonts w:hint="eastAsia" w:ascii="Times New Roman" w:hAnsi="Times New Roman" w:eastAsia="方正仿宋简体"/>
                <w:color w:val="000000" w:themeColor="text1"/>
                <w:szCs w:val="24"/>
                <w14:textFill>
                  <w14:solidFill>
                    <w14:schemeClr w14:val="tx1"/>
                  </w14:solidFill>
                </w14:textFill>
              </w:rPr>
              <w:t>代码号段仿真测试方案</w:t>
            </w:r>
          </w:p>
        </w:tc>
      </w:tr>
      <w:tr>
        <w:tblPrEx>
          <w:tblCellMar>
            <w:top w:w="0" w:type="dxa"/>
            <w:left w:w="108" w:type="dxa"/>
            <w:bottom w:w="0" w:type="dxa"/>
            <w:right w:w="108" w:type="dxa"/>
          </w:tblCellMar>
        </w:tblPrEx>
        <w:trPr>
          <w:cantSplit/>
          <w:jc w:val="center"/>
        </w:trPr>
        <w:tc>
          <w:tcPr>
            <w:tcW w:w="1515"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6990"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515"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604"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2024.2.</w:t>
            </w:r>
            <w:r>
              <w:rPr>
                <w:rFonts w:hint="eastAsia" w:ascii="Times New Roman" w:hAnsi="Times New Roman" w:eastAsia="方正仿宋简体"/>
                <w:color w:val="000000" w:themeColor="text1"/>
                <w14:textFill>
                  <w14:solidFill>
                    <w14:schemeClr w14:val="tx1"/>
                  </w14:solidFill>
                </w14:textFill>
              </w:rPr>
              <w:t>1</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296"/>
        </w:tabs>
        <w:ind w:firstLine="480"/>
        <w:rPr>
          <w:rFonts w:asciiTheme="minorHAnsi" w:hAnsiTheme="minorHAnsi" w:eastAsiaTheme="minorEastAsia" w:cstheme="minorBidi"/>
          <w:sz w:val="21"/>
        </w:rPr>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"_Toc157623417" </w:instrText>
      </w:r>
      <w:r>
        <w:fldChar w:fldCharType="separate"/>
      </w:r>
      <w:r>
        <w:rPr>
          <w:rStyle w:val="44"/>
          <w:rFonts w:hint="eastAsia"/>
        </w:rPr>
        <w:t>一、测试目的和背景</w:t>
      </w:r>
      <w:r>
        <w:tab/>
      </w:r>
      <w:r>
        <w:fldChar w:fldCharType="begin"/>
      </w:r>
      <w:r>
        <w:instrText xml:space="preserve"> PAGEREF _Toc157623417 \h </w:instrText>
      </w:r>
      <w:r>
        <w:fldChar w:fldCharType="separate"/>
      </w:r>
      <w:r>
        <w:t>- 1 -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"_Toc157623418" </w:instrText>
      </w:r>
      <w:r>
        <w:fldChar w:fldCharType="separate"/>
      </w:r>
      <w:r>
        <w:rPr>
          <w:rStyle w:val="44"/>
          <w:rFonts w:hint="eastAsia"/>
        </w:rPr>
        <w:t>二、参测机构</w:t>
      </w:r>
      <w:r>
        <w:tab/>
      </w:r>
      <w:r>
        <w:fldChar w:fldCharType="begin"/>
      </w:r>
      <w:r>
        <w:instrText xml:space="preserve"> PAGEREF _Toc157623418 \h </w:instrText>
      </w:r>
      <w:r>
        <w:fldChar w:fldCharType="separate"/>
      </w:r>
      <w:r>
        <w:t>- 1 -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"_Toc157623419" </w:instrText>
      </w:r>
      <w:r>
        <w:fldChar w:fldCharType="separate"/>
      </w:r>
      <w:r>
        <w:rPr>
          <w:rStyle w:val="44"/>
          <w:rFonts w:hint="eastAsia"/>
        </w:rPr>
        <w:t>三、参测技术系统</w:t>
      </w:r>
      <w:r>
        <w:tab/>
      </w:r>
      <w:r>
        <w:fldChar w:fldCharType="begin"/>
      </w:r>
      <w:r>
        <w:instrText xml:space="preserve"> PAGEREF _Toc157623419 \h </w:instrText>
      </w:r>
      <w:r>
        <w:fldChar w:fldCharType="separate"/>
      </w:r>
      <w:r>
        <w:t>- 2 -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"_Toc157623420" </w:instrText>
      </w:r>
      <w:r>
        <w:fldChar w:fldCharType="separate"/>
      </w:r>
      <w:r>
        <w:rPr>
          <w:rStyle w:val="44"/>
          <w:rFonts w:hint="eastAsia"/>
        </w:rPr>
        <w:t>四、仿真测试时间安排</w:t>
      </w:r>
      <w:r>
        <w:tab/>
      </w:r>
      <w:r>
        <w:fldChar w:fldCharType="begin"/>
      </w:r>
      <w:r>
        <w:instrText xml:space="preserve"> PAGEREF _Toc157623420 \h </w:instrText>
      </w:r>
      <w:r>
        <w:fldChar w:fldCharType="separate"/>
      </w:r>
      <w:r>
        <w:t>- 2 -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"_Toc157623421" </w:instrText>
      </w:r>
      <w:r>
        <w:fldChar w:fldCharType="separate"/>
      </w:r>
      <w:r>
        <w:rPr>
          <w:rStyle w:val="44"/>
          <w:rFonts w:hint="eastAsia"/>
        </w:rPr>
        <w:t>五、仿真测试内容</w:t>
      </w:r>
      <w:r>
        <w:tab/>
      </w:r>
      <w:r>
        <w:fldChar w:fldCharType="begin"/>
      </w:r>
      <w:r>
        <w:instrText xml:space="preserve"> PAGEREF _Toc157623421 \h </w:instrText>
      </w:r>
      <w:r>
        <w:fldChar w:fldCharType="separate"/>
      </w:r>
      <w:r>
        <w:t>- 3 -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"_Toc157623422" </w:instrText>
      </w:r>
      <w:r>
        <w:fldChar w:fldCharType="separate"/>
      </w:r>
      <w:r>
        <w:rPr>
          <w:rStyle w:val="44"/>
          <w:rFonts w:hint="eastAsia"/>
        </w:rPr>
        <w:t>六、测试场景及相关说明</w:t>
      </w:r>
      <w:r>
        <w:tab/>
      </w:r>
      <w:r>
        <w:fldChar w:fldCharType="begin"/>
      </w:r>
      <w:r>
        <w:instrText xml:space="preserve"> PAGEREF _Toc157623422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"_Toc157623423" </w:instrText>
      </w:r>
      <w:r>
        <w:fldChar w:fldCharType="separate"/>
      </w:r>
      <w:r>
        <w:rPr>
          <w:rStyle w:val="44"/>
          <w:rFonts w:hint="eastAsia" w:ascii="楷体" w:hAnsi="楷体"/>
        </w:rPr>
        <w:t>（一）公开发行测试证券及测试时间安排</w:t>
      </w:r>
      <w:r>
        <w:tab/>
      </w:r>
      <w:r>
        <w:fldChar w:fldCharType="begin"/>
      </w:r>
      <w:r>
        <w:instrText xml:space="preserve"> PAGEREF _Toc157623423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"_Toc157623424" </w:instrText>
      </w:r>
      <w:r>
        <w:fldChar w:fldCharType="separate"/>
      </w:r>
      <w:r>
        <w:rPr>
          <w:rStyle w:val="44"/>
          <w:rFonts w:hint="eastAsia" w:ascii="楷体" w:hAnsi="楷体"/>
        </w:rPr>
        <w:t>（二）日常交易测试证券及测试时间安排</w:t>
      </w:r>
      <w:r>
        <w:tab/>
      </w:r>
      <w:r>
        <w:fldChar w:fldCharType="begin"/>
      </w:r>
      <w:r>
        <w:instrText xml:space="preserve"> PAGEREF _Toc157623424 \h </w:instrText>
      </w:r>
      <w:r>
        <w:fldChar w:fldCharType="separate"/>
      </w:r>
      <w:r>
        <w:t>- 7 -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"_Toc157623425" </w:instrText>
      </w:r>
      <w:r>
        <w:fldChar w:fldCharType="separate"/>
      </w:r>
      <w:r>
        <w:rPr>
          <w:rStyle w:val="44"/>
          <w:rFonts w:hint="eastAsia" w:ascii="楷体" w:hAnsi="楷体"/>
        </w:rPr>
        <w:t>（三）测试要求和说明</w:t>
      </w:r>
      <w:r>
        <w:tab/>
      </w:r>
      <w:r>
        <w:fldChar w:fldCharType="begin"/>
      </w:r>
      <w:r>
        <w:instrText xml:space="preserve"> PAGEREF _Toc157623425 \h </w:instrText>
      </w:r>
      <w:r>
        <w:fldChar w:fldCharType="separate"/>
      </w:r>
      <w:r>
        <w:t>- 8 -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"_Toc157623426" </w:instrText>
      </w:r>
      <w:r>
        <w:fldChar w:fldCharType="separate"/>
      </w:r>
      <w:r>
        <w:rPr>
          <w:rStyle w:val="44"/>
          <w:rFonts w:hint="eastAsia"/>
        </w:rPr>
        <w:t>七、仿真测试数据准备</w:t>
      </w:r>
      <w:r>
        <w:tab/>
      </w:r>
      <w:r>
        <w:fldChar w:fldCharType="begin"/>
      </w:r>
      <w:r>
        <w:instrText xml:space="preserve"> PAGEREF _Toc157623426 \h </w:instrText>
      </w:r>
      <w:r>
        <w:fldChar w:fldCharType="separate"/>
      </w:r>
      <w:r>
        <w:t>- 9 -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"_Toc157623427" </w:instrText>
      </w:r>
      <w:r>
        <w:fldChar w:fldCharType="separate"/>
      </w:r>
      <w:r>
        <w:rPr>
          <w:rStyle w:val="44"/>
          <w:rFonts w:hint="eastAsia" w:ascii="楷体" w:hAnsi="楷体"/>
        </w:rPr>
        <w:t>（一）证券行情信息和证券信息</w:t>
      </w:r>
      <w:r>
        <w:tab/>
      </w:r>
      <w:r>
        <w:fldChar w:fldCharType="begin"/>
      </w:r>
      <w:r>
        <w:instrText xml:space="preserve"> PAGEREF _Toc157623427 \h </w:instrText>
      </w:r>
      <w:r>
        <w:fldChar w:fldCharType="separate"/>
      </w:r>
      <w:r>
        <w:t>- 9 -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"_Toc157623428" </w:instrText>
      </w:r>
      <w:r>
        <w:fldChar w:fldCharType="separate"/>
      </w:r>
      <w:r>
        <w:rPr>
          <w:rStyle w:val="44"/>
          <w:rFonts w:hint="eastAsia" w:ascii="楷体" w:hAnsi="楷体"/>
        </w:rPr>
        <w:t>（二）证券账户、交易单元、托管单元及持仓</w:t>
      </w:r>
      <w:r>
        <w:tab/>
      </w:r>
      <w:r>
        <w:fldChar w:fldCharType="begin"/>
      </w:r>
      <w:r>
        <w:instrText xml:space="preserve"> PAGEREF _Toc157623428 \h </w:instrText>
      </w:r>
      <w:r>
        <w:fldChar w:fldCharType="separate"/>
      </w:r>
      <w:r>
        <w:t>- 9 -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"_Toc157623429" </w:instrText>
      </w:r>
      <w:r>
        <w:fldChar w:fldCharType="separate"/>
      </w:r>
      <w:r>
        <w:rPr>
          <w:rStyle w:val="44"/>
          <w:rFonts w:hint="eastAsia" w:ascii="楷体" w:hAnsi="楷体"/>
        </w:rPr>
        <w:t>（三）交易网关、行情网关和结算网关</w:t>
      </w:r>
      <w:r>
        <w:tab/>
      </w:r>
      <w:r>
        <w:fldChar w:fldCharType="begin"/>
      </w:r>
      <w:r>
        <w:instrText xml:space="preserve"> PAGEREF _Toc157623429 \h </w:instrText>
      </w:r>
      <w:r>
        <w:fldChar w:fldCharType="separate"/>
      </w:r>
      <w:r>
        <w:t>- 10 -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"_Toc157623430" </w:instrText>
      </w:r>
      <w:r>
        <w:fldChar w:fldCharType="separate"/>
      </w:r>
      <w:r>
        <w:rPr>
          <w:rStyle w:val="44"/>
          <w:rFonts w:hint="eastAsia"/>
        </w:rPr>
        <w:t>（四）</w:t>
      </w:r>
      <w:r>
        <w:rPr>
          <w:rStyle w:val="44"/>
        </w:rPr>
        <w:t>FDEP</w:t>
      </w:r>
      <w:r>
        <w:rPr>
          <w:rStyle w:val="44"/>
          <w:rFonts w:hint="eastAsia"/>
        </w:rPr>
        <w:t>小站</w:t>
      </w:r>
      <w:r>
        <w:tab/>
      </w:r>
      <w:r>
        <w:fldChar w:fldCharType="begin"/>
      </w:r>
      <w:r>
        <w:instrText xml:space="preserve"> PAGEREF _Toc157623430 \h </w:instrText>
      </w:r>
      <w:r>
        <w:fldChar w:fldCharType="separate"/>
      </w:r>
      <w:r>
        <w:t>- 10 -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"_Toc157623431" </w:instrText>
      </w:r>
      <w:r>
        <w:fldChar w:fldCharType="separate"/>
      </w:r>
      <w:r>
        <w:rPr>
          <w:rStyle w:val="44"/>
          <w:rFonts w:hint="eastAsia"/>
        </w:rPr>
        <w:t>八、仿真测试系统接入方式</w:t>
      </w:r>
      <w:r>
        <w:tab/>
      </w:r>
      <w:r>
        <w:fldChar w:fldCharType="begin"/>
      </w:r>
      <w:r>
        <w:instrText xml:space="preserve"> PAGEREF _Toc157623431 \h </w:instrText>
      </w:r>
      <w:r>
        <w:fldChar w:fldCharType="separate"/>
      </w:r>
      <w:r>
        <w:t>- 10 -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"_Toc157623432" </w:instrText>
      </w:r>
      <w:r>
        <w:fldChar w:fldCharType="separate"/>
      </w:r>
      <w:r>
        <w:rPr>
          <w:rStyle w:val="44"/>
          <w:rFonts w:hint="eastAsia"/>
        </w:rPr>
        <w:t>（一）参测机构接入深证通</w:t>
      </w:r>
      <w:r>
        <w:tab/>
      </w:r>
      <w:r>
        <w:fldChar w:fldCharType="begin"/>
      </w:r>
      <w:r>
        <w:instrText xml:space="preserve"> PAGEREF _Toc157623432 \h </w:instrText>
      </w:r>
      <w:r>
        <w:fldChar w:fldCharType="separate"/>
      </w:r>
      <w:r>
        <w:t>- 10 -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"_Toc157623433" </w:instrText>
      </w:r>
      <w:r>
        <w:fldChar w:fldCharType="separate"/>
      </w:r>
      <w:r>
        <w:rPr>
          <w:rStyle w:val="44"/>
          <w:rFonts w:hint="eastAsia"/>
        </w:rPr>
        <w:t>（二）参测机构接入中国结算</w:t>
      </w:r>
      <w:r>
        <w:tab/>
      </w:r>
      <w:r>
        <w:fldChar w:fldCharType="begin"/>
      </w:r>
      <w:r>
        <w:instrText xml:space="preserve"> PAGEREF _Toc157623433 \h </w:instrText>
      </w:r>
      <w:r>
        <w:fldChar w:fldCharType="separate"/>
      </w:r>
      <w:r>
        <w:t>- 11 -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"_Toc157623434" </w:instrText>
      </w:r>
      <w:r>
        <w:fldChar w:fldCharType="separate"/>
      </w:r>
      <w:r>
        <w:rPr>
          <w:rStyle w:val="44"/>
          <w:rFonts w:hint="eastAsia"/>
        </w:rPr>
        <w:t>（三）测试相关软件下载</w:t>
      </w:r>
      <w:r>
        <w:tab/>
      </w:r>
      <w:r>
        <w:fldChar w:fldCharType="begin"/>
      </w:r>
      <w:r>
        <w:instrText xml:space="preserve"> PAGEREF _Toc157623434 \h </w:instrText>
      </w:r>
      <w:r>
        <w:fldChar w:fldCharType="separate"/>
      </w:r>
      <w:r>
        <w:t>- 11 -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"_Toc157623435" </w:instrText>
      </w:r>
      <w:r>
        <w:fldChar w:fldCharType="separate"/>
      </w:r>
      <w:r>
        <w:rPr>
          <w:rStyle w:val="44"/>
          <w:rFonts w:hint="eastAsia"/>
        </w:rPr>
        <w:t>九、测试要求及注意事项</w:t>
      </w:r>
      <w:r>
        <w:tab/>
      </w:r>
      <w:r>
        <w:fldChar w:fldCharType="begin"/>
      </w:r>
      <w:r>
        <w:instrText xml:space="preserve"> PAGEREF _Toc157623435 \h </w:instrText>
      </w:r>
      <w:r>
        <w:fldChar w:fldCharType="separate"/>
      </w:r>
      <w:r>
        <w:t>- 11 -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"_Toc157623436" </w:instrText>
      </w:r>
      <w:r>
        <w:fldChar w:fldCharType="separate"/>
      </w:r>
      <w:r>
        <w:rPr>
          <w:rStyle w:val="44"/>
          <w:rFonts w:hint="eastAsia"/>
        </w:rPr>
        <w:t>十、联系方式</w:t>
      </w:r>
      <w:r>
        <w:tab/>
      </w:r>
      <w:r>
        <w:fldChar w:fldCharType="begin"/>
      </w:r>
      <w:r>
        <w:instrText xml:space="preserve"> PAGEREF _Toc157623436 \h </w:instrText>
      </w:r>
      <w:r>
        <w:fldChar w:fldCharType="separate"/>
      </w:r>
      <w:r>
        <w:t>- 12 -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1748422228"/>
      <w:bookmarkStart w:id="2" w:name="_Toc374957903"/>
      <w:bookmarkStart w:id="3" w:name="_Toc375070721"/>
      <w:bookmarkStart w:id="4" w:name="_Toc374381911"/>
      <w:bookmarkStart w:id="5" w:name="_Toc375557957"/>
      <w:bookmarkStart w:id="6" w:name="_Toc376285219"/>
      <w:bookmarkStart w:id="7" w:name="_Toc374381845"/>
      <w:bookmarkStart w:id="8" w:name="_Toc157623417"/>
      <w:bookmarkStart w:id="9" w:name="_Toc376597516"/>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验证北京证券交易所股票启用</w:t>
      </w:r>
      <w:r>
        <w:rPr>
          <w:rFonts w:hint="eastAsia" w:cs="Times New Roman"/>
          <w:color w:val="000000" w:themeColor="text1"/>
          <w:sz w:val="30"/>
          <w:szCs w:val="30"/>
          <w:lang w:eastAsia="zh-CN"/>
          <w14:textFill>
            <w14:solidFill>
              <w14:schemeClr w14:val="tx1"/>
            </w14:solidFill>
          </w14:textFill>
        </w:rPr>
        <w:t>新证券</w:t>
      </w:r>
      <w:r>
        <w:rPr>
          <w:rFonts w:hint="eastAsia" w:cs="Times New Roman"/>
          <w:color w:val="000000" w:themeColor="text1"/>
          <w:sz w:val="30"/>
          <w:szCs w:val="30"/>
          <w14:textFill>
            <w14:solidFill>
              <w14:schemeClr w14:val="tx1"/>
            </w14:solidFill>
          </w14:textFill>
        </w:rPr>
        <w:t>代码号段技术系统准备情况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（简称北交所）、</w:t>
      </w:r>
      <w:r>
        <w:rPr>
          <w:rFonts w:cs="Times New Roman"/>
          <w:color w:val="000000" w:themeColor="text1"/>
          <w:sz w:val="30"/>
          <w:szCs w:val="30"/>
          <w14:textFill>
            <w14:solidFill>
              <w14:schemeClr w14:val="tx1"/>
            </w14:solidFill>
          </w14:textFill>
        </w:rPr>
        <w:t>全国中小企业股份转让系统有限责任公司（简称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进行仿真测试</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请</w:t>
      </w:r>
      <w:r>
        <w:rPr>
          <w:rFonts w:cs="Times New Roman"/>
          <w:color w:val="000000" w:themeColor="text1"/>
          <w:sz w:val="30"/>
          <w:szCs w:val="30"/>
          <w14:textFill>
            <w14:solidFill>
              <w14:schemeClr w14:val="tx1"/>
            </w14:solidFill>
          </w14:textFill>
        </w:rPr>
        <w:t>各参测机构认真阅读本测试方案，在测试过程中按照要求进行充分测试。</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1" w:name="_Toc376597517"/>
      <w:bookmarkStart w:id="12" w:name="_Toc374381912"/>
      <w:bookmarkStart w:id="13" w:name="_Toc375557958"/>
      <w:bookmarkStart w:id="14" w:name="_Toc374957904"/>
      <w:bookmarkStart w:id="15" w:name="_Toc375070722"/>
      <w:bookmarkStart w:id="16" w:name="_Toc376285220"/>
      <w:bookmarkStart w:id="17" w:name="_Toc374381846"/>
      <w:bookmarkStart w:id="18" w:name="_Toc1894743054"/>
      <w:bookmarkStart w:id="19" w:name="_Toc157623418"/>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w:t>
      </w:r>
      <w:r>
        <w:rPr>
          <w:rFonts w:cs="Times New Roman"/>
          <w:color w:val="000000" w:themeColor="text1"/>
          <w:sz w:val="30"/>
          <w:szCs w:val="30"/>
          <w14:textFill>
            <w14:solidFill>
              <w14:schemeClr w14:val="tx1"/>
            </w14:solidFill>
          </w14:textFill>
        </w:rPr>
        <w:t>基金公司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101"/>
        <w:spacing w:line="240" w:lineRule="auto"/>
        <w:ind w:firstLine="0" w:firstLineChars="0"/>
        <w:jc w:val="both"/>
        <w:rPr>
          <w:rFonts w:hint="eastAsia" w:cs="Times New Roman"/>
          <w:color w:val="000000" w:themeColor="text1"/>
          <w:sz w:val="30"/>
          <w:szCs w:val="30"/>
          <w14:textFill>
            <w14:solidFill>
              <w14:schemeClr w14:val="tx1"/>
            </w14:solidFill>
          </w14:textFill>
        </w:rPr>
      </w:pPr>
    </w:p>
    <w:p>
      <w:pPr>
        <w:pStyle w:val="73"/>
        <w:spacing w:before="163" w:after="163"/>
        <w:ind w:firstLine="600"/>
      </w:pPr>
      <w:bookmarkStart w:id="20" w:name="_Toc375070726"/>
      <w:bookmarkStart w:id="21" w:name="_Toc375557962"/>
      <w:bookmarkStart w:id="22" w:name="_Toc257742172"/>
      <w:bookmarkStart w:id="23" w:name="_Toc157623419"/>
      <w:bookmarkStart w:id="24" w:name="_Toc376597521"/>
      <w:bookmarkStart w:id="25" w:name="_Toc374381850"/>
      <w:bookmarkStart w:id="26" w:name="_Toc376285224"/>
      <w:bookmarkStart w:id="27" w:name="_Toc374381916"/>
      <w:bookmarkStart w:id="28" w:name="_Toc374957908"/>
      <w:r>
        <w:rPr>
          <w:rFonts w:hint="eastAsia"/>
        </w:rPr>
        <w:t>三、</w:t>
      </w:r>
      <w:r>
        <w:t>参测技术系统</w:t>
      </w:r>
      <w:bookmarkEnd w:id="20"/>
      <w:bookmarkEnd w:id="21"/>
      <w:bookmarkEnd w:id="22"/>
      <w:bookmarkEnd w:id="23"/>
      <w:bookmarkEnd w:id="24"/>
      <w:bookmarkEnd w:id="25"/>
      <w:bookmarkEnd w:id="26"/>
      <w:bookmarkEnd w:id="27"/>
      <w:bookmarkEnd w:id="28"/>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交易支持平台仿真环境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市场证券登记结算系统仿真</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通信系统和金融数据交换平台</w:t>
      </w:r>
      <w:r>
        <w:rPr>
          <w:rFonts w:hint="eastAsia" w:cs="Times New Roman"/>
          <w:color w:val="000000" w:themeColor="text1"/>
          <w:sz w:val="30"/>
          <w:szCs w:val="30"/>
          <w14:textFill>
            <w14:solidFill>
              <w14:schemeClr w14:val="tx1"/>
            </w14:solidFill>
          </w14:textFill>
        </w:rPr>
        <w:t>（FDEP）</w:t>
      </w:r>
      <w:r>
        <w:rPr>
          <w:rFonts w:cs="Times New Roman"/>
          <w:color w:val="000000" w:themeColor="text1"/>
          <w:sz w:val="30"/>
          <w:szCs w:val="30"/>
          <w14:textFill>
            <w14:solidFill>
              <w14:schemeClr w14:val="tx1"/>
            </w14:solidFill>
          </w14:textFill>
        </w:rPr>
        <w:t>仿真环境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证券公司、</w:t>
      </w:r>
      <w:r>
        <w:rPr>
          <w:rFonts w:cs="Times New Roman"/>
          <w:color w:val="000000" w:themeColor="text1"/>
          <w:sz w:val="30"/>
          <w:szCs w:val="30"/>
          <w14:textFill>
            <w14:solidFill>
              <w14:schemeClr w14:val="tx1"/>
            </w14:solidFill>
          </w14:textFill>
        </w:rPr>
        <w:t>基金公司</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信息商</w:t>
      </w:r>
      <w:r>
        <w:rPr>
          <w:rFonts w:hint="eastAsia" w:cs="Times New Roman"/>
          <w:color w:val="000000" w:themeColor="text1"/>
          <w:sz w:val="30"/>
          <w:szCs w:val="30"/>
          <w14:textFill>
            <w14:solidFill>
              <w14:schemeClr w14:val="tx1"/>
            </w14:solidFill>
          </w14:textFill>
        </w:rPr>
        <w:t>相关测试环境</w:t>
      </w:r>
    </w:p>
    <w:p>
      <w:pPr>
        <w:pStyle w:val="101"/>
        <w:spacing w:line="240" w:lineRule="auto"/>
        <w:ind w:left="567" w:firstLine="0" w:firstLineChars="0"/>
        <w:jc w:val="both"/>
        <w:rPr>
          <w:rFonts w:hint="eastAsia" w:cs="Times New Roman"/>
          <w:color w:val="000000" w:themeColor="text1"/>
          <w:sz w:val="30"/>
          <w:szCs w:val="30"/>
          <w14:textFill>
            <w14:solidFill>
              <w14:schemeClr w14:val="tx1"/>
            </w14:solidFill>
          </w14:textFill>
        </w:rPr>
      </w:pPr>
    </w:p>
    <w:p>
      <w:pPr>
        <w:pStyle w:val="73"/>
        <w:spacing w:before="163" w:after="163"/>
        <w:ind w:firstLine="600"/>
        <w:rPr>
          <w:rFonts w:hint="eastAsia"/>
        </w:rPr>
      </w:pPr>
      <w:bookmarkStart w:id="29" w:name="_Toc157623420"/>
      <w:bookmarkStart w:id="30" w:name="_Toc1647921772"/>
      <w:r>
        <w:rPr>
          <w:rFonts w:hint="eastAsia"/>
        </w:rPr>
        <w:t>四、</w:t>
      </w:r>
      <w:r>
        <w:t>仿真测试时间安排</w:t>
      </w:r>
      <w:bookmarkEnd w:id="29"/>
      <w:bookmarkEnd w:id="3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第一轮：202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w:t>
      </w:r>
      <w:r>
        <w:rPr>
          <w:rFonts w:cs="Times New Roman"/>
          <w:color w:val="000000" w:themeColor="text1"/>
          <w:sz w:val="30"/>
          <w:szCs w:val="30"/>
          <w:lang w:val="en"/>
          <w14:textFill>
            <w14:solidFill>
              <w14:schemeClr w14:val="tx1"/>
            </w14:solidFill>
          </w14:textFill>
        </w:rPr>
        <w:t>2</w:t>
      </w:r>
      <w:r>
        <w:rPr>
          <w:rFonts w:hint="eastAsia" w:cs="Times New Roman"/>
          <w:color w:val="000000" w:themeColor="text1"/>
          <w:sz w:val="30"/>
          <w:szCs w:val="30"/>
          <w14:textFill>
            <w14:solidFill>
              <w14:schemeClr w14:val="tx1"/>
            </w14:solidFill>
          </w14:textFill>
        </w:rPr>
        <w:t>月19日至202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年3月1日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第二轮：202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年3月4日至202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年3月15日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周一到周五</w:t>
      </w:r>
      <w:r>
        <w:rPr>
          <w:rFonts w:cs="Times New Roman"/>
          <w:color w:val="000000" w:themeColor="text1"/>
          <w:sz w:val="30"/>
          <w:szCs w:val="30"/>
          <w14:textFill>
            <w14:solidFill>
              <w14:schemeClr w14:val="tx1"/>
            </w14:solidFill>
          </w14:textFill>
        </w:rPr>
        <w:t>全天开放测试环境</w:t>
      </w:r>
      <w:r>
        <w:rPr>
          <w:rFonts w:hint="eastAsia" w:cs="Times New Roman"/>
          <w:color w:val="000000" w:themeColor="text1"/>
          <w:sz w:val="30"/>
          <w:szCs w:val="30"/>
          <w14:textFill>
            <w14:solidFill>
              <w14:schemeClr w14:val="tx1"/>
            </w14:solidFill>
          </w14:textFill>
        </w:rPr>
        <w:t>。</w:t>
      </w:r>
    </w:p>
    <w:tbl>
      <w:tblPr>
        <w:tblStyle w:val="37"/>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805"/>
        <w:gridCol w:w="1110"/>
        <w:gridCol w:w="1110"/>
        <w:gridCol w:w="1072"/>
        <w:gridCol w:w="14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686" w:type="dxa"/>
            <w:vMerge w:val="restart"/>
            <w:shd w:val="clear" w:color="auto" w:fill="D0CECE" w:themeFill="background2" w:themeFillShade="E6"/>
            <w:vAlign w:val="center"/>
          </w:tcPr>
          <w:p>
            <w:pPr>
              <w:ind w:firstLine="0" w:firstLineChars="0"/>
              <w:jc w:val="center"/>
              <w:rPr>
                <w:rFonts w:ascii="楷体" w:hAnsi="楷体" w:eastAsia="楷体"/>
                <w:b/>
                <w:szCs w:val="24"/>
              </w:rPr>
            </w:pPr>
            <w:r>
              <w:rPr>
                <w:rFonts w:hint="eastAsia" w:ascii="楷体" w:hAnsi="楷体" w:eastAsia="楷体"/>
                <w:b/>
                <w:szCs w:val="24"/>
              </w:rPr>
              <w:t>交易时段</w:t>
            </w:r>
          </w:p>
        </w:tc>
        <w:tc>
          <w:tcPr>
            <w:tcW w:w="2805" w:type="dxa"/>
            <w:vMerge w:val="restart"/>
            <w:shd w:val="clear" w:color="auto" w:fill="D0CECE" w:themeFill="background2" w:themeFillShade="E6"/>
            <w:vAlign w:val="center"/>
          </w:tcPr>
          <w:p>
            <w:pPr>
              <w:ind w:firstLine="0" w:firstLineChars="0"/>
              <w:jc w:val="center"/>
              <w:rPr>
                <w:rFonts w:ascii="楷体" w:hAnsi="楷体" w:eastAsia="楷体"/>
                <w:b/>
                <w:szCs w:val="24"/>
              </w:rPr>
            </w:pPr>
            <w:r>
              <w:rPr>
                <w:rFonts w:hint="eastAsia" w:ascii="楷体" w:hAnsi="楷体" w:eastAsia="楷体"/>
                <w:b/>
                <w:szCs w:val="24"/>
              </w:rPr>
              <w:t>北交所连续竞价（融资融券、北交所做市交易）</w:t>
            </w:r>
          </w:p>
        </w:tc>
        <w:tc>
          <w:tcPr>
            <w:tcW w:w="2220" w:type="dxa"/>
            <w:gridSpan w:val="2"/>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公开发行</w:t>
            </w:r>
          </w:p>
        </w:tc>
        <w:tc>
          <w:tcPr>
            <w:tcW w:w="1072"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要约</w:t>
            </w:r>
          </w:p>
        </w:tc>
        <w:tc>
          <w:tcPr>
            <w:tcW w:w="1410"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优先股</w:t>
            </w:r>
          </w:p>
        </w:tc>
        <w:tc>
          <w:tcPr>
            <w:tcW w:w="1033"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可转债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686" w:type="dxa"/>
            <w:vMerge w:val="continue"/>
            <w:shd w:val="clear" w:color="auto" w:fill="D0CECE" w:themeFill="background2" w:themeFillShade="E6"/>
            <w:vAlign w:val="center"/>
          </w:tcPr>
          <w:p>
            <w:pPr>
              <w:ind w:firstLine="0" w:firstLineChars="0"/>
              <w:rPr>
                <w:rFonts w:ascii="仿宋_GB2312" w:hAnsi="仿宋" w:eastAsia="仿宋_GB2312"/>
                <w:sz w:val="28"/>
                <w:szCs w:val="28"/>
              </w:rPr>
            </w:pPr>
          </w:p>
        </w:tc>
        <w:tc>
          <w:tcPr>
            <w:tcW w:w="2805" w:type="dxa"/>
            <w:vMerge w:val="continue"/>
            <w:shd w:val="clear" w:color="auto" w:fill="D0CECE" w:themeFill="background2" w:themeFillShade="E6"/>
          </w:tcPr>
          <w:p>
            <w:pPr>
              <w:tabs>
                <w:tab w:val="left" w:pos="720"/>
              </w:tabs>
              <w:ind w:firstLine="0" w:firstLineChars="0"/>
              <w:jc w:val="both"/>
              <w:rPr>
                <w:rFonts w:ascii="仿宋_GB2312" w:hAnsi="仿宋" w:eastAsia="仿宋_GB2312"/>
                <w:sz w:val="28"/>
                <w:szCs w:val="28"/>
              </w:rPr>
            </w:pPr>
          </w:p>
        </w:tc>
        <w:tc>
          <w:tcPr>
            <w:tcW w:w="1110" w:type="dxa"/>
            <w:shd w:val="clear" w:color="auto" w:fill="D0CECE" w:themeFill="background2" w:themeFillShade="E6"/>
            <w:vAlign w:val="center"/>
          </w:tcPr>
          <w:p>
            <w:pPr>
              <w:tabs>
                <w:tab w:val="left" w:pos="720"/>
              </w:tabs>
              <w:ind w:firstLine="0" w:firstLineChars="0"/>
              <w:jc w:val="center"/>
              <w:rPr>
                <w:rFonts w:ascii="仿宋_GB2312" w:hAnsi="仿宋" w:eastAsia="仿宋_GB2312"/>
                <w:sz w:val="28"/>
                <w:szCs w:val="28"/>
              </w:rPr>
            </w:pPr>
            <w:r>
              <w:rPr>
                <w:rFonts w:hint="eastAsia" w:ascii="楷体" w:hAnsi="楷体" w:eastAsia="楷体"/>
                <w:b/>
                <w:szCs w:val="24"/>
              </w:rPr>
              <w:t>询价</w:t>
            </w:r>
          </w:p>
        </w:tc>
        <w:tc>
          <w:tcPr>
            <w:tcW w:w="1110" w:type="dxa"/>
            <w:shd w:val="clear" w:color="auto" w:fill="D0CECE" w:themeFill="background2" w:themeFillShade="E6"/>
            <w:vAlign w:val="center"/>
          </w:tcPr>
          <w:p>
            <w:pPr>
              <w:tabs>
                <w:tab w:val="left" w:pos="720"/>
              </w:tabs>
              <w:ind w:firstLine="0" w:firstLineChars="0"/>
              <w:jc w:val="center"/>
              <w:rPr>
                <w:rFonts w:ascii="仿宋_GB2312" w:hAnsi="仿宋" w:eastAsia="仿宋_GB2312"/>
                <w:sz w:val="28"/>
                <w:szCs w:val="28"/>
              </w:rPr>
            </w:pPr>
            <w:r>
              <w:rPr>
                <w:rFonts w:hint="eastAsia" w:ascii="楷体" w:hAnsi="楷体" w:eastAsia="楷体"/>
                <w:b/>
                <w:szCs w:val="24"/>
              </w:rPr>
              <w:t>申购</w:t>
            </w:r>
          </w:p>
        </w:tc>
        <w:tc>
          <w:tcPr>
            <w:tcW w:w="1072"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c>
          <w:tcPr>
            <w:tcW w:w="1410"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c>
          <w:tcPr>
            <w:tcW w:w="1033"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86" w:type="dxa"/>
            <w:vAlign w:val="center"/>
          </w:tcPr>
          <w:p>
            <w:pPr>
              <w:ind w:firstLine="0" w:firstLineChars="0"/>
              <w:jc w:val="center"/>
              <w:rPr>
                <w:rFonts w:cs="Times New Roman"/>
                <w:szCs w:val="24"/>
              </w:rPr>
            </w:pPr>
            <w:r>
              <w:rPr>
                <w:rFonts w:cs="Times New Roman"/>
                <w:szCs w:val="24"/>
              </w:rPr>
              <w:t>08:30</w:t>
            </w:r>
          </w:p>
        </w:tc>
        <w:tc>
          <w:tcPr>
            <w:tcW w:w="8540" w:type="dxa"/>
            <w:gridSpan w:val="6"/>
            <w:vAlign w:val="center"/>
          </w:tcPr>
          <w:p>
            <w:pPr>
              <w:ind w:firstLine="0" w:firstLineChars="0"/>
              <w:jc w:val="center"/>
              <w:rPr>
                <w:rFonts w:ascii="仿宋" w:hAnsi="仿宋"/>
                <w:szCs w:val="24"/>
              </w:rPr>
            </w:pPr>
            <w:r>
              <w:rPr>
                <w:rFonts w:hint="eastAsia" w:ascii="仿宋" w:hAnsi="仿宋"/>
                <w:szCs w:val="24"/>
              </w:rPr>
              <w:t>下发初始行情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86" w:type="dxa"/>
            <w:vAlign w:val="center"/>
          </w:tcPr>
          <w:p>
            <w:pPr>
              <w:ind w:firstLine="0" w:firstLineChars="0"/>
              <w:jc w:val="center"/>
              <w:rPr>
                <w:rFonts w:cs="Times New Roman"/>
                <w:szCs w:val="24"/>
              </w:rPr>
            </w:pPr>
            <w:r>
              <w:rPr>
                <w:rFonts w:cs="Times New Roman"/>
                <w:szCs w:val="24"/>
              </w:rPr>
              <w:t>09:15</w:t>
            </w:r>
          </w:p>
        </w:tc>
        <w:tc>
          <w:tcPr>
            <w:tcW w:w="2805" w:type="dxa"/>
            <w:vAlign w:val="center"/>
          </w:tcPr>
          <w:p>
            <w:pPr>
              <w:ind w:firstLine="0" w:firstLineChars="0"/>
              <w:jc w:val="center"/>
              <w:rPr>
                <w:rFonts w:ascii="仿宋" w:hAnsi="仿宋"/>
                <w:szCs w:val="24"/>
              </w:rPr>
            </w:pPr>
            <w:r>
              <w:rPr>
                <w:rFonts w:hint="eastAsia" w:ascii="仿宋" w:hAnsi="仿宋"/>
                <w:szCs w:val="24"/>
              </w:rPr>
              <w:t>开市、</w:t>
            </w:r>
            <w:r>
              <w:rPr>
                <w:rFonts w:ascii="仿宋" w:hAnsi="仿宋"/>
                <w:szCs w:val="24"/>
              </w:rPr>
              <w:t>大宗交易收单</w:t>
            </w:r>
          </w:p>
        </w:tc>
        <w:tc>
          <w:tcPr>
            <w:tcW w:w="1110" w:type="dxa"/>
            <w:vMerge w:val="restart"/>
            <w:vAlign w:val="center"/>
          </w:tcPr>
          <w:p>
            <w:pPr>
              <w:ind w:firstLine="0" w:firstLineChars="0"/>
              <w:rPr>
                <w:rFonts w:ascii="仿宋" w:hAnsi="仿宋"/>
                <w:szCs w:val="24"/>
              </w:rPr>
            </w:pPr>
            <w:r>
              <w:rPr>
                <w:rFonts w:hint="eastAsia" w:ascii="仿宋" w:hAnsi="仿宋"/>
                <w:szCs w:val="24"/>
              </w:rPr>
              <w:t>询价</w:t>
            </w:r>
            <w:r>
              <w:rPr>
                <w:rFonts w:ascii="仿宋" w:hAnsi="仿宋"/>
                <w:szCs w:val="24"/>
              </w:rPr>
              <w:t>申报</w:t>
            </w:r>
            <w:r>
              <w:rPr>
                <w:rFonts w:hint="eastAsia" w:ascii="仿宋" w:hAnsi="仿宋"/>
                <w:szCs w:val="24"/>
              </w:rPr>
              <w:t xml:space="preserve"> </w:t>
            </w:r>
          </w:p>
        </w:tc>
        <w:tc>
          <w:tcPr>
            <w:tcW w:w="1110" w:type="dxa"/>
            <w:vMerge w:val="restart"/>
            <w:vAlign w:val="center"/>
          </w:tcPr>
          <w:p>
            <w:pPr>
              <w:ind w:firstLine="0" w:firstLineChars="0"/>
              <w:rPr>
                <w:rFonts w:ascii="仿宋" w:hAnsi="仿宋"/>
                <w:szCs w:val="24"/>
              </w:rPr>
            </w:pPr>
            <w:r>
              <w:rPr>
                <w:rFonts w:ascii="仿宋" w:hAnsi="仿宋"/>
                <w:szCs w:val="24"/>
              </w:rPr>
              <w:t>申购申报</w:t>
            </w:r>
          </w:p>
        </w:tc>
        <w:tc>
          <w:tcPr>
            <w:tcW w:w="1072" w:type="dxa"/>
            <w:vMerge w:val="restart"/>
            <w:vAlign w:val="center"/>
          </w:tcPr>
          <w:p>
            <w:pPr>
              <w:ind w:firstLine="0" w:firstLineChars="0"/>
              <w:rPr>
                <w:rFonts w:ascii="仿宋" w:hAnsi="仿宋"/>
                <w:szCs w:val="24"/>
              </w:rPr>
            </w:pPr>
            <w:r>
              <w:rPr>
                <w:rFonts w:hint="eastAsia" w:ascii="仿宋" w:hAnsi="仿宋"/>
                <w:szCs w:val="24"/>
              </w:rPr>
              <w:t>要约申报</w:t>
            </w:r>
          </w:p>
        </w:tc>
        <w:tc>
          <w:tcPr>
            <w:tcW w:w="1410" w:type="dxa"/>
            <w:vMerge w:val="restart"/>
            <w:vAlign w:val="center"/>
          </w:tcPr>
          <w:p>
            <w:pPr>
              <w:ind w:firstLine="0" w:firstLineChars="0"/>
              <w:jc w:val="center"/>
              <w:rPr>
                <w:rFonts w:ascii="仿宋" w:hAnsi="仿宋"/>
                <w:szCs w:val="24"/>
              </w:rPr>
            </w:pPr>
            <w:r>
              <w:rPr>
                <w:rFonts w:hint="eastAsia" w:ascii="仿宋" w:hAnsi="仿宋"/>
                <w:szCs w:val="24"/>
              </w:rPr>
              <w:t>申报收单</w:t>
            </w:r>
          </w:p>
        </w:tc>
        <w:tc>
          <w:tcPr>
            <w:tcW w:w="1033" w:type="dxa"/>
            <w:vMerge w:val="restart"/>
            <w:vAlign w:val="center"/>
          </w:tcPr>
          <w:p>
            <w:pPr>
              <w:ind w:firstLine="0" w:firstLineChars="0"/>
              <w:jc w:val="center"/>
              <w:rPr>
                <w:rFonts w:ascii="仿宋" w:hAnsi="仿宋"/>
                <w:szCs w:val="24"/>
              </w:rPr>
            </w:pP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86" w:type="dxa"/>
            <w:vAlign w:val="center"/>
          </w:tcPr>
          <w:p>
            <w:pPr>
              <w:ind w:firstLine="0" w:firstLineChars="0"/>
              <w:jc w:val="center"/>
              <w:rPr>
                <w:rFonts w:cs="Times New Roman"/>
                <w:szCs w:val="24"/>
              </w:rPr>
            </w:pPr>
            <w:r>
              <w:rPr>
                <w:rFonts w:cs="Times New Roman"/>
                <w:szCs w:val="24"/>
              </w:rPr>
              <w:t>09:25</w:t>
            </w:r>
          </w:p>
        </w:tc>
        <w:tc>
          <w:tcPr>
            <w:tcW w:w="2805" w:type="dxa"/>
            <w:vAlign w:val="center"/>
          </w:tcPr>
          <w:p>
            <w:pPr>
              <w:ind w:firstLine="0" w:firstLineChars="0"/>
              <w:jc w:val="center"/>
              <w:rPr>
                <w:rFonts w:ascii="仿宋" w:hAnsi="仿宋"/>
                <w:szCs w:val="24"/>
              </w:rPr>
            </w:pPr>
            <w:r>
              <w:rPr>
                <w:rFonts w:hint="eastAsia" w:ascii="仿宋" w:hAnsi="仿宋"/>
                <w:szCs w:val="24"/>
              </w:rPr>
              <w:t>开盘集合竞价</w:t>
            </w:r>
          </w:p>
        </w:tc>
        <w:tc>
          <w:tcPr>
            <w:tcW w:w="1110" w:type="dxa"/>
            <w:vMerge w:val="continue"/>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072" w:type="dxa"/>
            <w:vMerge w:val="continue"/>
          </w:tcPr>
          <w:p>
            <w:pPr>
              <w:ind w:firstLine="0" w:firstLineChars="0"/>
              <w:rPr>
                <w:rFonts w:ascii="仿宋" w:hAnsi="仿宋"/>
                <w:szCs w:val="24"/>
              </w:rPr>
            </w:pPr>
          </w:p>
        </w:tc>
        <w:tc>
          <w:tcPr>
            <w:tcW w:w="1410" w:type="dxa"/>
            <w:vMerge w:val="continue"/>
          </w:tcPr>
          <w:p>
            <w:pPr>
              <w:ind w:firstLine="0" w:firstLineChars="0"/>
              <w:rPr>
                <w:rFonts w:ascii="仿宋" w:hAnsi="仿宋"/>
                <w:szCs w:val="24"/>
              </w:rPr>
            </w:pPr>
          </w:p>
        </w:tc>
        <w:tc>
          <w:tcPr>
            <w:tcW w:w="1033"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86" w:type="dxa"/>
            <w:vMerge w:val="restart"/>
            <w:vAlign w:val="center"/>
          </w:tcPr>
          <w:p>
            <w:pPr>
              <w:ind w:firstLine="0" w:firstLineChars="0"/>
              <w:jc w:val="center"/>
              <w:rPr>
                <w:rFonts w:cs="Times New Roman"/>
                <w:szCs w:val="24"/>
              </w:rPr>
            </w:pPr>
            <w:r>
              <w:rPr>
                <w:rFonts w:cs="Times New Roman"/>
                <w:szCs w:val="24"/>
              </w:rPr>
              <w:t>09:30</w:t>
            </w:r>
          </w:p>
        </w:tc>
        <w:tc>
          <w:tcPr>
            <w:tcW w:w="2805" w:type="dxa"/>
            <w:vMerge w:val="restart"/>
            <w:vAlign w:val="center"/>
          </w:tcPr>
          <w:p>
            <w:pPr>
              <w:ind w:firstLine="0" w:firstLineChars="0"/>
              <w:jc w:val="center"/>
              <w:rPr>
                <w:rFonts w:ascii="仿宋" w:hAnsi="仿宋"/>
                <w:szCs w:val="24"/>
              </w:rPr>
            </w:pPr>
            <w:r>
              <w:rPr>
                <w:rFonts w:hint="eastAsia" w:ascii="仿宋" w:hAnsi="仿宋"/>
                <w:szCs w:val="24"/>
              </w:rPr>
              <w:t>连续竞价</w:t>
            </w:r>
          </w:p>
        </w:tc>
        <w:tc>
          <w:tcPr>
            <w:tcW w:w="1110" w:type="dxa"/>
            <w:vMerge w:val="continue"/>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072" w:type="dxa"/>
            <w:vMerge w:val="continue"/>
          </w:tcPr>
          <w:p>
            <w:pPr>
              <w:ind w:firstLine="0" w:firstLineChars="0"/>
              <w:rPr>
                <w:rFonts w:ascii="仿宋" w:hAnsi="仿宋"/>
                <w:szCs w:val="24"/>
              </w:rPr>
            </w:pPr>
          </w:p>
        </w:tc>
        <w:tc>
          <w:tcPr>
            <w:tcW w:w="1410" w:type="dxa"/>
            <w:vMerge w:val="continue"/>
          </w:tcPr>
          <w:p>
            <w:pPr>
              <w:ind w:firstLine="0" w:firstLineChars="0"/>
              <w:rPr>
                <w:rFonts w:ascii="仿宋" w:hAnsi="仿宋"/>
                <w:szCs w:val="24"/>
              </w:rPr>
            </w:pPr>
          </w:p>
        </w:tc>
        <w:tc>
          <w:tcPr>
            <w:tcW w:w="1033"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86" w:type="dxa"/>
            <w:vMerge w:val="continue"/>
            <w:vAlign w:val="center"/>
          </w:tcPr>
          <w:p>
            <w:pPr>
              <w:ind w:firstLine="0" w:firstLineChars="0"/>
            </w:pPr>
          </w:p>
        </w:tc>
        <w:tc>
          <w:tcPr>
            <w:tcW w:w="2805" w:type="dxa"/>
            <w:vMerge w:val="continue"/>
            <w:vAlign w:val="center"/>
          </w:tcPr>
          <w:p>
            <w:pPr>
              <w:ind w:firstLine="0" w:firstLineChars="0"/>
            </w:pPr>
          </w:p>
        </w:tc>
        <w:tc>
          <w:tcPr>
            <w:tcW w:w="1110" w:type="dxa"/>
            <w:vMerge w:val="continue"/>
          </w:tcPr>
          <w:p>
            <w:pPr>
              <w:ind w:firstLine="0" w:firstLineChars="0"/>
            </w:pPr>
          </w:p>
        </w:tc>
        <w:tc>
          <w:tcPr>
            <w:tcW w:w="1110" w:type="dxa"/>
            <w:vMerge w:val="continue"/>
          </w:tcPr>
          <w:p>
            <w:pPr>
              <w:ind w:firstLine="0" w:firstLineChars="0"/>
            </w:pPr>
          </w:p>
        </w:tc>
        <w:tc>
          <w:tcPr>
            <w:tcW w:w="1072" w:type="dxa"/>
            <w:vMerge w:val="continue"/>
          </w:tcPr>
          <w:p>
            <w:pPr>
              <w:ind w:firstLine="0" w:firstLineChars="0"/>
            </w:pPr>
          </w:p>
        </w:tc>
        <w:tc>
          <w:tcPr>
            <w:tcW w:w="2443" w:type="dxa"/>
            <w:gridSpan w:val="2"/>
            <w:vMerge w:val="restart"/>
            <w:vAlign w:val="center"/>
          </w:tcPr>
          <w:p>
            <w:pPr>
              <w:ind w:firstLine="0" w:firstLineChars="0"/>
              <w:jc w:val="center"/>
              <w:rPr>
                <w:rFonts w:ascii="仿宋" w:hAnsi="仿宋"/>
                <w:szCs w:val="24"/>
              </w:rPr>
            </w:pPr>
            <w:r>
              <w:rPr>
                <w:rFonts w:hint="eastAsia" w:ascii="仿宋" w:hAnsi="仿宋"/>
                <w:szCs w:val="24"/>
              </w:rPr>
              <w:t>实时撮合成交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6" w:type="dxa"/>
            <w:vAlign w:val="center"/>
          </w:tcPr>
          <w:p>
            <w:pPr>
              <w:ind w:firstLine="0" w:firstLineChars="0"/>
              <w:jc w:val="center"/>
              <w:rPr>
                <w:rFonts w:cs="Times New Roman"/>
                <w:szCs w:val="24"/>
              </w:rPr>
            </w:pPr>
            <w:r>
              <w:rPr>
                <w:rFonts w:cs="Times New Roman"/>
                <w:szCs w:val="24"/>
              </w:rPr>
              <w:t>10:30</w:t>
            </w:r>
          </w:p>
        </w:tc>
        <w:tc>
          <w:tcPr>
            <w:tcW w:w="2805" w:type="dxa"/>
            <w:vMerge w:val="continue"/>
            <w:vAlign w:val="center"/>
          </w:tcPr>
          <w:p>
            <w:pPr>
              <w:ind w:firstLine="480"/>
              <w:rPr>
                <w:rFonts w:ascii="仿宋" w:hAnsi="仿宋"/>
                <w:szCs w:val="24"/>
              </w:rPr>
            </w:pPr>
          </w:p>
        </w:tc>
        <w:tc>
          <w:tcPr>
            <w:tcW w:w="1110" w:type="dxa"/>
            <w:vMerge w:val="continue"/>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072"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6" w:type="dxa"/>
            <w:vAlign w:val="center"/>
          </w:tcPr>
          <w:p>
            <w:pPr>
              <w:ind w:firstLine="0" w:firstLineChars="0"/>
              <w:jc w:val="center"/>
              <w:rPr>
                <w:rFonts w:cs="Times New Roman"/>
                <w:szCs w:val="24"/>
              </w:rPr>
            </w:pPr>
            <w:r>
              <w:rPr>
                <w:rFonts w:cs="Times New Roman"/>
                <w:szCs w:val="24"/>
              </w:rPr>
              <w:t>11:30</w:t>
            </w:r>
          </w:p>
        </w:tc>
        <w:tc>
          <w:tcPr>
            <w:tcW w:w="2805" w:type="dxa"/>
            <w:vMerge w:val="continue"/>
            <w:vAlign w:val="center"/>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072"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86" w:type="dxa"/>
            <w:vAlign w:val="center"/>
          </w:tcPr>
          <w:p>
            <w:pPr>
              <w:ind w:firstLine="0" w:firstLineChars="0"/>
              <w:jc w:val="center"/>
              <w:rPr>
                <w:rFonts w:cs="Times New Roman"/>
                <w:szCs w:val="24"/>
              </w:rPr>
            </w:pPr>
            <w:r>
              <w:rPr>
                <w:rFonts w:cs="Times New Roman"/>
                <w:szCs w:val="24"/>
              </w:rPr>
              <w:t>11:30</w:t>
            </w:r>
          </w:p>
        </w:tc>
        <w:tc>
          <w:tcPr>
            <w:tcW w:w="8540" w:type="dxa"/>
            <w:gridSpan w:val="6"/>
            <w:vAlign w:val="center"/>
          </w:tcPr>
          <w:p>
            <w:pPr>
              <w:ind w:firstLine="0" w:firstLineChars="0"/>
              <w:jc w:val="center"/>
              <w:rPr>
                <w:rFonts w:ascii="仿宋" w:hAnsi="仿宋"/>
                <w:szCs w:val="24"/>
              </w:rPr>
            </w:pPr>
            <w:r>
              <w:rPr>
                <w:rFonts w:hint="eastAsia" w:ascii="仿宋" w:hAnsi="仿宋"/>
                <w:szCs w:val="24"/>
              </w:rPr>
              <w:t>中午休市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86" w:type="dxa"/>
            <w:vAlign w:val="center"/>
          </w:tcPr>
          <w:p>
            <w:pPr>
              <w:ind w:firstLine="0" w:firstLineChars="0"/>
              <w:jc w:val="center"/>
              <w:rPr>
                <w:rFonts w:cs="Times New Roman"/>
                <w:szCs w:val="24"/>
              </w:rPr>
            </w:pPr>
            <w:r>
              <w:rPr>
                <w:rFonts w:cs="Times New Roman"/>
                <w:szCs w:val="24"/>
              </w:rPr>
              <w:t>13:00</w:t>
            </w:r>
          </w:p>
        </w:tc>
        <w:tc>
          <w:tcPr>
            <w:tcW w:w="8540" w:type="dxa"/>
            <w:gridSpan w:val="6"/>
            <w:vAlign w:val="center"/>
          </w:tcPr>
          <w:p>
            <w:pPr>
              <w:ind w:firstLine="0" w:firstLineChars="0"/>
              <w:jc w:val="center"/>
              <w:rPr>
                <w:rFonts w:ascii="仿宋" w:hAnsi="仿宋"/>
                <w:szCs w:val="24"/>
              </w:rPr>
            </w:pPr>
            <w:r>
              <w:rPr>
                <w:rFonts w:hint="eastAsia" w:ascii="仿宋" w:hAnsi="仿宋"/>
                <w:szCs w:val="24"/>
              </w:rPr>
              <w:t>下午开市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86" w:type="dxa"/>
            <w:vAlign w:val="center"/>
          </w:tcPr>
          <w:p>
            <w:pPr>
              <w:ind w:firstLine="0" w:firstLineChars="0"/>
              <w:jc w:val="center"/>
              <w:rPr>
                <w:rFonts w:cs="Times New Roman"/>
                <w:szCs w:val="24"/>
              </w:rPr>
            </w:pPr>
            <w:r>
              <w:rPr>
                <w:rFonts w:cs="Times New Roman"/>
                <w:szCs w:val="24"/>
              </w:rPr>
              <w:t>13:00</w:t>
            </w:r>
          </w:p>
        </w:tc>
        <w:tc>
          <w:tcPr>
            <w:tcW w:w="2805" w:type="dxa"/>
            <w:vMerge w:val="restart"/>
            <w:vAlign w:val="center"/>
          </w:tcPr>
          <w:p>
            <w:pPr>
              <w:ind w:firstLine="0" w:firstLineChars="0"/>
              <w:jc w:val="center"/>
              <w:rPr>
                <w:rFonts w:ascii="仿宋" w:hAnsi="仿宋"/>
                <w:szCs w:val="24"/>
              </w:rPr>
            </w:pPr>
            <w:r>
              <w:rPr>
                <w:rFonts w:hint="eastAsia" w:ascii="仿宋" w:hAnsi="仿宋"/>
                <w:szCs w:val="24"/>
              </w:rPr>
              <w:t>连续竞价</w:t>
            </w:r>
          </w:p>
        </w:tc>
        <w:tc>
          <w:tcPr>
            <w:tcW w:w="1110" w:type="dxa"/>
            <w:vMerge w:val="restart"/>
            <w:vAlign w:val="center"/>
          </w:tcPr>
          <w:p>
            <w:pPr>
              <w:ind w:firstLine="0" w:firstLineChars="0"/>
              <w:rPr>
                <w:rFonts w:ascii="仿宋" w:hAnsi="仿宋"/>
                <w:szCs w:val="24"/>
              </w:rPr>
            </w:pPr>
            <w:r>
              <w:rPr>
                <w:rFonts w:hint="eastAsia" w:ascii="仿宋" w:hAnsi="仿宋"/>
                <w:szCs w:val="24"/>
              </w:rPr>
              <w:t>询价</w:t>
            </w:r>
            <w:r>
              <w:rPr>
                <w:rFonts w:ascii="仿宋" w:hAnsi="仿宋"/>
                <w:szCs w:val="24"/>
              </w:rPr>
              <w:t>申报</w:t>
            </w:r>
          </w:p>
        </w:tc>
        <w:tc>
          <w:tcPr>
            <w:tcW w:w="1110" w:type="dxa"/>
            <w:vMerge w:val="restart"/>
            <w:vAlign w:val="center"/>
          </w:tcPr>
          <w:p>
            <w:pPr>
              <w:ind w:firstLine="0" w:firstLineChars="0"/>
              <w:rPr>
                <w:rFonts w:ascii="仿宋" w:hAnsi="仿宋"/>
                <w:szCs w:val="24"/>
              </w:rPr>
            </w:pPr>
            <w:r>
              <w:rPr>
                <w:rFonts w:ascii="仿宋" w:hAnsi="仿宋"/>
                <w:szCs w:val="24"/>
              </w:rPr>
              <w:t>申购申报</w:t>
            </w:r>
          </w:p>
        </w:tc>
        <w:tc>
          <w:tcPr>
            <w:tcW w:w="1072" w:type="dxa"/>
            <w:vMerge w:val="restart"/>
            <w:vAlign w:val="center"/>
          </w:tcPr>
          <w:p>
            <w:pPr>
              <w:ind w:firstLine="0" w:firstLineChars="0"/>
              <w:rPr>
                <w:rFonts w:ascii="仿宋" w:hAnsi="仿宋"/>
                <w:szCs w:val="24"/>
              </w:rPr>
            </w:pPr>
            <w:r>
              <w:rPr>
                <w:rFonts w:hint="eastAsia" w:ascii="仿宋" w:hAnsi="仿宋"/>
                <w:szCs w:val="24"/>
              </w:rPr>
              <w:t>要约申报</w:t>
            </w:r>
          </w:p>
        </w:tc>
        <w:tc>
          <w:tcPr>
            <w:tcW w:w="2443" w:type="dxa"/>
            <w:gridSpan w:val="2"/>
            <w:vMerge w:val="restart"/>
            <w:vAlign w:val="center"/>
          </w:tcPr>
          <w:p>
            <w:pPr>
              <w:ind w:firstLine="0" w:firstLineChars="0"/>
              <w:jc w:val="center"/>
              <w:rPr>
                <w:rFonts w:ascii="仿宋" w:hAnsi="仿宋"/>
                <w:szCs w:val="24"/>
              </w:rPr>
            </w:pPr>
            <w:r>
              <w:rPr>
                <w:rFonts w:hint="eastAsia" w:ascii="仿宋" w:hAnsi="仿宋"/>
                <w:szCs w:val="24"/>
              </w:rPr>
              <w:t>实时撮合成交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86" w:type="dxa"/>
            <w:vAlign w:val="center"/>
          </w:tcPr>
          <w:p>
            <w:pPr>
              <w:ind w:firstLine="0" w:firstLineChars="0"/>
              <w:jc w:val="center"/>
              <w:rPr>
                <w:rFonts w:cs="Times New Roman"/>
                <w:szCs w:val="24"/>
              </w:rPr>
            </w:pPr>
            <w:r>
              <w:rPr>
                <w:rFonts w:cs="Times New Roman"/>
                <w:szCs w:val="24"/>
              </w:rPr>
              <w:t>14:00</w:t>
            </w:r>
          </w:p>
        </w:tc>
        <w:tc>
          <w:tcPr>
            <w:tcW w:w="2805" w:type="dxa"/>
            <w:vMerge w:val="continue"/>
            <w:vAlign w:val="center"/>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072"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686" w:type="dxa"/>
            <w:vAlign w:val="center"/>
          </w:tcPr>
          <w:p>
            <w:pPr>
              <w:ind w:firstLine="0" w:firstLineChars="0"/>
              <w:jc w:val="center"/>
              <w:rPr>
                <w:rFonts w:cs="Times New Roman"/>
                <w:szCs w:val="24"/>
              </w:rPr>
            </w:pPr>
            <w:r>
              <w:rPr>
                <w:rFonts w:cs="Times New Roman"/>
                <w:szCs w:val="24"/>
              </w:rPr>
              <w:t>14:57</w:t>
            </w:r>
          </w:p>
        </w:tc>
        <w:tc>
          <w:tcPr>
            <w:tcW w:w="2805" w:type="dxa"/>
            <w:vMerge w:val="continue"/>
            <w:vAlign w:val="center"/>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072"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686" w:type="dxa"/>
            <w:vAlign w:val="center"/>
          </w:tcPr>
          <w:p>
            <w:pPr>
              <w:ind w:firstLine="0" w:firstLineChars="0"/>
              <w:jc w:val="center"/>
              <w:rPr>
                <w:rFonts w:cs="Times New Roman"/>
                <w:szCs w:val="24"/>
              </w:rPr>
            </w:pPr>
            <w:r>
              <w:rPr>
                <w:rFonts w:cs="Times New Roman"/>
                <w:szCs w:val="24"/>
              </w:rPr>
              <w:t>15:00</w:t>
            </w:r>
          </w:p>
        </w:tc>
        <w:tc>
          <w:tcPr>
            <w:tcW w:w="2805" w:type="dxa"/>
            <w:vAlign w:val="center"/>
          </w:tcPr>
          <w:p>
            <w:pPr>
              <w:ind w:firstLine="0" w:firstLineChars="0"/>
              <w:jc w:val="center"/>
              <w:rPr>
                <w:rFonts w:ascii="仿宋" w:hAnsi="仿宋"/>
                <w:szCs w:val="24"/>
              </w:rPr>
            </w:pPr>
            <w:r>
              <w:rPr>
                <w:rFonts w:hint="eastAsia" w:ascii="仿宋" w:hAnsi="仿宋"/>
                <w:szCs w:val="24"/>
              </w:rPr>
              <w:t>收盘集合竞价</w:t>
            </w:r>
          </w:p>
        </w:tc>
        <w:tc>
          <w:tcPr>
            <w:tcW w:w="1110" w:type="dxa"/>
            <w:vMerge w:val="continue"/>
          </w:tcPr>
          <w:p>
            <w:pPr>
              <w:ind w:firstLine="0" w:firstLineChars="0"/>
              <w:rPr>
                <w:rFonts w:ascii="仿宋" w:hAnsi="仿宋"/>
                <w:szCs w:val="24"/>
              </w:rPr>
            </w:pPr>
          </w:p>
        </w:tc>
        <w:tc>
          <w:tcPr>
            <w:tcW w:w="1110" w:type="dxa"/>
            <w:vMerge w:val="continue"/>
          </w:tcPr>
          <w:p>
            <w:pPr>
              <w:ind w:firstLine="0" w:firstLineChars="0"/>
              <w:rPr>
                <w:rFonts w:ascii="仿宋" w:hAnsi="仿宋"/>
                <w:szCs w:val="24"/>
              </w:rPr>
            </w:pPr>
          </w:p>
        </w:tc>
        <w:tc>
          <w:tcPr>
            <w:tcW w:w="1072"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686" w:type="dxa"/>
            <w:vAlign w:val="center"/>
          </w:tcPr>
          <w:p>
            <w:pPr>
              <w:ind w:firstLine="0" w:firstLineChars="0"/>
              <w:jc w:val="center"/>
              <w:rPr>
                <w:rFonts w:cs="Times New Roman"/>
                <w:szCs w:val="24"/>
              </w:rPr>
            </w:pPr>
            <w:r>
              <w:rPr>
                <w:rFonts w:cs="Times New Roman"/>
                <w:szCs w:val="24"/>
              </w:rPr>
              <w:t>15:00-15:30</w:t>
            </w:r>
          </w:p>
        </w:tc>
        <w:tc>
          <w:tcPr>
            <w:tcW w:w="2805" w:type="dxa"/>
            <w:vAlign w:val="center"/>
          </w:tcPr>
          <w:p>
            <w:pPr>
              <w:ind w:firstLine="0" w:firstLineChars="0"/>
              <w:jc w:val="center"/>
              <w:rPr>
                <w:rFonts w:ascii="仿宋" w:hAnsi="仿宋"/>
                <w:szCs w:val="24"/>
              </w:rPr>
            </w:pPr>
            <w:r>
              <w:rPr>
                <w:rFonts w:hint="eastAsia" w:ascii="仿宋" w:hAnsi="仿宋"/>
                <w:szCs w:val="24"/>
              </w:rPr>
              <w:t>大宗交易</w:t>
            </w:r>
          </w:p>
        </w:tc>
        <w:tc>
          <w:tcPr>
            <w:tcW w:w="2220" w:type="dxa"/>
            <w:gridSpan w:val="2"/>
            <w:tcBorders>
              <w:tl2br w:val="nil"/>
            </w:tcBorders>
            <w:vAlign w:val="center"/>
          </w:tcPr>
          <w:p>
            <w:pPr>
              <w:ind w:firstLine="0" w:firstLineChars="0"/>
              <w:jc w:val="center"/>
              <w:rPr>
                <w:rFonts w:ascii="仿宋" w:hAnsi="仿宋"/>
                <w:szCs w:val="24"/>
              </w:rPr>
            </w:pPr>
            <w:r>
              <w:rPr>
                <w:rFonts w:hint="eastAsia" w:ascii="仿宋" w:hAnsi="仿宋"/>
                <w:szCs w:val="24"/>
              </w:rPr>
              <w:t>——</w:t>
            </w:r>
          </w:p>
        </w:tc>
        <w:tc>
          <w:tcPr>
            <w:tcW w:w="1072" w:type="dxa"/>
            <w:tcBorders>
              <w:tl2br w:val="nil"/>
            </w:tcBorders>
            <w:vAlign w:val="center"/>
          </w:tcPr>
          <w:p>
            <w:pPr>
              <w:ind w:firstLine="0" w:firstLineChars="0"/>
              <w:jc w:val="center"/>
              <w:rPr>
                <w:rFonts w:hint="eastAsia" w:ascii="仿宋" w:hAnsi="仿宋" w:eastAsia="仿宋"/>
                <w:szCs w:val="24"/>
                <w:lang w:eastAsia="zh-CN"/>
              </w:rPr>
            </w:pPr>
            <w:r>
              <w:rPr>
                <w:rFonts w:hint="eastAsia" w:ascii="仿宋" w:hAnsi="仿宋"/>
                <w:szCs w:val="24"/>
                <w:lang w:eastAsia="zh-CN"/>
              </w:rPr>
              <w:t>——</w:t>
            </w:r>
          </w:p>
        </w:tc>
        <w:tc>
          <w:tcPr>
            <w:tcW w:w="1410"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c>
          <w:tcPr>
            <w:tcW w:w="1033"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686" w:type="dxa"/>
            <w:vAlign w:val="center"/>
          </w:tcPr>
          <w:p>
            <w:pPr>
              <w:ind w:firstLine="0" w:firstLineChars="0"/>
              <w:jc w:val="center"/>
              <w:rPr>
                <w:rFonts w:cs="Times New Roman"/>
                <w:szCs w:val="24"/>
              </w:rPr>
            </w:pPr>
            <w:r>
              <w:rPr>
                <w:rFonts w:cs="Times New Roman"/>
                <w:szCs w:val="24"/>
              </w:rPr>
              <w:t>15:30</w:t>
            </w:r>
          </w:p>
        </w:tc>
        <w:tc>
          <w:tcPr>
            <w:tcW w:w="8540" w:type="dxa"/>
            <w:gridSpan w:val="6"/>
            <w:vAlign w:val="center"/>
          </w:tcPr>
          <w:p>
            <w:pPr>
              <w:ind w:firstLine="0" w:firstLineChars="0"/>
              <w:jc w:val="center"/>
              <w:rPr>
                <w:rFonts w:ascii="仿宋" w:hAnsi="仿宋"/>
                <w:szCs w:val="24"/>
              </w:rPr>
            </w:pPr>
            <w:r>
              <w:rPr>
                <w:rFonts w:hint="eastAsia" w:ascii="仿宋" w:hAnsi="仿宋"/>
                <w:szCs w:val="24"/>
              </w:rPr>
              <w:t>闭市</w:t>
            </w:r>
          </w:p>
        </w:tc>
      </w:tr>
    </w:tbl>
    <w:p>
      <w:pPr>
        <w:spacing w:line="360" w:lineRule="auto"/>
        <w:ind w:firstLine="0" w:firstLineChars="0"/>
        <w:jc w:val="both"/>
        <w:rPr>
          <w:rFonts w:cs="Times New Roman"/>
        </w:rPr>
      </w:pPr>
      <w:bookmarkStart w:id="31" w:name="_Toc376597522"/>
    </w:p>
    <w:p>
      <w:pPr>
        <w:pStyle w:val="73"/>
        <w:spacing w:before="163" w:after="163"/>
        <w:ind w:firstLine="600"/>
      </w:pPr>
      <w:bookmarkStart w:id="32" w:name="_Toc157623421"/>
      <w:bookmarkStart w:id="33" w:name="_Toc1455581406"/>
      <w:r>
        <w:rPr>
          <w:rFonts w:hint="eastAsia"/>
        </w:rPr>
        <w:t>五、</w:t>
      </w:r>
      <w:r>
        <w:t>仿真测试内容</w:t>
      </w:r>
      <w:bookmarkEnd w:id="31"/>
      <w:bookmarkEnd w:id="32"/>
      <w:bookmarkEnd w:id="3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验证各参测机构技术系统已完成北交所股票启用</w:t>
      </w:r>
      <w:r>
        <w:rPr>
          <w:rFonts w:hint="eastAsia" w:cs="Times New Roman"/>
          <w:color w:val="000000" w:themeColor="text1"/>
          <w:sz w:val="30"/>
          <w:szCs w:val="30"/>
          <w:lang w:eastAsia="zh-CN"/>
          <w14:textFill>
            <w14:solidFill>
              <w14:schemeClr w14:val="tx1"/>
            </w14:solidFill>
          </w14:textFill>
        </w:rPr>
        <w:t>新证券</w:t>
      </w:r>
      <w:r>
        <w:rPr>
          <w:rFonts w:hint="eastAsia" w:cs="Times New Roman"/>
          <w:color w:val="000000" w:themeColor="text1"/>
          <w:sz w:val="30"/>
          <w:szCs w:val="30"/>
          <w14:textFill>
            <w14:solidFill>
              <w14:schemeClr w14:val="tx1"/>
            </w14:solidFill>
          </w14:textFill>
        </w:rPr>
        <w:t>代码号段相关改造，达到上线要求。</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1.验证北交所能正确对各类申报进行检查并返回检查确认结果。能够正确对各类有效委托进行撮合处理，发送成交回报。能够正确生成北交所各类行情。</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2.验证</w:t>
      </w: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日终处理，</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3.验证深证通通信系统能够正确转发证券公司的委托数据</w:t>
      </w:r>
      <w:r>
        <w:rPr>
          <w:rFonts w:hint="eastAsia" w:cs="Times New Roman"/>
          <w:color w:val="000000" w:themeColor="text1"/>
          <w:sz w:val="30"/>
          <w:szCs w:val="30"/>
          <w:lang w:eastAsia="zh-CN"/>
          <w14:textFill>
            <w14:solidFill>
              <w14:schemeClr w14:val="tx1"/>
            </w14:solidFill>
          </w14:textFill>
        </w:rPr>
        <w:t>、</w:t>
      </w:r>
      <w:r>
        <w:rPr>
          <w:rFonts w:hint="eastAsia" w:cs="Times New Roman"/>
          <w:color w:val="000000" w:themeColor="text1"/>
          <w:sz w:val="30"/>
          <w:szCs w:val="30"/>
          <w14:textFill>
            <w14:solidFill>
              <w14:schemeClr w14:val="tx1"/>
            </w14:solidFill>
          </w14:textFill>
        </w:rPr>
        <w:t>北交所的回报和行情数据。</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w:t>
      </w:r>
      <w:r>
        <w:rPr>
          <w:rFonts w:cs="Times New Roman"/>
          <w:color w:val="000000" w:themeColor="text1"/>
          <w:sz w:val="30"/>
          <w:szCs w:val="30"/>
          <w14:textFill>
            <w14:solidFill>
              <w14:schemeClr w14:val="tx1"/>
            </w14:solidFill>
          </w14:textFill>
        </w:rPr>
        <w:t>正确发送</w:t>
      </w:r>
      <w:r>
        <w:rPr>
          <w:rFonts w:hint="eastAsia" w:cs="Times New Roman"/>
          <w:color w:val="000000" w:themeColor="text1"/>
          <w:sz w:val="30"/>
          <w:szCs w:val="30"/>
          <w14:textFill>
            <w14:solidFill>
              <w14:schemeClr w14:val="tx1"/>
            </w14:solidFill>
          </w14:textFill>
        </w:rPr>
        <w:t>各类</w:t>
      </w:r>
      <w:r>
        <w:rPr>
          <w:rFonts w:cs="Times New Roman"/>
          <w:color w:val="000000" w:themeColor="text1"/>
          <w:sz w:val="30"/>
          <w:szCs w:val="30"/>
          <w14:textFill>
            <w14:solidFill>
              <w14:schemeClr w14:val="tx1"/>
            </w14:solidFill>
          </w14:textFill>
        </w:rPr>
        <w:t>委托</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接</w:t>
      </w:r>
      <w:r>
        <w:rPr>
          <w:rFonts w:hint="eastAsia" w:cs="Times New Roman"/>
          <w:color w:val="000000" w:themeColor="text1"/>
          <w:sz w:val="30"/>
          <w:szCs w:val="30"/>
          <w14:textFill>
            <w14:solidFill>
              <w14:schemeClr w14:val="tx1"/>
            </w14:solidFill>
          </w14:textFill>
        </w:rPr>
        <w:t>收北交所</w:t>
      </w:r>
      <w:r>
        <w:rPr>
          <w:rFonts w:cs="Times New Roman"/>
          <w:color w:val="000000" w:themeColor="text1"/>
          <w:sz w:val="30"/>
          <w:szCs w:val="30"/>
          <w14:textFill>
            <w14:solidFill>
              <w14:schemeClr w14:val="tx1"/>
            </w14:solidFill>
          </w14:textFill>
        </w:rPr>
        <w:t>返回</w:t>
      </w:r>
      <w:r>
        <w:rPr>
          <w:rFonts w:hint="eastAsia" w:cs="Times New Roman"/>
          <w:color w:val="000000" w:themeColor="text1"/>
          <w:sz w:val="30"/>
          <w:szCs w:val="30"/>
          <w14:textFill>
            <w14:solidFill>
              <w14:schemeClr w14:val="tx1"/>
            </w14:solidFill>
          </w14:textFill>
        </w:rPr>
        <w:t>的回报和行情数据</w:t>
      </w:r>
      <w:r>
        <w:rPr>
          <w:rFonts w:cs="Times New Roman"/>
          <w:color w:val="000000" w:themeColor="text1"/>
          <w:sz w:val="30"/>
          <w:szCs w:val="30"/>
          <w14:textFill>
            <w14:solidFill>
              <w14:schemeClr w14:val="tx1"/>
            </w14:solidFill>
          </w14:textFill>
        </w:rPr>
        <w:t>并进行实时处理</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sectPr>
          <w:footerReference r:id="rId11" w:type="default"/>
          <w:footerReference r:id="rId12" w:type="even"/>
          <w:pgSz w:w="11906" w:h="16838"/>
          <w:pgMar w:top="1588" w:right="1701" w:bottom="1588" w:left="1701" w:header="907" w:footer="907" w:gutter="0"/>
          <w:pgNumType w:fmt="numberInDash" w:start="1"/>
          <w:cols w:space="720" w:num="1"/>
          <w:docGrid w:type="linesAndChars" w:linePitch="326" w:charSpace="0"/>
        </w:sectPr>
      </w:pPr>
      <w:r>
        <w:rPr>
          <w:rFonts w:cs="Times New Roman"/>
          <w:color w:val="000000" w:themeColor="text1"/>
          <w:sz w:val="30"/>
          <w:szCs w:val="30"/>
          <w14:textFill>
            <w14:solidFill>
              <w14:schemeClr w14:val="tx1"/>
            </w14:solidFill>
          </w14:textFill>
        </w:rPr>
        <w:t>5.</w:t>
      </w:r>
      <w:r>
        <w:rPr>
          <w:rFonts w:hint="eastAsia" w:cs="Times New Roman"/>
          <w:color w:val="000000" w:themeColor="text1"/>
          <w:sz w:val="30"/>
          <w:szCs w:val="30"/>
          <w14:textFill>
            <w14:solidFill>
              <w14:schemeClr w14:val="tx1"/>
            </w14:solidFill>
          </w14:textFill>
        </w:rPr>
        <w:t>验证各提供北交所行情服务的信息商能够正确接收、处理、揭示北交所各类行情信息。</w:t>
      </w:r>
    </w:p>
    <w:p>
      <w:pPr>
        <w:spacing w:line="240" w:lineRule="auto"/>
        <w:ind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34" w:name="_Toc1037702227"/>
      <w:bookmarkStart w:id="35" w:name="_Toc157623422"/>
      <w:r>
        <w:rPr>
          <w:rFonts w:hint="eastAsia"/>
        </w:rPr>
        <w:t>六、</w:t>
      </w:r>
      <w:r>
        <w:t>测试场景</w:t>
      </w:r>
      <w:r>
        <w:rPr>
          <w:rFonts w:hint="eastAsia"/>
        </w:rPr>
        <w:t>及相关说明</w:t>
      </w:r>
      <w:bookmarkEnd w:id="34"/>
      <w:bookmarkEnd w:id="35"/>
    </w:p>
    <w:p>
      <w:pPr>
        <w:pStyle w:val="73"/>
        <w:spacing w:before="163" w:after="163"/>
        <w:ind w:firstLine="560"/>
        <w:rPr>
          <w:rFonts w:ascii="楷体" w:hAnsi="楷体" w:eastAsia="楷体"/>
          <w:sz w:val="28"/>
          <w:szCs w:val="28"/>
        </w:rPr>
      </w:pPr>
      <w:bookmarkStart w:id="36" w:name="_Toc221508924"/>
      <w:bookmarkStart w:id="37" w:name="_Toc157623423"/>
      <w:r>
        <w:rPr>
          <w:rFonts w:hint="eastAsia" w:ascii="楷体" w:hAnsi="楷体" w:eastAsia="楷体"/>
          <w:sz w:val="28"/>
          <w:szCs w:val="28"/>
        </w:rPr>
        <w:t>（</w:t>
      </w:r>
      <w:r>
        <w:rPr>
          <w:rFonts w:ascii="楷体" w:hAnsi="楷体" w:eastAsia="楷体"/>
          <w:sz w:val="28"/>
          <w:szCs w:val="28"/>
        </w:rPr>
        <w:t>一）公开发行测试</w:t>
      </w:r>
      <w:r>
        <w:rPr>
          <w:rFonts w:hint="eastAsia" w:ascii="楷体" w:hAnsi="楷体" w:eastAsia="楷体"/>
          <w:sz w:val="28"/>
          <w:szCs w:val="28"/>
        </w:rPr>
        <w:t>证券及测试时间</w:t>
      </w:r>
      <w:r>
        <w:rPr>
          <w:rFonts w:ascii="楷体" w:hAnsi="楷体" w:eastAsia="楷体"/>
          <w:sz w:val="28"/>
          <w:szCs w:val="28"/>
        </w:rPr>
        <w:t>安排</w:t>
      </w:r>
      <w:bookmarkEnd w:id="36"/>
      <w:bookmarkEnd w:id="37"/>
    </w:p>
    <w:tbl>
      <w:tblPr>
        <w:tblStyle w:val="37"/>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384"/>
        <w:gridCol w:w="881"/>
        <w:gridCol w:w="2175"/>
        <w:gridCol w:w="1665"/>
        <w:gridCol w:w="1395"/>
        <w:gridCol w:w="26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F2F2F2"/>
            <w:vAlign w:val="center"/>
          </w:tcPr>
          <w:p>
            <w:pPr>
              <w:ind w:firstLine="0" w:firstLineChars="0"/>
              <w:jc w:val="center"/>
              <w:rPr>
                <w:b/>
                <w:bCs/>
              </w:rPr>
            </w:pPr>
            <w:r>
              <w:rPr>
                <w:rFonts w:hint="eastAsia"/>
                <w:b/>
                <w:bCs/>
              </w:rPr>
              <w:t>证券代码</w:t>
            </w:r>
          </w:p>
        </w:tc>
        <w:tc>
          <w:tcPr>
            <w:tcW w:w="1384" w:type="dxa"/>
            <w:shd w:val="clear" w:color="auto" w:fill="F2F2F2"/>
            <w:vAlign w:val="center"/>
          </w:tcPr>
          <w:p>
            <w:pPr>
              <w:ind w:firstLine="0" w:firstLineChars="0"/>
              <w:jc w:val="center"/>
              <w:rPr>
                <w:b/>
                <w:bCs/>
              </w:rPr>
            </w:pPr>
            <w:r>
              <w:rPr>
                <w:rFonts w:hint="eastAsia"/>
                <w:b/>
                <w:bCs/>
              </w:rPr>
              <w:t>新三板基础券</w:t>
            </w:r>
          </w:p>
        </w:tc>
        <w:tc>
          <w:tcPr>
            <w:tcW w:w="881" w:type="dxa"/>
            <w:shd w:val="clear" w:color="auto" w:fill="F2F2F2"/>
            <w:vAlign w:val="center"/>
          </w:tcPr>
          <w:p>
            <w:pPr>
              <w:ind w:firstLine="0" w:firstLineChars="0"/>
              <w:jc w:val="center"/>
              <w:rPr>
                <w:b/>
                <w:bCs/>
              </w:rPr>
            </w:pPr>
            <w:r>
              <w:rPr>
                <w:rFonts w:hint="eastAsia"/>
                <w:b/>
                <w:bCs/>
              </w:rPr>
              <w:t>方式</w:t>
            </w:r>
          </w:p>
        </w:tc>
        <w:tc>
          <w:tcPr>
            <w:tcW w:w="2175" w:type="dxa"/>
            <w:shd w:val="clear" w:color="auto" w:fill="F2F2F2"/>
            <w:vAlign w:val="center"/>
          </w:tcPr>
          <w:p>
            <w:pPr>
              <w:ind w:firstLine="0" w:firstLineChars="0"/>
              <w:jc w:val="center"/>
              <w:rPr>
                <w:b/>
                <w:bCs/>
              </w:rPr>
            </w:pPr>
            <w:r>
              <w:rPr>
                <w:rFonts w:hint="eastAsia"/>
                <w:b/>
                <w:bCs/>
              </w:rPr>
              <w:t>发行量</w:t>
            </w:r>
          </w:p>
        </w:tc>
        <w:tc>
          <w:tcPr>
            <w:tcW w:w="1665" w:type="dxa"/>
            <w:shd w:val="clear" w:color="auto" w:fill="F2F2F2"/>
            <w:vAlign w:val="center"/>
          </w:tcPr>
          <w:p>
            <w:pPr>
              <w:ind w:firstLine="0" w:firstLineChars="0"/>
              <w:jc w:val="center"/>
              <w:rPr>
                <w:b/>
                <w:bCs/>
              </w:rPr>
            </w:pPr>
            <w:r>
              <w:rPr>
                <w:rFonts w:hint="eastAsia"/>
                <w:b/>
                <w:bCs/>
              </w:rPr>
              <w:t>价格</w:t>
            </w:r>
          </w:p>
        </w:tc>
        <w:tc>
          <w:tcPr>
            <w:tcW w:w="1395" w:type="dxa"/>
            <w:shd w:val="clear" w:color="auto" w:fill="F2F2F2"/>
            <w:vAlign w:val="center"/>
          </w:tcPr>
          <w:p>
            <w:pPr>
              <w:ind w:firstLine="0" w:firstLineChars="0"/>
              <w:jc w:val="center"/>
              <w:rPr>
                <w:b/>
                <w:bCs/>
              </w:rPr>
            </w:pPr>
            <w:r>
              <w:rPr>
                <w:rFonts w:hint="eastAsia"/>
                <w:b/>
                <w:bCs/>
              </w:rPr>
              <w:t>申购上下限</w:t>
            </w:r>
          </w:p>
        </w:tc>
        <w:tc>
          <w:tcPr>
            <w:tcW w:w="2685" w:type="dxa"/>
            <w:shd w:val="clear" w:color="auto" w:fill="F2F2F2"/>
            <w:vAlign w:val="center"/>
          </w:tcPr>
          <w:p>
            <w:pPr>
              <w:ind w:firstLine="0" w:firstLineChars="0"/>
              <w:jc w:val="center"/>
              <w:rPr>
                <w:b/>
                <w:bCs/>
              </w:rPr>
            </w:pPr>
            <w:r>
              <w:rPr>
                <w:rFonts w:hint="eastAsia"/>
                <w:b/>
                <w:bCs/>
              </w:rPr>
              <w:t>发行日期</w:t>
            </w:r>
          </w:p>
        </w:tc>
        <w:tc>
          <w:tcPr>
            <w:tcW w:w="1350" w:type="dxa"/>
            <w:shd w:val="clear" w:color="auto" w:fill="F2F2F2"/>
            <w:vAlign w:val="center"/>
          </w:tcPr>
          <w:p>
            <w:pPr>
              <w:ind w:firstLine="0" w:firstLineChars="0"/>
              <w:jc w:val="center"/>
              <w:rPr>
                <w:b/>
                <w:bCs/>
              </w:rPr>
            </w:pPr>
            <w:r>
              <w:rPr>
                <w:rFonts w:hint="eastAsia"/>
                <w:b/>
                <w:bCs/>
              </w:rPr>
              <w:t>上市日期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92" w:type="dxa"/>
            <w:shd w:val="clear" w:color="auto" w:fill="auto"/>
            <w:vAlign w:val="center"/>
          </w:tcPr>
          <w:p>
            <w:pPr>
              <w:ind w:firstLine="0" w:firstLineChars="0"/>
              <w:jc w:val="center"/>
            </w:pPr>
            <w:r>
              <w:rPr>
                <w:rFonts w:hint="eastAsia"/>
              </w:rPr>
              <w:t>920011</w:t>
            </w:r>
          </w:p>
        </w:tc>
        <w:tc>
          <w:tcPr>
            <w:tcW w:w="1384" w:type="dxa"/>
            <w:shd w:val="clear" w:color="auto" w:fill="auto"/>
            <w:vAlign w:val="center"/>
          </w:tcPr>
          <w:p>
            <w:pPr>
              <w:ind w:firstLine="0" w:firstLineChars="0"/>
              <w:jc w:val="center"/>
            </w:pPr>
            <w:r>
              <w:rPr>
                <w:rFonts w:hint="eastAsia"/>
              </w:rPr>
              <w:t>839001</w:t>
            </w:r>
          </w:p>
        </w:tc>
        <w:tc>
          <w:tcPr>
            <w:tcW w:w="881" w:type="dxa"/>
            <w:shd w:val="clear" w:color="auto" w:fill="auto"/>
            <w:vAlign w:val="center"/>
          </w:tcPr>
          <w:p>
            <w:pPr>
              <w:ind w:firstLine="0" w:firstLineChars="0"/>
              <w:jc w:val="center"/>
              <w:textAlignment w:val="bottom"/>
            </w:pPr>
            <w:r>
              <w:rPr>
                <w:rFonts w:hint="eastAsia"/>
              </w:rPr>
              <w:t>定价</w:t>
            </w:r>
          </w:p>
        </w:tc>
        <w:tc>
          <w:tcPr>
            <w:tcW w:w="2175"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pPr>
            <w:r>
              <w:rPr>
                <w:rFonts w:hint="eastAsia"/>
              </w:rPr>
              <w:t>2月23日申购</w:t>
            </w:r>
          </w:p>
          <w:p>
            <w:pPr>
              <w:ind w:firstLine="0" w:firstLineChars="0"/>
            </w:pPr>
            <w:r>
              <w:rPr>
                <w:rFonts w:hint="eastAsia"/>
              </w:rPr>
              <w:t>2月26日配售</w:t>
            </w:r>
          </w:p>
        </w:tc>
        <w:tc>
          <w:tcPr>
            <w:tcW w:w="1350" w:type="dxa"/>
            <w:shd w:val="clear" w:color="auto" w:fill="auto"/>
            <w:vAlign w:val="center"/>
          </w:tcPr>
          <w:p>
            <w:pPr>
              <w:ind w:firstLine="0" w:firstLineChars="0"/>
            </w:pPr>
            <w:r>
              <w:rPr>
                <w:rFonts w:hint="eastAsia"/>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920012</w:t>
            </w:r>
          </w:p>
        </w:tc>
        <w:tc>
          <w:tcPr>
            <w:tcW w:w="1384" w:type="dxa"/>
            <w:shd w:val="clear" w:color="auto" w:fill="auto"/>
            <w:vAlign w:val="center"/>
          </w:tcPr>
          <w:p>
            <w:pPr>
              <w:ind w:firstLine="0" w:firstLineChars="0"/>
              <w:jc w:val="center"/>
            </w:pPr>
            <w:r>
              <w:rPr>
                <w:rFonts w:hint="eastAsia"/>
              </w:rPr>
              <w:t>839002</w:t>
            </w:r>
          </w:p>
        </w:tc>
        <w:tc>
          <w:tcPr>
            <w:tcW w:w="881" w:type="dxa"/>
            <w:shd w:val="clear" w:color="auto" w:fill="auto"/>
            <w:vAlign w:val="center"/>
          </w:tcPr>
          <w:p>
            <w:pPr>
              <w:ind w:firstLine="0" w:firstLineChars="0"/>
              <w:jc w:val="center"/>
            </w:pPr>
            <w:r>
              <w:rPr>
                <w:rFonts w:hint="eastAsia"/>
              </w:rPr>
              <w:t>询价</w:t>
            </w:r>
          </w:p>
        </w:tc>
        <w:tc>
          <w:tcPr>
            <w:tcW w:w="2175"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pPr>
            <w:r>
              <w:rPr>
                <w:rFonts w:hint="eastAsia"/>
                <w:lang w:eastAsia="zh-Hans"/>
              </w:rPr>
              <w:t>战略配售</w:t>
            </w:r>
            <w:r>
              <w:t>20</w:t>
            </w:r>
            <w:r>
              <w:rPr>
                <w:rFonts w:hint="eastAsia"/>
                <w:lang w:eastAsia="zh-Hans"/>
              </w:rPr>
              <w:t>万股</w:t>
            </w:r>
          </w:p>
        </w:tc>
        <w:tc>
          <w:tcPr>
            <w:tcW w:w="1665"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100-10万</w:t>
            </w:r>
          </w:p>
        </w:tc>
        <w:tc>
          <w:tcPr>
            <w:tcW w:w="2685" w:type="dxa"/>
            <w:shd w:val="clear" w:color="auto" w:fill="auto"/>
            <w:vAlign w:val="center"/>
          </w:tcPr>
          <w:p>
            <w:pPr>
              <w:ind w:firstLine="0" w:firstLineChars="0"/>
            </w:pPr>
            <w:r>
              <w:rPr>
                <w:rFonts w:hint="eastAsia"/>
              </w:rPr>
              <w:t>2月23日询价</w:t>
            </w:r>
          </w:p>
          <w:p>
            <w:pPr>
              <w:ind w:firstLine="0" w:firstLineChars="0"/>
            </w:pPr>
            <w:r>
              <w:rPr>
                <w:rFonts w:hint="eastAsia"/>
              </w:rPr>
              <w:t>2月28日申购</w:t>
            </w:r>
          </w:p>
          <w:p>
            <w:pPr>
              <w:ind w:firstLine="0" w:firstLineChars="0"/>
            </w:pPr>
            <w:r>
              <w:rPr>
                <w:rFonts w:hint="eastAsia"/>
              </w:rPr>
              <w:t>2月29日配售</w:t>
            </w:r>
          </w:p>
        </w:tc>
        <w:tc>
          <w:tcPr>
            <w:tcW w:w="1350" w:type="dxa"/>
            <w:shd w:val="clear" w:color="auto" w:fill="auto"/>
            <w:vAlign w:val="center"/>
          </w:tcPr>
          <w:p>
            <w:pPr>
              <w:ind w:firstLine="0" w:firstLineChars="0"/>
            </w:pPr>
            <w:r>
              <w:rPr>
                <w:rFonts w:hint="eastAsia"/>
              </w:rPr>
              <w:t>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920013</w:t>
            </w:r>
          </w:p>
        </w:tc>
        <w:tc>
          <w:tcPr>
            <w:tcW w:w="1384" w:type="dxa"/>
            <w:shd w:val="clear" w:color="auto" w:fill="auto"/>
            <w:vAlign w:val="center"/>
          </w:tcPr>
          <w:p>
            <w:pPr>
              <w:ind w:firstLine="0" w:firstLineChars="0"/>
              <w:jc w:val="center"/>
            </w:pPr>
            <w:r>
              <w:rPr>
                <w:rFonts w:hint="eastAsia"/>
              </w:rPr>
              <w:t>839003</w:t>
            </w:r>
          </w:p>
        </w:tc>
        <w:tc>
          <w:tcPr>
            <w:tcW w:w="881" w:type="dxa"/>
            <w:shd w:val="clear" w:color="auto" w:fill="auto"/>
            <w:vAlign w:val="center"/>
          </w:tcPr>
          <w:p>
            <w:pPr>
              <w:ind w:firstLine="0" w:firstLineChars="0"/>
              <w:jc w:val="center"/>
            </w:pPr>
            <w:r>
              <w:rPr>
                <w:rFonts w:hint="eastAsia"/>
              </w:rPr>
              <w:t>竞价</w:t>
            </w:r>
          </w:p>
        </w:tc>
        <w:tc>
          <w:tcPr>
            <w:tcW w:w="2175" w:type="dxa"/>
            <w:shd w:val="clear" w:color="auto" w:fill="auto"/>
            <w:vAlign w:val="center"/>
          </w:tcPr>
          <w:p>
            <w:pPr>
              <w:ind w:firstLine="0" w:firstLineChars="0"/>
            </w:pPr>
            <w:r>
              <w:rPr>
                <w:rFonts w:hint="eastAsia"/>
              </w:rPr>
              <w:t>网上80万股</w:t>
            </w:r>
          </w:p>
          <w:p>
            <w:pPr>
              <w:ind w:firstLine="0" w:firstLineChars="0"/>
            </w:pPr>
            <w:r>
              <w:rPr>
                <w:rFonts w:hint="eastAsia"/>
              </w:rPr>
              <w:t>战略配售16万股</w:t>
            </w:r>
          </w:p>
        </w:tc>
        <w:tc>
          <w:tcPr>
            <w:tcW w:w="1665" w:type="dxa"/>
            <w:shd w:val="clear" w:color="auto" w:fill="auto"/>
            <w:vAlign w:val="center"/>
          </w:tcPr>
          <w:p>
            <w:pPr>
              <w:ind w:firstLine="0" w:firstLineChars="0"/>
            </w:pPr>
            <w:r>
              <w:rPr>
                <w:rFonts w:hint="eastAsia"/>
              </w:rPr>
              <w:t>申购价1-5元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rPr>
                <w:lang w:eastAsia="zh-Hans"/>
              </w:rPr>
            </w:pPr>
            <w:r>
              <w:rPr>
                <w:rFonts w:hint="eastAsia"/>
              </w:rPr>
              <w:t>2</w:t>
            </w:r>
            <w:r>
              <w:rPr>
                <w:rFonts w:hint="eastAsia"/>
                <w:lang w:eastAsia="zh-Hans"/>
              </w:rPr>
              <w:t>月</w:t>
            </w:r>
            <w:r>
              <w:rPr>
                <w:rFonts w:hint="eastAsia"/>
              </w:rPr>
              <w:t>23</w:t>
            </w:r>
            <w:r>
              <w:rPr>
                <w:rFonts w:hint="eastAsia"/>
                <w:lang w:eastAsia="zh-Hans"/>
              </w:rPr>
              <w:t>日申购</w:t>
            </w:r>
          </w:p>
          <w:p>
            <w:pPr>
              <w:ind w:firstLine="0" w:firstLineChars="0"/>
              <w:rPr>
                <w:lang w:val="en" w:eastAsia="zh-Hans"/>
              </w:rPr>
            </w:pPr>
            <w:r>
              <w:rPr>
                <w:rFonts w:hint="eastAsia"/>
              </w:rPr>
              <w:t>2月26日配售</w:t>
            </w:r>
          </w:p>
        </w:tc>
        <w:tc>
          <w:tcPr>
            <w:tcW w:w="1350" w:type="dxa"/>
            <w:shd w:val="clear" w:color="auto" w:fill="auto"/>
            <w:vAlign w:val="center"/>
          </w:tcPr>
          <w:p>
            <w:pPr>
              <w:ind w:firstLine="0" w:firstLineChars="0"/>
            </w:pPr>
            <w:r>
              <w:rPr>
                <w:rFonts w:hint="eastAsia"/>
              </w:rPr>
              <w:t>3</w:t>
            </w:r>
            <w:r>
              <w:rPr>
                <w:rFonts w:hint="eastAsia"/>
                <w:lang w:eastAsia="zh-Hans"/>
              </w:rPr>
              <w:t>月</w:t>
            </w:r>
            <w:r>
              <w:rPr>
                <w:rFonts w:hint="eastAsia"/>
              </w:rPr>
              <w:t>1</w:t>
            </w:r>
            <w:r>
              <w:rPr>
                <w:rFonts w:hint="eastAsia"/>
                <w:lang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920014</w:t>
            </w:r>
          </w:p>
        </w:tc>
        <w:tc>
          <w:tcPr>
            <w:tcW w:w="1384" w:type="dxa"/>
            <w:shd w:val="clear" w:color="auto" w:fill="auto"/>
            <w:vAlign w:val="center"/>
          </w:tcPr>
          <w:p>
            <w:pPr>
              <w:ind w:firstLine="0" w:firstLineChars="0"/>
              <w:jc w:val="center"/>
            </w:pPr>
            <w:r>
              <w:rPr>
                <w:rFonts w:hint="eastAsia"/>
              </w:rPr>
              <w:t>839004</w:t>
            </w:r>
          </w:p>
        </w:tc>
        <w:tc>
          <w:tcPr>
            <w:tcW w:w="881" w:type="dxa"/>
            <w:shd w:val="clear" w:color="auto" w:fill="auto"/>
            <w:vAlign w:val="center"/>
          </w:tcPr>
          <w:p>
            <w:pPr>
              <w:ind w:firstLine="0" w:firstLineChars="0"/>
              <w:jc w:val="center"/>
            </w:pPr>
            <w:r>
              <w:rPr>
                <w:rFonts w:hint="eastAsia"/>
              </w:rPr>
              <w:t>定价</w:t>
            </w:r>
          </w:p>
        </w:tc>
        <w:tc>
          <w:tcPr>
            <w:tcW w:w="2175" w:type="dxa"/>
            <w:shd w:val="clear" w:color="auto" w:fill="auto"/>
            <w:vAlign w:val="center"/>
          </w:tcPr>
          <w:p>
            <w:pPr>
              <w:ind w:firstLine="0" w:firstLineChars="0"/>
            </w:pPr>
            <w:r>
              <w:rPr>
                <w:rFonts w:hint="eastAsia"/>
              </w:rPr>
              <w:t>网上80万股</w:t>
            </w:r>
          </w:p>
          <w:p>
            <w:pPr>
              <w:ind w:firstLine="0" w:firstLineChars="0"/>
            </w:pPr>
            <w:r>
              <w:rPr>
                <w:rFonts w:hint="eastAsia"/>
              </w:rPr>
              <w:t>战略配售</w:t>
            </w:r>
            <w:r>
              <w:t>20</w:t>
            </w:r>
            <w:r>
              <w:rPr>
                <w:rFonts w:hint="eastAsia"/>
              </w:rPr>
              <w:t>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pPr>
            <w:r>
              <w:rPr>
                <w:rFonts w:hint="eastAsia"/>
              </w:rPr>
              <w:t>2月23日申购</w:t>
            </w:r>
          </w:p>
          <w:p>
            <w:pPr>
              <w:ind w:firstLine="0" w:firstLineChars="0"/>
            </w:pPr>
            <w:r>
              <w:rPr>
                <w:rFonts w:hint="eastAsia"/>
              </w:rPr>
              <w:t>2月23日盘中紧急停牌</w:t>
            </w:r>
          </w:p>
          <w:p>
            <w:pPr>
              <w:ind w:firstLine="0" w:firstLineChars="0"/>
            </w:pPr>
            <w:r>
              <w:rPr>
                <w:rFonts w:hint="eastAsia"/>
              </w:rPr>
              <w:t>2月27日恢复申购</w:t>
            </w:r>
          </w:p>
          <w:p>
            <w:pPr>
              <w:ind w:firstLine="0" w:firstLineChars="0"/>
            </w:pPr>
            <w:r>
              <w:rPr>
                <w:rFonts w:hint="eastAsia"/>
              </w:rPr>
              <w:t>2月28日配售</w:t>
            </w:r>
          </w:p>
        </w:tc>
        <w:tc>
          <w:tcPr>
            <w:tcW w:w="1350" w:type="dxa"/>
            <w:shd w:val="clear" w:color="auto" w:fill="auto"/>
            <w:vAlign w:val="center"/>
          </w:tcPr>
          <w:p>
            <w:pPr>
              <w:ind w:firstLine="0" w:firstLineChars="0"/>
            </w:pPr>
            <w:r>
              <w:rPr>
                <w:rFonts w:hint="eastAsia"/>
              </w:rPr>
              <w:t>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920015</w:t>
            </w:r>
          </w:p>
        </w:tc>
        <w:tc>
          <w:tcPr>
            <w:tcW w:w="1384" w:type="dxa"/>
            <w:shd w:val="clear" w:color="auto" w:fill="auto"/>
            <w:vAlign w:val="center"/>
          </w:tcPr>
          <w:p>
            <w:pPr>
              <w:ind w:firstLine="0" w:firstLineChars="0"/>
              <w:jc w:val="center"/>
            </w:pPr>
            <w:r>
              <w:rPr>
                <w:rFonts w:hint="eastAsia"/>
              </w:rPr>
              <w:t>839005</w:t>
            </w:r>
          </w:p>
        </w:tc>
        <w:tc>
          <w:tcPr>
            <w:tcW w:w="881" w:type="dxa"/>
            <w:shd w:val="clear" w:color="auto" w:fill="auto"/>
            <w:vAlign w:val="center"/>
          </w:tcPr>
          <w:p>
            <w:pPr>
              <w:ind w:firstLine="0" w:firstLineChars="0"/>
              <w:jc w:val="center"/>
            </w:pPr>
            <w:r>
              <w:rPr>
                <w:rFonts w:hint="eastAsia"/>
              </w:rPr>
              <w:t>询价</w:t>
            </w:r>
          </w:p>
        </w:tc>
        <w:tc>
          <w:tcPr>
            <w:tcW w:w="2175"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pPr>
            <w:r>
              <w:rPr>
                <w:rFonts w:hint="eastAsia"/>
                <w:lang w:eastAsia="zh-Hans"/>
              </w:rPr>
              <w:t>战略配售</w:t>
            </w:r>
            <w:r>
              <w:t>20</w:t>
            </w:r>
            <w:r>
              <w:rPr>
                <w:rFonts w:hint="eastAsia"/>
                <w:lang w:eastAsia="zh-Hans"/>
              </w:rPr>
              <w:t>万股</w:t>
            </w:r>
          </w:p>
        </w:tc>
        <w:tc>
          <w:tcPr>
            <w:tcW w:w="1665"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100-10万</w:t>
            </w:r>
          </w:p>
        </w:tc>
        <w:tc>
          <w:tcPr>
            <w:tcW w:w="2685" w:type="dxa"/>
            <w:shd w:val="clear" w:color="auto" w:fill="auto"/>
            <w:vAlign w:val="center"/>
          </w:tcPr>
          <w:p>
            <w:pPr>
              <w:ind w:firstLine="0" w:firstLineChars="0"/>
            </w:pPr>
            <w:r>
              <w:rPr>
                <w:rFonts w:hint="eastAsia"/>
              </w:rPr>
              <w:t>2月23、26日询价</w:t>
            </w:r>
          </w:p>
          <w:p>
            <w:pPr>
              <w:ind w:firstLine="0" w:firstLineChars="0"/>
            </w:pPr>
            <w:r>
              <w:rPr>
                <w:rFonts w:hint="eastAsia"/>
              </w:rPr>
              <w:t>2月29日申购</w:t>
            </w:r>
          </w:p>
          <w:p>
            <w:pPr>
              <w:ind w:firstLine="0" w:firstLineChars="0"/>
            </w:pPr>
            <w:r>
              <w:rPr>
                <w:rFonts w:hint="eastAsia"/>
              </w:rPr>
              <w:t>3月1日配售</w:t>
            </w:r>
          </w:p>
        </w:tc>
        <w:tc>
          <w:tcPr>
            <w:tcW w:w="1350" w:type="dxa"/>
            <w:shd w:val="clear" w:color="auto" w:fill="auto"/>
            <w:vAlign w:val="center"/>
          </w:tcPr>
          <w:p>
            <w:pPr>
              <w:ind w:firstLine="0" w:firstLineChars="0"/>
            </w:pPr>
            <w:r>
              <w:rPr>
                <w:rFonts w:hint="eastAsia"/>
              </w:rPr>
              <w:t>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920016</w:t>
            </w:r>
          </w:p>
        </w:tc>
        <w:tc>
          <w:tcPr>
            <w:tcW w:w="1384" w:type="dxa"/>
            <w:shd w:val="clear" w:color="auto" w:fill="auto"/>
            <w:vAlign w:val="center"/>
          </w:tcPr>
          <w:p>
            <w:pPr>
              <w:ind w:firstLine="0" w:firstLineChars="0"/>
              <w:jc w:val="center"/>
            </w:pPr>
            <w:r>
              <w:rPr>
                <w:rFonts w:hint="eastAsia"/>
              </w:rPr>
              <w:t>839006</w:t>
            </w:r>
          </w:p>
        </w:tc>
        <w:tc>
          <w:tcPr>
            <w:tcW w:w="881" w:type="dxa"/>
            <w:shd w:val="clear" w:color="auto" w:fill="auto"/>
            <w:vAlign w:val="center"/>
          </w:tcPr>
          <w:p>
            <w:pPr>
              <w:ind w:firstLine="0" w:firstLineChars="0"/>
              <w:jc w:val="center"/>
            </w:pPr>
            <w:r>
              <w:rPr>
                <w:rFonts w:hint="eastAsia"/>
              </w:rPr>
              <w:t>定价</w:t>
            </w:r>
          </w:p>
        </w:tc>
        <w:tc>
          <w:tcPr>
            <w:tcW w:w="2175" w:type="dxa"/>
            <w:shd w:val="clear" w:color="auto" w:fill="auto"/>
            <w:vAlign w:val="center"/>
          </w:tcPr>
          <w:p>
            <w:pPr>
              <w:ind w:firstLine="0" w:firstLineChars="0"/>
            </w:pPr>
            <w:r>
              <w:rPr>
                <w:rFonts w:hint="eastAsia"/>
              </w:rPr>
              <w:t>网上80万股</w:t>
            </w:r>
          </w:p>
          <w:p>
            <w:pPr>
              <w:ind w:firstLine="0" w:firstLineChars="0"/>
              <w:rPr>
                <w:lang w:eastAsia="zh-Hans"/>
              </w:rPr>
            </w:pPr>
            <w:r>
              <w:rPr>
                <w:rFonts w:hint="eastAsia"/>
              </w:rPr>
              <w:t>战略配售</w:t>
            </w:r>
            <w:r>
              <w:t>20</w:t>
            </w:r>
            <w:r>
              <w:rPr>
                <w:rFonts w:hint="eastAsia"/>
              </w:rPr>
              <w:t>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pPr>
            <w:r>
              <w:rPr>
                <w:rFonts w:hint="eastAsia"/>
              </w:rPr>
              <w:t>2月23日申购</w:t>
            </w:r>
          </w:p>
          <w:p>
            <w:pPr>
              <w:ind w:firstLine="0" w:firstLineChars="0"/>
            </w:pPr>
            <w:r>
              <w:rPr>
                <w:rFonts w:hint="eastAsia"/>
              </w:rPr>
              <w:t>2月26日配售</w:t>
            </w:r>
          </w:p>
        </w:tc>
        <w:tc>
          <w:tcPr>
            <w:tcW w:w="1350" w:type="dxa"/>
            <w:shd w:val="clear" w:color="auto" w:fill="auto"/>
            <w:vAlign w:val="center"/>
          </w:tcPr>
          <w:p>
            <w:pPr>
              <w:ind w:firstLine="0" w:firstLineChars="0"/>
            </w:pPr>
            <w:r>
              <w:rPr>
                <w:rFonts w:hint="eastAsia"/>
              </w:rPr>
              <w:t>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920017</w:t>
            </w:r>
          </w:p>
        </w:tc>
        <w:tc>
          <w:tcPr>
            <w:tcW w:w="1384" w:type="dxa"/>
            <w:shd w:val="clear" w:color="auto" w:fill="auto"/>
            <w:vAlign w:val="center"/>
          </w:tcPr>
          <w:p>
            <w:pPr>
              <w:ind w:firstLine="0" w:firstLineChars="0"/>
              <w:jc w:val="center"/>
            </w:pPr>
            <w:r>
              <w:rPr>
                <w:rFonts w:hint="eastAsia"/>
              </w:rPr>
              <w:t>839007</w:t>
            </w:r>
          </w:p>
        </w:tc>
        <w:tc>
          <w:tcPr>
            <w:tcW w:w="881" w:type="dxa"/>
            <w:shd w:val="clear" w:color="auto" w:fill="auto"/>
            <w:vAlign w:val="center"/>
          </w:tcPr>
          <w:p>
            <w:pPr>
              <w:ind w:firstLine="0" w:firstLineChars="0"/>
              <w:jc w:val="center"/>
            </w:pPr>
            <w:r>
              <w:rPr>
                <w:rFonts w:hint="eastAsia"/>
              </w:rPr>
              <w:t>询价</w:t>
            </w:r>
          </w:p>
        </w:tc>
        <w:tc>
          <w:tcPr>
            <w:tcW w:w="2175"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rPr>
                <w:lang w:eastAsia="zh-Hans"/>
              </w:rPr>
            </w:pPr>
            <w:r>
              <w:rPr>
                <w:rFonts w:hint="eastAsia"/>
                <w:lang w:eastAsia="zh-Hans"/>
              </w:rPr>
              <w:t>战略配售</w:t>
            </w:r>
            <w:r>
              <w:t>20</w:t>
            </w:r>
            <w:r>
              <w:rPr>
                <w:rFonts w:hint="eastAsia"/>
                <w:lang w:eastAsia="zh-Hans"/>
              </w:rPr>
              <w:t>万股</w:t>
            </w:r>
          </w:p>
        </w:tc>
        <w:tc>
          <w:tcPr>
            <w:tcW w:w="1665"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100-10万</w:t>
            </w:r>
          </w:p>
        </w:tc>
        <w:tc>
          <w:tcPr>
            <w:tcW w:w="2685" w:type="dxa"/>
            <w:shd w:val="clear" w:color="auto" w:fill="auto"/>
            <w:vAlign w:val="center"/>
          </w:tcPr>
          <w:p>
            <w:pPr>
              <w:ind w:firstLine="0" w:firstLineChars="0"/>
            </w:pPr>
            <w:r>
              <w:rPr>
                <w:rFonts w:hint="eastAsia"/>
              </w:rPr>
              <w:t>2月26日询价</w:t>
            </w:r>
          </w:p>
          <w:p>
            <w:pPr>
              <w:ind w:firstLine="0" w:firstLineChars="0"/>
            </w:pPr>
            <w:r>
              <w:rPr>
                <w:rFonts w:hint="eastAsia"/>
              </w:rPr>
              <w:t>2月29日申购</w:t>
            </w:r>
          </w:p>
          <w:p>
            <w:pPr>
              <w:ind w:firstLine="0" w:firstLineChars="0"/>
            </w:pPr>
            <w:r>
              <w:rPr>
                <w:rFonts w:hint="eastAsia"/>
              </w:rPr>
              <w:t>3月1日配售</w:t>
            </w:r>
          </w:p>
        </w:tc>
        <w:tc>
          <w:tcPr>
            <w:tcW w:w="1350" w:type="dxa"/>
            <w:shd w:val="clear" w:color="auto" w:fill="auto"/>
            <w:vAlign w:val="center"/>
          </w:tcPr>
          <w:p>
            <w:pPr>
              <w:ind w:firstLine="0" w:firstLineChars="0"/>
            </w:pPr>
            <w:r>
              <w:rPr>
                <w:rFonts w:hint="eastAsia"/>
              </w:rPr>
              <w:t>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920018</w:t>
            </w:r>
          </w:p>
        </w:tc>
        <w:tc>
          <w:tcPr>
            <w:tcW w:w="1384" w:type="dxa"/>
            <w:shd w:val="clear" w:color="auto" w:fill="auto"/>
            <w:vAlign w:val="center"/>
          </w:tcPr>
          <w:p>
            <w:pPr>
              <w:ind w:firstLine="0" w:firstLineChars="0"/>
              <w:jc w:val="center"/>
            </w:pPr>
            <w:r>
              <w:rPr>
                <w:rFonts w:hint="eastAsia"/>
              </w:rPr>
              <w:t>839008</w:t>
            </w:r>
          </w:p>
        </w:tc>
        <w:tc>
          <w:tcPr>
            <w:tcW w:w="881" w:type="dxa"/>
            <w:shd w:val="clear" w:color="auto" w:fill="auto"/>
            <w:vAlign w:val="center"/>
          </w:tcPr>
          <w:p>
            <w:pPr>
              <w:ind w:firstLine="0" w:firstLineChars="0"/>
              <w:jc w:val="center"/>
            </w:pPr>
            <w:r>
              <w:rPr>
                <w:rFonts w:hint="eastAsia"/>
              </w:rPr>
              <w:t>竞价</w:t>
            </w:r>
          </w:p>
        </w:tc>
        <w:tc>
          <w:tcPr>
            <w:tcW w:w="2175" w:type="dxa"/>
            <w:shd w:val="clear" w:color="auto" w:fill="auto"/>
            <w:vAlign w:val="center"/>
          </w:tcPr>
          <w:p>
            <w:pPr>
              <w:ind w:firstLine="0" w:firstLineChars="0"/>
              <w:rPr>
                <w:lang w:eastAsia="zh-Hans"/>
              </w:rPr>
            </w:pPr>
            <w:r>
              <w:rPr>
                <w:rFonts w:hint="eastAsia"/>
                <w:lang w:eastAsia="zh-Hans"/>
              </w:rPr>
              <w:t>网上80万股</w:t>
            </w:r>
          </w:p>
          <w:p>
            <w:pPr>
              <w:ind w:firstLine="0" w:firstLineChars="0"/>
              <w:rPr>
                <w:lang w:eastAsia="zh-Hans"/>
              </w:rPr>
            </w:pPr>
            <w:r>
              <w:rPr>
                <w:rFonts w:hint="eastAsia"/>
                <w:lang w:eastAsia="zh-Hans"/>
              </w:rPr>
              <w:t>战略配售</w:t>
            </w:r>
            <w:r>
              <w:rPr>
                <w:lang w:eastAsia="zh-Hans"/>
              </w:rPr>
              <w:t>20</w:t>
            </w:r>
            <w:r>
              <w:rPr>
                <w:rFonts w:hint="eastAsia"/>
                <w:lang w:eastAsia="zh-Hans"/>
              </w:rPr>
              <w:t>万股</w:t>
            </w:r>
          </w:p>
        </w:tc>
        <w:tc>
          <w:tcPr>
            <w:tcW w:w="1665" w:type="dxa"/>
            <w:shd w:val="clear" w:color="auto" w:fill="auto"/>
            <w:vAlign w:val="center"/>
          </w:tcPr>
          <w:p>
            <w:pPr>
              <w:ind w:firstLine="0" w:firstLineChars="0"/>
            </w:pPr>
            <w:r>
              <w:rPr>
                <w:rFonts w:hint="eastAsia"/>
              </w:rPr>
              <w:t>申购价1-5元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pPr>
            <w:r>
              <w:rPr>
                <w:rFonts w:hint="eastAsia"/>
              </w:rPr>
              <w:t>2月26日申购</w:t>
            </w:r>
          </w:p>
          <w:p>
            <w:pPr>
              <w:ind w:firstLine="0" w:firstLineChars="0"/>
            </w:pPr>
            <w:r>
              <w:rPr>
                <w:rFonts w:hint="eastAsia"/>
              </w:rPr>
              <w:t>2月27日配售</w:t>
            </w:r>
          </w:p>
        </w:tc>
        <w:tc>
          <w:tcPr>
            <w:tcW w:w="1350" w:type="dxa"/>
            <w:shd w:val="clear" w:color="auto" w:fill="auto"/>
            <w:vAlign w:val="center"/>
          </w:tcPr>
          <w:p>
            <w:pPr>
              <w:ind w:firstLine="0" w:firstLineChars="0"/>
            </w:pPr>
            <w:r>
              <w:rPr>
                <w:rFonts w:hint="eastAsia"/>
              </w:rPr>
              <w:t>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920019</w:t>
            </w:r>
          </w:p>
        </w:tc>
        <w:tc>
          <w:tcPr>
            <w:tcW w:w="1384" w:type="dxa"/>
            <w:shd w:val="clear" w:color="auto" w:fill="auto"/>
            <w:vAlign w:val="center"/>
          </w:tcPr>
          <w:p>
            <w:pPr>
              <w:ind w:firstLine="0" w:firstLineChars="0"/>
              <w:jc w:val="center"/>
            </w:pPr>
            <w:r>
              <w:rPr>
                <w:rFonts w:hint="eastAsia"/>
              </w:rPr>
              <w:t>839009</w:t>
            </w:r>
          </w:p>
        </w:tc>
        <w:tc>
          <w:tcPr>
            <w:tcW w:w="881" w:type="dxa"/>
            <w:shd w:val="clear" w:color="auto" w:fill="auto"/>
            <w:vAlign w:val="center"/>
          </w:tcPr>
          <w:p>
            <w:pPr>
              <w:ind w:firstLine="0" w:firstLineChars="0"/>
              <w:jc w:val="center"/>
            </w:pPr>
            <w:r>
              <w:rPr>
                <w:rFonts w:hint="eastAsia"/>
              </w:rPr>
              <w:t>定价</w:t>
            </w:r>
          </w:p>
        </w:tc>
        <w:tc>
          <w:tcPr>
            <w:tcW w:w="2175" w:type="dxa"/>
            <w:shd w:val="clear" w:color="auto" w:fill="auto"/>
            <w:vAlign w:val="center"/>
          </w:tcPr>
          <w:p>
            <w:pPr>
              <w:ind w:firstLine="0" w:firstLineChars="0"/>
            </w:pPr>
            <w:r>
              <w:rPr>
                <w:rFonts w:hint="eastAsia"/>
              </w:rPr>
              <w:t>网上80万股</w:t>
            </w:r>
          </w:p>
          <w:p>
            <w:pPr>
              <w:ind w:firstLine="0" w:firstLineChars="0"/>
              <w:rPr>
                <w:lang w:eastAsia="zh-Hans"/>
              </w:rPr>
            </w:pPr>
            <w:r>
              <w:rPr>
                <w:rFonts w:hint="eastAsia"/>
              </w:rPr>
              <w:t>战略配售</w:t>
            </w:r>
            <w:r>
              <w:t>20</w:t>
            </w:r>
            <w:r>
              <w:rPr>
                <w:rFonts w:hint="eastAsia"/>
              </w:rPr>
              <w:t>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pPr>
            <w:r>
              <w:rPr>
                <w:rFonts w:hint="eastAsia"/>
              </w:rPr>
              <w:t>2月27日申购</w:t>
            </w:r>
          </w:p>
          <w:p>
            <w:pPr>
              <w:ind w:firstLine="0" w:firstLineChars="0"/>
            </w:pPr>
            <w:r>
              <w:rPr>
                <w:rFonts w:hint="eastAsia"/>
              </w:rPr>
              <w:t>2月28日配售</w:t>
            </w:r>
          </w:p>
        </w:tc>
        <w:tc>
          <w:tcPr>
            <w:tcW w:w="1350" w:type="dxa"/>
            <w:shd w:val="clear" w:color="auto" w:fill="auto"/>
            <w:vAlign w:val="center"/>
          </w:tcPr>
          <w:p>
            <w:pPr>
              <w:ind w:firstLine="0" w:firstLineChars="0"/>
            </w:pPr>
            <w:r>
              <w:rPr>
                <w:rFonts w:hint="eastAsia"/>
              </w:rPr>
              <w:t>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920020</w:t>
            </w:r>
          </w:p>
        </w:tc>
        <w:tc>
          <w:tcPr>
            <w:tcW w:w="1384" w:type="dxa"/>
            <w:shd w:val="clear" w:color="auto" w:fill="auto"/>
            <w:vAlign w:val="center"/>
          </w:tcPr>
          <w:p>
            <w:pPr>
              <w:ind w:firstLine="0" w:firstLineChars="0"/>
              <w:jc w:val="center"/>
            </w:pPr>
            <w:r>
              <w:rPr>
                <w:rFonts w:hint="eastAsia"/>
              </w:rPr>
              <w:t>839010</w:t>
            </w:r>
          </w:p>
        </w:tc>
        <w:tc>
          <w:tcPr>
            <w:tcW w:w="881" w:type="dxa"/>
            <w:shd w:val="clear" w:color="auto" w:fill="auto"/>
            <w:vAlign w:val="center"/>
          </w:tcPr>
          <w:p>
            <w:pPr>
              <w:ind w:firstLine="0" w:firstLineChars="0"/>
              <w:jc w:val="center"/>
            </w:pPr>
            <w:r>
              <w:rPr>
                <w:rFonts w:hint="eastAsia"/>
              </w:rPr>
              <w:t>询价</w:t>
            </w:r>
          </w:p>
        </w:tc>
        <w:tc>
          <w:tcPr>
            <w:tcW w:w="2175"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pPr>
            <w:r>
              <w:rPr>
                <w:rFonts w:hint="eastAsia"/>
                <w:lang w:eastAsia="zh-Hans"/>
              </w:rPr>
              <w:t>战略配售</w:t>
            </w:r>
            <w:r>
              <w:t>20</w:t>
            </w:r>
            <w:r>
              <w:rPr>
                <w:rFonts w:hint="eastAsia"/>
                <w:lang w:eastAsia="zh-Hans"/>
              </w:rPr>
              <w:t>万股</w:t>
            </w:r>
          </w:p>
        </w:tc>
        <w:tc>
          <w:tcPr>
            <w:tcW w:w="1665"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100-10万</w:t>
            </w:r>
          </w:p>
        </w:tc>
        <w:tc>
          <w:tcPr>
            <w:tcW w:w="2685" w:type="dxa"/>
            <w:shd w:val="clear" w:color="auto" w:fill="auto"/>
            <w:vAlign w:val="center"/>
          </w:tcPr>
          <w:p>
            <w:pPr>
              <w:ind w:firstLine="0" w:firstLineChars="0"/>
              <w:rPr>
                <w:lang w:eastAsia="zh-Hans"/>
              </w:rPr>
            </w:pPr>
            <w:r>
              <w:rPr>
                <w:rFonts w:hint="eastAsia"/>
              </w:rPr>
              <w:t>2</w:t>
            </w:r>
            <w:r>
              <w:rPr>
                <w:rFonts w:hint="eastAsia"/>
                <w:lang w:eastAsia="zh-Hans"/>
              </w:rPr>
              <w:t>月</w:t>
            </w:r>
            <w:r>
              <w:rPr>
                <w:rFonts w:hint="eastAsia"/>
              </w:rPr>
              <w:t>28、29</w:t>
            </w:r>
            <w:r>
              <w:rPr>
                <w:rFonts w:hint="eastAsia"/>
                <w:lang w:eastAsia="zh-Hans"/>
              </w:rPr>
              <w:t>日询价</w:t>
            </w:r>
          </w:p>
          <w:p>
            <w:pPr>
              <w:ind w:firstLine="0" w:firstLineChars="0"/>
              <w:rPr>
                <w:lang w:eastAsia="zh-Hans"/>
              </w:rPr>
            </w:pPr>
            <w:r>
              <w:rPr>
                <w:rFonts w:hint="eastAsia"/>
              </w:rPr>
              <w:t>3</w:t>
            </w:r>
            <w:r>
              <w:rPr>
                <w:rFonts w:hint="eastAsia"/>
                <w:lang w:eastAsia="zh-Hans"/>
              </w:rPr>
              <w:t>月</w:t>
            </w:r>
            <w:r>
              <w:rPr>
                <w:rFonts w:hint="eastAsia"/>
              </w:rPr>
              <w:t>5</w:t>
            </w:r>
            <w:r>
              <w:rPr>
                <w:rFonts w:hint="eastAsia"/>
                <w:lang w:eastAsia="zh-Hans"/>
              </w:rPr>
              <w:t>日申购</w:t>
            </w:r>
          </w:p>
          <w:p>
            <w:pPr>
              <w:ind w:firstLine="0" w:firstLineChars="0"/>
              <w:rPr>
                <w:lang w:val="en" w:eastAsia="zh-Hans"/>
              </w:rPr>
            </w:pPr>
            <w:r>
              <w:rPr>
                <w:rFonts w:hint="eastAsia"/>
              </w:rPr>
              <w:t>3月6日配售</w:t>
            </w:r>
          </w:p>
        </w:tc>
        <w:tc>
          <w:tcPr>
            <w:tcW w:w="1350" w:type="dxa"/>
            <w:shd w:val="clear" w:color="auto" w:fill="auto"/>
            <w:vAlign w:val="center"/>
          </w:tcPr>
          <w:p>
            <w:pPr>
              <w:ind w:firstLine="0" w:firstLineChars="0"/>
            </w:pPr>
            <w:r>
              <w:rPr>
                <w:rFonts w:hint="eastAsia"/>
              </w:rPr>
              <w:t>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920021</w:t>
            </w:r>
          </w:p>
        </w:tc>
        <w:tc>
          <w:tcPr>
            <w:tcW w:w="1384" w:type="dxa"/>
            <w:shd w:val="clear" w:color="auto" w:fill="auto"/>
            <w:vAlign w:val="center"/>
          </w:tcPr>
          <w:p>
            <w:pPr>
              <w:ind w:firstLine="0" w:firstLineChars="0"/>
              <w:jc w:val="center"/>
            </w:pPr>
            <w:r>
              <w:rPr>
                <w:rFonts w:hint="eastAsia"/>
              </w:rPr>
              <w:t>839011</w:t>
            </w:r>
          </w:p>
        </w:tc>
        <w:tc>
          <w:tcPr>
            <w:tcW w:w="881" w:type="dxa"/>
            <w:shd w:val="clear" w:color="auto" w:fill="auto"/>
            <w:vAlign w:val="center"/>
          </w:tcPr>
          <w:p>
            <w:pPr>
              <w:ind w:firstLine="0" w:firstLineChars="0"/>
              <w:jc w:val="center"/>
            </w:pPr>
            <w:r>
              <w:rPr>
                <w:rFonts w:hint="eastAsia"/>
              </w:rPr>
              <w:t>定价</w:t>
            </w:r>
          </w:p>
        </w:tc>
        <w:tc>
          <w:tcPr>
            <w:tcW w:w="2175" w:type="dxa"/>
            <w:shd w:val="clear" w:color="auto" w:fill="auto"/>
            <w:vAlign w:val="center"/>
          </w:tcPr>
          <w:p>
            <w:pPr>
              <w:ind w:firstLine="0" w:firstLineChars="0"/>
            </w:pPr>
            <w:r>
              <w:rPr>
                <w:rFonts w:hint="eastAsia"/>
              </w:rPr>
              <w:t>网上80万股</w:t>
            </w:r>
          </w:p>
          <w:p>
            <w:pPr>
              <w:ind w:firstLine="0" w:firstLineChars="0"/>
            </w:pPr>
            <w:r>
              <w:rPr>
                <w:rFonts w:hint="eastAsia"/>
              </w:rPr>
              <w:t>战略配售16万股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rPr>
                <w:lang w:eastAsia="zh-Hans"/>
              </w:rPr>
            </w:pPr>
            <w:r>
              <w:rPr>
                <w:rFonts w:hint="eastAsia"/>
              </w:rPr>
              <w:t>3</w:t>
            </w:r>
            <w:r>
              <w:rPr>
                <w:rFonts w:hint="eastAsia"/>
                <w:lang w:eastAsia="zh-Hans"/>
              </w:rPr>
              <w:t>月</w:t>
            </w:r>
            <w:r>
              <w:rPr>
                <w:rFonts w:hint="eastAsia"/>
              </w:rPr>
              <w:t>1</w:t>
            </w:r>
            <w:r>
              <w:rPr>
                <w:rFonts w:hint="eastAsia"/>
                <w:lang w:eastAsia="zh-Hans"/>
              </w:rPr>
              <w:t>日申购</w:t>
            </w:r>
          </w:p>
          <w:p>
            <w:pPr>
              <w:ind w:firstLine="0" w:firstLineChars="0"/>
            </w:pPr>
            <w:r>
              <w:rPr>
                <w:rFonts w:hint="eastAsia"/>
              </w:rPr>
              <w:t>3月4日配售</w:t>
            </w:r>
          </w:p>
        </w:tc>
        <w:tc>
          <w:tcPr>
            <w:tcW w:w="1350" w:type="dxa"/>
            <w:shd w:val="clear" w:color="auto" w:fill="auto"/>
            <w:vAlign w:val="center"/>
          </w:tcPr>
          <w:p>
            <w:pPr>
              <w:ind w:firstLine="0" w:firstLineChars="0"/>
            </w:pPr>
            <w:r>
              <w:rPr>
                <w:rFonts w:hint="eastAsia"/>
              </w:rPr>
              <w:t>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920022</w:t>
            </w:r>
          </w:p>
        </w:tc>
        <w:tc>
          <w:tcPr>
            <w:tcW w:w="1384" w:type="dxa"/>
            <w:shd w:val="clear" w:color="auto" w:fill="auto"/>
            <w:vAlign w:val="center"/>
          </w:tcPr>
          <w:p>
            <w:pPr>
              <w:ind w:firstLine="0" w:firstLineChars="0"/>
              <w:jc w:val="center"/>
            </w:pPr>
            <w:r>
              <w:rPr>
                <w:rFonts w:hint="eastAsia"/>
              </w:rPr>
              <w:t>839012</w:t>
            </w:r>
          </w:p>
        </w:tc>
        <w:tc>
          <w:tcPr>
            <w:tcW w:w="881" w:type="dxa"/>
            <w:shd w:val="clear" w:color="auto" w:fill="auto"/>
            <w:vAlign w:val="center"/>
          </w:tcPr>
          <w:p>
            <w:pPr>
              <w:ind w:firstLine="0" w:firstLineChars="0"/>
              <w:jc w:val="center"/>
            </w:pPr>
            <w:r>
              <w:rPr>
                <w:rFonts w:hint="eastAsia"/>
              </w:rPr>
              <w:t>竞价</w:t>
            </w:r>
          </w:p>
        </w:tc>
        <w:tc>
          <w:tcPr>
            <w:tcW w:w="2175" w:type="dxa"/>
            <w:shd w:val="clear" w:color="auto" w:fill="auto"/>
            <w:vAlign w:val="center"/>
          </w:tcPr>
          <w:p>
            <w:pPr>
              <w:ind w:firstLine="0" w:firstLineChars="0"/>
              <w:rPr>
                <w:lang w:eastAsia="zh-Hans"/>
              </w:rPr>
            </w:pPr>
            <w:r>
              <w:rPr>
                <w:rFonts w:hint="eastAsia"/>
                <w:lang w:eastAsia="zh-Hans"/>
              </w:rPr>
              <w:t>网上80万股</w:t>
            </w:r>
          </w:p>
          <w:p>
            <w:pPr>
              <w:ind w:firstLine="0" w:firstLineChars="0"/>
            </w:pPr>
            <w:r>
              <w:rPr>
                <w:rFonts w:hint="eastAsia"/>
                <w:lang w:eastAsia="zh-Hans"/>
              </w:rPr>
              <w:t>战略配售</w:t>
            </w:r>
            <w:r>
              <w:rPr>
                <w:lang w:eastAsia="zh-Hans"/>
              </w:rPr>
              <w:t>20</w:t>
            </w:r>
            <w:r>
              <w:rPr>
                <w:rFonts w:hint="eastAsia"/>
                <w:lang w:eastAsia="zh-Hans"/>
              </w:rPr>
              <w:t>万股</w:t>
            </w:r>
          </w:p>
        </w:tc>
        <w:tc>
          <w:tcPr>
            <w:tcW w:w="1665" w:type="dxa"/>
            <w:shd w:val="clear" w:color="auto" w:fill="auto"/>
            <w:vAlign w:val="center"/>
          </w:tcPr>
          <w:p>
            <w:pPr>
              <w:ind w:firstLine="0" w:firstLineChars="0"/>
            </w:pPr>
            <w:r>
              <w:rPr>
                <w:rFonts w:hint="eastAsia"/>
              </w:rPr>
              <w:t>申购价1-5元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rPr>
                <w:lang w:eastAsia="zh-Hans"/>
              </w:rPr>
            </w:pPr>
            <w:r>
              <w:rPr>
                <w:rFonts w:hint="eastAsia"/>
              </w:rPr>
              <w:t>3</w:t>
            </w:r>
            <w:r>
              <w:rPr>
                <w:rFonts w:hint="eastAsia"/>
                <w:lang w:eastAsia="zh-Hans"/>
              </w:rPr>
              <w:t>月</w:t>
            </w:r>
            <w:r>
              <w:rPr>
                <w:rFonts w:hint="eastAsia"/>
              </w:rPr>
              <w:t>5</w:t>
            </w:r>
            <w:r>
              <w:rPr>
                <w:rFonts w:hint="eastAsia"/>
                <w:lang w:eastAsia="zh-Hans"/>
              </w:rPr>
              <w:t>日申购</w:t>
            </w:r>
          </w:p>
          <w:p>
            <w:pPr>
              <w:ind w:firstLine="0" w:firstLineChars="0"/>
            </w:pPr>
            <w:r>
              <w:rPr>
                <w:rFonts w:hint="eastAsia"/>
              </w:rPr>
              <w:t>3月6日配售</w:t>
            </w:r>
          </w:p>
        </w:tc>
        <w:tc>
          <w:tcPr>
            <w:tcW w:w="1350" w:type="dxa"/>
            <w:shd w:val="clear" w:color="auto" w:fill="auto"/>
            <w:vAlign w:val="center"/>
          </w:tcPr>
          <w:p>
            <w:pPr>
              <w:ind w:firstLine="0" w:firstLineChars="0"/>
            </w:pPr>
            <w:r>
              <w:rPr>
                <w:rFonts w:hint="eastAsia"/>
              </w:rPr>
              <w:t>3</w:t>
            </w:r>
            <w:r>
              <w:rPr>
                <w:rFonts w:hint="eastAsia"/>
                <w:lang w:eastAsia="zh-Hans"/>
              </w:rPr>
              <w:t>月</w:t>
            </w:r>
            <w:r>
              <w:rPr>
                <w:rFonts w:hint="eastAsia"/>
              </w:rPr>
              <w:t>12</w:t>
            </w:r>
            <w:r>
              <w:rPr>
                <w:rFonts w:hint="eastAsia"/>
                <w:lang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920023</w:t>
            </w:r>
          </w:p>
        </w:tc>
        <w:tc>
          <w:tcPr>
            <w:tcW w:w="1384" w:type="dxa"/>
            <w:shd w:val="clear" w:color="auto" w:fill="auto"/>
            <w:vAlign w:val="center"/>
          </w:tcPr>
          <w:p>
            <w:pPr>
              <w:ind w:firstLine="0" w:firstLineChars="0"/>
              <w:jc w:val="center"/>
            </w:pPr>
            <w:r>
              <w:rPr>
                <w:rFonts w:hint="eastAsia"/>
              </w:rPr>
              <w:t>839013</w:t>
            </w:r>
          </w:p>
        </w:tc>
        <w:tc>
          <w:tcPr>
            <w:tcW w:w="881" w:type="dxa"/>
            <w:shd w:val="clear" w:color="auto" w:fill="auto"/>
            <w:vAlign w:val="center"/>
          </w:tcPr>
          <w:p>
            <w:pPr>
              <w:ind w:firstLine="0" w:firstLineChars="0"/>
              <w:jc w:val="center"/>
            </w:pPr>
            <w:r>
              <w:rPr>
                <w:rFonts w:hint="eastAsia"/>
              </w:rPr>
              <w:t>询价</w:t>
            </w:r>
          </w:p>
        </w:tc>
        <w:tc>
          <w:tcPr>
            <w:tcW w:w="2175" w:type="dxa"/>
            <w:shd w:val="clear" w:color="auto" w:fill="auto"/>
            <w:vAlign w:val="center"/>
          </w:tcPr>
          <w:p>
            <w:pPr>
              <w:ind w:firstLine="0" w:firstLineChars="0"/>
            </w:pPr>
            <w:r>
              <w:rPr>
                <w:rFonts w:hint="eastAsia"/>
              </w:rPr>
              <w:t>网上40万股</w:t>
            </w:r>
          </w:p>
          <w:p>
            <w:pPr>
              <w:ind w:firstLine="0" w:firstLineChars="0"/>
            </w:pPr>
            <w:r>
              <w:rPr>
                <w:rFonts w:hint="eastAsia"/>
              </w:rPr>
              <w:t>网下60万股</w:t>
            </w:r>
          </w:p>
          <w:p>
            <w:pPr>
              <w:ind w:firstLine="0" w:firstLineChars="0"/>
            </w:pPr>
            <w:r>
              <w:rPr>
                <w:rFonts w:hint="eastAsia"/>
              </w:rPr>
              <w:t>战略配售</w:t>
            </w:r>
            <w:r>
              <w:t>20</w:t>
            </w:r>
            <w:r>
              <w:rPr>
                <w:rFonts w:hint="eastAsia"/>
              </w:rPr>
              <w:t>万股</w:t>
            </w:r>
          </w:p>
        </w:tc>
        <w:tc>
          <w:tcPr>
            <w:tcW w:w="1665"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100-10万</w:t>
            </w:r>
          </w:p>
        </w:tc>
        <w:tc>
          <w:tcPr>
            <w:tcW w:w="2685" w:type="dxa"/>
            <w:shd w:val="clear" w:color="auto" w:fill="auto"/>
            <w:vAlign w:val="center"/>
          </w:tcPr>
          <w:p>
            <w:pPr>
              <w:ind w:firstLine="0" w:firstLineChars="0"/>
            </w:pPr>
            <w:r>
              <w:rPr>
                <w:rFonts w:hint="eastAsia"/>
              </w:rPr>
              <w:t>3月1日询价</w:t>
            </w:r>
          </w:p>
          <w:p>
            <w:pPr>
              <w:ind w:firstLine="0" w:firstLineChars="0"/>
            </w:pPr>
            <w:r>
              <w:rPr>
                <w:rFonts w:hint="eastAsia"/>
              </w:rPr>
              <w:t>3月6日申购</w:t>
            </w:r>
          </w:p>
          <w:p>
            <w:pPr>
              <w:ind w:firstLine="0" w:firstLineChars="0"/>
            </w:pPr>
            <w:r>
              <w:rPr>
                <w:rFonts w:hint="eastAsia"/>
              </w:rPr>
              <w:t>3月6日盘中紧急停牌</w:t>
            </w:r>
          </w:p>
          <w:p>
            <w:pPr>
              <w:ind w:firstLine="0" w:firstLineChars="0"/>
            </w:pPr>
            <w:r>
              <w:rPr>
                <w:rFonts w:hint="eastAsia"/>
              </w:rPr>
              <w:t>3月8日恢复申购</w:t>
            </w:r>
          </w:p>
          <w:p>
            <w:pPr>
              <w:ind w:firstLine="0" w:firstLineChars="0"/>
            </w:pPr>
            <w:r>
              <w:rPr>
                <w:rFonts w:hint="eastAsia"/>
              </w:rPr>
              <w:t>3月11日配售</w:t>
            </w:r>
          </w:p>
        </w:tc>
        <w:tc>
          <w:tcPr>
            <w:tcW w:w="1350" w:type="dxa"/>
            <w:shd w:val="clear" w:color="auto" w:fill="auto"/>
            <w:vAlign w:val="center"/>
          </w:tcPr>
          <w:p>
            <w:pPr>
              <w:ind w:firstLine="0" w:firstLineChars="0"/>
            </w:pPr>
            <w:r>
              <w:rPr>
                <w:rFonts w:hint="eastAsia"/>
              </w:rPr>
              <w:t>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920024</w:t>
            </w:r>
          </w:p>
        </w:tc>
        <w:tc>
          <w:tcPr>
            <w:tcW w:w="1384" w:type="dxa"/>
            <w:shd w:val="clear" w:color="auto" w:fill="auto"/>
            <w:vAlign w:val="center"/>
          </w:tcPr>
          <w:p>
            <w:pPr>
              <w:ind w:firstLine="0" w:firstLineChars="0"/>
              <w:jc w:val="center"/>
            </w:pPr>
            <w:r>
              <w:rPr>
                <w:rFonts w:hint="eastAsia"/>
              </w:rPr>
              <w:t>839014</w:t>
            </w:r>
          </w:p>
        </w:tc>
        <w:tc>
          <w:tcPr>
            <w:tcW w:w="881" w:type="dxa"/>
            <w:shd w:val="clear" w:color="auto" w:fill="auto"/>
            <w:vAlign w:val="center"/>
          </w:tcPr>
          <w:p>
            <w:pPr>
              <w:ind w:firstLine="0" w:firstLineChars="0"/>
              <w:jc w:val="center"/>
            </w:pPr>
            <w:r>
              <w:rPr>
                <w:rFonts w:hint="eastAsia"/>
              </w:rPr>
              <w:t>定价</w:t>
            </w:r>
          </w:p>
        </w:tc>
        <w:tc>
          <w:tcPr>
            <w:tcW w:w="2175" w:type="dxa"/>
            <w:shd w:val="clear" w:color="auto" w:fill="auto"/>
            <w:vAlign w:val="center"/>
          </w:tcPr>
          <w:p>
            <w:pPr>
              <w:ind w:firstLine="0" w:firstLineChars="0"/>
            </w:pPr>
            <w:r>
              <w:rPr>
                <w:rFonts w:hint="eastAsia"/>
              </w:rPr>
              <w:t>网上80万股</w:t>
            </w:r>
          </w:p>
          <w:p>
            <w:pPr>
              <w:ind w:firstLine="0" w:firstLineChars="0"/>
            </w:pPr>
            <w:r>
              <w:rPr>
                <w:rFonts w:hint="eastAsia"/>
              </w:rPr>
              <w:t>战略配售</w:t>
            </w:r>
            <w:r>
              <w:t>20</w:t>
            </w:r>
            <w:r>
              <w:rPr>
                <w:rFonts w:hint="eastAsia"/>
              </w:rPr>
              <w:t>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rPr>
                <w:lang w:eastAsia="zh-Hans"/>
              </w:rPr>
            </w:pPr>
            <w:r>
              <w:rPr>
                <w:rFonts w:hint="eastAsia"/>
              </w:rPr>
              <w:t>3</w:t>
            </w:r>
            <w:r>
              <w:rPr>
                <w:rFonts w:hint="eastAsia"/>
                <w:lang w:eastAsia="zh-Hans"/>
              </w:rPr>
              <w:t>月</w:t>
            </w:r>
            <w:r>
              <w:rPr>
                <w:rFonts w:hint="eastAsia"/>
              </w:rPr>
              <w:t>6</w:t>
            </w:r>
            <w:r>
              <w:rPr>
                <w:rFonts w:hint="eastAsia"/>
                <w:lang w:eastAsia="zh-Hans"/>
              </w:rPr>
              <w:t>日申购</w:t>
            </w:r>
          </w:p>
          <w:p>
            <w:pPr>
              <w:ind w:firstLine="0" w:firstLineChars="0"/>
              <w:rPr>
                <w:lang w:eastAsia="zh-Hans"/>
              </w:rPr>
            </w:pPr>
            <w:r>
              <w:rPr>
                <w:rFonts w:hint="eastAsia"/>
              </w:rPr>
              <w:t>3月7日配售</w:t>
            </w:r>
          </w:p>
        </w:tc>
        <w:tc>
          <w:tcPr>
            <w:tcW w:w="1350" w:type="dxa"/>
            <w:shd w:val="clear" w:color="auto" w:fill="auto"/>
            <w:vAlign w:val="center"/>
          </w:tcPr>
          <w:p>
            <w:pPr>
              <w:ind w:firstLine="0" w:firstLineChars="0"/>
            </w:pPr>
            <w:r>
              <w:rPr>
                <w:rFonts w:hint="eastAsia"/>
              </w:rPr>
              <w:t>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920025</w:t>
            </w:r>
          </w:p>
        </w:tc>
        <w:tc>
          <w:tcPr>
            <w:tcW w:w="1384" w:type="dxa"/>
            <w:shd w:val="clear" w:color="auto" w:fill="auto"/>
            <w:vAlign w:val="center"/>
          </w:tcPr>
          <w:p>
            <w:pPr>
              <w:ind w:firstLine="0" w:firstLineChars="0"/>
              <w:jc w:val="center"/>
            </w:pPr>
            <w:r>
              <w:rPr>
                <w:rFonts w:hint="eastAsia"/>
              </w:rPr>
              <w:t>839015</w:t>
            </w:r>
          </w:p>
        </w:tc>
        <w:tc>
          <w:tcPr>
            <w:tcW w:w="881" w:type="dxa"/>
            <w:shd w:val="clear" w:color="auto" w:fill="auto"/>
            <w:vAlign w:val="center"/>
          </w:tcPr>
          <w:p>
            <w:pPr>
              <w:ind w:firstLine="0" w:firstLineChars="0"/>
              <w:jc w:val="center"/>
            </w:pPr>
            <w:r>
              <w:rPr>
                <w:rFonts w:hint="eastAsia"/>
              </w:rPr>
              <w:t>竞价</w:t>
            </w:r>
          </w:p>
        </w:tc>
        <w:tc>
          <w:tcPr>
            <w:tcW w:w="2175" w:type="dxa"/>
            <w:shd w:val="clear" w:color="auto" w:fill="auto"/>
            <w:vAlign w:val="center"/>
          </w:tcPr>
          <w:p>
            <w:pPr>
              <w:ind w:firstLine="0" w:firstLineChars="0"/>
              <w:rPr>
                <w:lang w:eastAsia="zh-Hans"/>
              </w:rPr>
            </w:pPr>
            <w:r>
              <w:rPr>
                <w:rFonts w:hint="eastAsia"/>
                <w:lang w:eastAsia="zh-Hans"/>
              </w:rPr>
              <w:t>网上80万股</w:t>
            </w:r>
          </w:p>
          <w:p>
            <w:pPr>
              <w:ind w:firstLine="0" w:firstLineChars="0"/>
            </w:pPr>
            <w:r>
              <w:rPr>
                <w:rFonts w:hint="eastAsia"/>
                <w:lang w:eastAsia="zh-Hans"/>
              </w:rPr>
              <w:t>战略配售</w:t>
            </w:r>
            <w:r>
              <w:rPr>
                <w:lang w:eastAsia="zh-Hans"/>
              </w:rPr>
              <w:t>20</w:t>
            </w:r>
            <w:r>
              <w:rPr>
                <w:rFonts w:hint="eastAsia"/>
                <w:lang w:eastAsia="zh-Hans"/>
              </w:rPr>
              <w:t>万股</w:t>
            </w:r>
          </w:p>
        </w:tc>
        <w:tc>
          <w:tcPr>
            <w:tcW w:w="1665" w:type="dxa"/>
            <w:shd w:val="clear" w:color="auto" w:fill="auto"/>
            <w:vAlign w:val="center"/>
          </w:tcPr>
          <w:p>
            <w:pPr>
              <w:ind w:firstLine="0" w:firstLineChars="0"/>
            </w:pPr>
            <w:r>
              <w:rPr>
                <w:rFonts w:hint="eastAsia"/>
              </w:rPr>
              <w:t>申购价1-5元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rPr>
                <w:lang w:eastAsia="zh-Hans"/>
              </w:rPr>
            </w:pPr>
            <w:r>
              <w:rPr>
                <w:rFonts w:hint="eastAsia"/>
              </w:rPr>
              <w:t>3</w:t>
            </w:r>
            <w:r>
              <w:rPr>
                <w:rFonts w:hint="eastAsia"/>
                <w:lang w:eastAsia="zh-Hans"/>
              </w:rPr>
              <w:t>月</w:t>
            </w:r>
            <w:r>
              <w:rPr>
                <w:rFonts w:hint="eastAsia"/>
              </w:rPr>
              <w:t>7</w:t>
            </w:r>
            <w:r>
              <w:rPr>
                <w:rFonts w:hint="eastAsia"/>
                <w:lang w:eastAsia="zh-Hans"/>
              </w:rPr>
              <w:t>日申购</w:t>
            </w:r>
          </w:p>
          <w:p>
            <w:pPr>
              <w:ind w:firstLine="0" w:firstLineChars="0"/>
            </w:pPr>
            <w:r>
              <w:rPr>
                <w:rFonts w:hint="eastAsia"/>
              </w:rPr>
              <w:t>3月8日配售</w:t>
            </w:r>
          </w:p>
        </w:tc>
        <w:tc>
          <w:tcPr>
            <w:tcW w:w="1350" w:type="dxa"/>
            <w:shd w:val="clear" w:color="auto" w:fill="auto"/>
            <w:vAlign w:val="center"/>
          </w:tcPr>
          <w:p>
            <w:pPr>
              <w:ind w:firstLine="0" w:firstLineChars="0"/>
            </w:pPr>
            <w:r>
              <w:rPr>
                <w:rFonts w:hint="eastAsia"/>
              </w:rPr>
              <w:t>3</w:t>
            </w:r>
            <w:r>
              <w:rPr>
                <w:rFonts w:hint="eastAsia"/>
                <w:lang w:eastAsia="zh-Hans"/>
              </w:rPr>
              <w:t>月</w:t>
            </w:r>
            <w:r>
              <w:rPr>
                <w:rFonts w:hint="eastAsia"/>
              </w:rPr>
              <w:t>14</w:t>
            </w:r>
            <w:r>
              <w:rPr>
                <w:rFonts w:hint="eastAsia"/>
                <w:lang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920026</w:t>
            </w:r>
          </w:p>
        </w:tc>
        <w:tc>
          <w:tcPr>
            <w:tcW w:w="1384" w:type="dxa"/>
            <w:shd w:val="clear" w:color="auto" w:fill="auto"/>
            <w:vAlign w:val="center"/>
          </w:tcPr>
          <w:p>
            <w:pPr>
              <w:ind w:firstLine="0" w:firstLineChars="0"/>
              <w:jc w:val="center"/>
            </w:pPr>
            <w:r>
              <w:rPr>
                <w:rFonts w:hint="eastAsia"/>
              </w:rPr>
              <w:t>839016</w:t>
            </w:r>
          </w:p>
        </w:tc>
        <w:tc>
          <w:tcPr>
            <w:tcW w:w="881" w:type="dxa"/>
            <w:shd w:val="clear" w:color="auto" w:fill="auto"/>
            <w:vAlign w:val="center"/>
          </w:tcPr>
          <w:p>
            <w:pPr>
              <w:ind w:firstLine="0" w:firstLineChars="0"/>
              <w:jc w:val="center"/>
            </w:pPr>
            <w:r>
              <w:rPr>
                <w:rFonts w:hint="eastAsia"/>
              </w:rPr>
              <w:t>询价</w:t>
            </w:r>
          </w:p>
        </w:tc>
        <w:tc>
          <w:tcPr>
            <w:tcW w:w="2175" w:type="dxa"/>
            <w:shd w:val="clear" w:color="auto" w:fill="auto"/>
            <w:vAlign w:val="center"/>
          </w:tcPr>
          <w:p>
            <w:pPr>
              <w:ind w:firstLine="0" w:firstLineChars="0"/>
            </w:pPr>
            <w:r>
              <w:rPr>
                <w:rFonts w:hint="eastAsia"/>
              </w:rPr>
              <w:t>网上40万股</w:t>
            </w:r>
          </w:p>
          <w:p>
            <w:pPr>
              <w:ind w:firstLine="0" w:firstLineChars="0"/>
            </w:pPr>
            <w:r>
              <w:rPr>
                <w:rFonts w:hint="eastAsia"/>
              </w:rPr>
              <w:t>网下60万股</w:t>
            </w:r>
          </w:p>
          <w:p>
            <w:pPr>
              <w:ind w:firstLine="0" w:firstLineChars="0"/>
            </w:pPr>
            <w:r>
              <w:rPr>
                <w:rFonts w:hint="eastAsia"/>
              </w:rPr>
              <w:t>战略配售</w:t>
            </w:r>
            <w:r>
              <w:t>20</w:t>
            </w:r>
            <w:r>
              <w:rPr>
                <w:rFonts w:hint="eastAsia"/>
              </w:rPr>
              <w:t>万股</w:t>
            </w:r>
          </w:p>
        </w:tc>
        <w:tc>
          <w:tcPr>
            <w:tcW w:w="1665"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100-10万</w:t>
            </w:r>
          </w:p>
        </w:tc>
        <w:tc>
          <w:tcPr>
            <w:tcW w:w="2685" w:type="dxa"/>
            <w:shd w:val="clear" w:color="auto" w:fill="auto"/>
            <w:vAlign w:val="center"/>
          </w:tcPr>
          <w:p>
            <w:pPr>
              <w:ind w:firstLine="0" w:firstLineChars="0"/>
              <w:rPr>
                <w:lang w:eastAsia="zh-Hans"/>
              </w:rPr>
            </w:pPr>
            <w:r>
              <w:rPr>
                <w:rFonts w:hint="eastAsia"/>
              </w:rPr>
              <w:t>3</w:t>
            </w:r>
            <w:r>
              <w:rPr>
                <w:rFonts w:hint="eastAsia"/>
                <w:lang w:eastAsia="zh-Hans"/>
              </w:rPr>
              <w:t>月</w:t>
            </w:r>
            <w:r>
              <w:rPr>
                <w:rFonts w:hint="eastAsia"/>
              </w:rPr>
              <w:t>6</w:t>
            </w:r>
            <w:r>
              <w:rPr>
                <w:rFonts w:hint="eastAsia"/>
                <w:lang w:eastAsia="zh-Hans"/>
              </w:rPr>
              <w:t>日询价</w:t>
            </w:r>
          </w:p>
          <w:p>
            <w:pPr>
              <w:ind w:firstLine="0" w:firstLineChars="0"/>
              <w:rPr>
                <w:lang w:eastAsia="zh-Hans"/>
              </w:rPr>
            </w:pPr>
            <w:r>
              <w:rPr>
                <w:rFonts w:hint="eastAsia"/>
              </w:rPr>
              <w:t>3</w:t>
            </w:r>
            <w:r>
              <w:rPr>
                <w:rFonts w:hint="eastAsia"/>
                <w:lang w:eastAsia="zh-Hans"/>
              </w:rPr>
              <w:t>月</w:t>
            </w:r>
            <w:r>
              <w:rPr>
                <w:rFonts w:hint="eastAsia"/>
              </w:rPr>
              <w:t>11</w:t>
            </w:r>
            <w:r>
              <w:rPr>
                <w:rFonts w:hint="eastAsia"/>
                <w:lang w:eastAsia="zh-Hans"/>
              </w:rPr>
              <w:t>日申购</w:t>
            </w:r>
          </w:p>
          <w:p>
            <w:pPr>
              <w:ind w:firstLine="0" w:firstLineChars="0"/>
              <w:rPr>
                <w:lang w:eastAsia="zh-Hans"/>
              </w:rPr>
            </w:pPr>
            <w:r>
              <w:rPr>
                <w:rFonts w:hint="eastAsia"/>
              </w:rPr>
              <w:t>3月12日配售</w:t>
            </w:r>
          </w:p>
        </w:tc>
        <w:tc>
          <w:tcPr>
            <w:tcW w:w="1350" w:type="dxa"/>
            <w:shd w:val="clear" w:color="auto" w:fill="auto"/>
            <w:vAlign w:val="center"/>
          </w:tcPr>
          <w:p>
            <w:pPr>
              <w:ind w:firstLine="0" w:firstLineChars="0"/>
            </w:pPr>
            <w:r>
              <w:rPr>
                <w:rFonts w:hint="eastAsia"/>
              </w:rPr>
              <w:t>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920027</w:t>
            </w:r>
          </w:p>
        </w:tc>
        <w:tc>
          <w:tcPr>
            <w:tcW w:w="1384" w:type="dxa"/>
            <w:shd w:val="clear" w:color="auto" w:fill="auto"/>
            <w:vAlign w:val="center"/>
          </w:tcPr>
          <w:p>
            <w:pPr>
              <w:ind w:firstLine="0" w:firstLineChars="0"/>
              <w:jc w:val="center"/>
            </w:pPr>
            <w:r>
              <w:rPr>
                <w:rFonts w:hint="eastAsia"/>
              </w:rPr>
              <w:t>839017</w:t>
            </w:r>
          </w:p>
        </w:tc>
        <w:tc>
          <w:tcPr>
            <w:tcW w:w="881" w:type="dxa"/>
            <w:shd w:val="clear" w:color="auto" w:fill="auto"/>
            <w:vAlign w:val="center"/>
          </w:tcPr>
          <w:p>
            <w:pPr>
              <w:ind w:firstLine="0" w:firstLineChars="0"/>
              <w:jc w:val="center"/>
            </w:pPr>
            <w:r>
              <w:rPr>
                <w:rFonts w:hint="eastAsia"/>
              </w:rPr>
              <w:t>竞价</w:t>
            </w:r>
          </w:p>
        </w:tc>
        <w:tc>
          <w:tcPr>
            <w:tcW w:w="2175" w:type="dxa"/>
            <w:shd w:val="clear" w:color="auto" w:fill="auto"/>
            <w:vAlign w:val="center"/>
          </w:tcPr>
          <w:p>
            <w:pPr>
              <w:ind w:firstLine="0" w:firstLineChars="0"/>
              <w:rPr>
                <w:lang w:eastAsia="zh-Hans"/>
              </w:rPr>
            </w:pPr>
            <w:r>
              <w:rPr>
                <w:rFonts w:hint="eastAsia"/>
                <w:lang w:eastAsia="zh-Hans"/>
              </w:rPr>
              <w:t>网上80万股</w:t>
            </w:r>
          </w:p>
          <w:p>
            <w:pPr>
              <w:ind w:firstLine="0" w:firstLineChars="0"/>
            </w:pPr>
            <w:r>
              <w:rPr>
                <w:rFonts w:hint="eastAsia"/>
                <w:lang w:eastAsia="zh-Hans"/>
              </w:rPr>
              <w:t>战略配售</w:t>
            </w:r>
            <w:r>
              <w:rPr>
                <w:lang w:eastAsia="zh-Hans"/>
              </w:rPr>
              <w:t>20</w:t>
            </w:r>
            <w:r>
              <w:rPr>
                <w:rFonts w:hint="eastAsia"/>
                <w:lang w:eastAsia="zh-Hans"/>
              </w:rPr>
              <w:t>万股</w:t>
            </w:r>
          </w:p>
        </w:tc>
        <w:tc>
          <w:tcPr>
            <w:tcW w:w="1665" w:type="dxa"/>
            <w:shd w:val="clear" w:color="auto" w:fill="auto"/>
            <w:vAlign w:val="center"/>
          </w:tcPr>
          <w:p>
            <w:pPr>
              <w:ind w:firstLine="0" w:firstLineChars="0"/>
            </w:pPr>
            <w:r>
              <w:rPr>
                <w:rFonts w:hint="eastAsia"/>
              </w:rPr>
              <w:t>申购价1-5元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pPr>
            <w:r>
              <w:rPr>
                <w:rFonts w:hint="eastAsia"/>
              </w:rPr>
              <w:t>3月8日申购</w:t>
            </w:r>
          </w:p>
          <w:p>
            <w:pPr>
              <w:ind w:firstLine="0" w:firstLineChars="0"/>
            </w:pPr>
            <w:r>
              <w:rPr>
                <w:rFonts w:hint="eastAsia"/>
              </w:rPr>
              <w:t>3月11日配售</w:t>
            </w:r>
          </w:p>
        </w:tc>
        <w:tc>
          <w:tcPr>
            <w:tcW w:w="1350" w:type="dxa"/>
            <w:shd w:val="clear" w:color="auto" w:fill="auto"/>
            <w:vAlign w:val="center"/>
          </w:tcPr>
          <w:p>
            <w:pPr>
              <w:ind w:firstLine="0" w:firstLineChars="0"/>
            </w:pPr>
            <w:r>
              <w:rPr>
                <w:rFonts w:hint="eastAsia"/>
              </w:rPr>
              <w:t>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shd w:val="clear" w:color="auto" w:fill="auto"/>
            <w:vAlign w:val="center"/>
          </w:tcPr>
          <w:p>
            <w:pPr>
              <w:ind w:firstLine="0" w:firstLineChars="0"/>
              <w:jc w:val="center"/>
            </w:pPr>
            <w:r>
              <w:rPr>
                <w:rFonts w:hint="eastAsia"/>
              </w:rPr>
              <w:t>920028</w:t>
            </w:r>
          </w:p>
        </w:tc>
        <w:tc>
          <w:tcPr>
            <w:tcW w:w="1384" w:type="dxa"/>
            <w:shd w:val="clear" w:color="auto" w:fill="auto"/>
            <w:vAlign w:val="center"/>
          </w:tcPr>
          <w:p>
            <w:pPr>
              <w:ind w:firstLine="0" w:firstLineChars="0"/>
              <w:jc w:val="center"/>
            </w:pPr>
            <w:r>
              <w:rPr>
                <w:rFonts w:hint="eastAsia"/>
              </w:rPr>
              <w:t>839018</w:t>
            </w:r>
          </w:p>
        </w:tc>
        <w:tc>
          <w:tcPr>
            <w:tcW w:w="881" w:type="dxa"/>
            <w:shd w:val="clear" w:color="auto" w:fill="auto"/>
            <w:vAlign w:val="center"/>
          </w:tcPr>
          <w:p>
            <w:pPr>
              <w:ind w:firstLine="0" w:firstLineChars="0"/>
              <w:jc w:val="center"/>
            </w:pPr>
            <w:r>
              <w:rPr>
                <w:rFonts w:hint="eastAsia"/>
              </w:rPr>
              <w:t>定价</w:t>
            </w:r>
          </w:p>
        </w:tc>
        <w:tc>
          <w:tcPr>
            <w:tcW w:w="2175" w:type="dxa"/>
            <w:shd w:val="clear" w:color="auto" w:fill="auto"/>
            <w:vAlign w:val="center"/>
          </w:tcPr>
          <w:p>
            <w:pPr>
              <w:ind w:firstLine="0" w:firstLineChars="0"/>
            </w:pPr>
            <w:r>
              <w:rPr>
                <w:rFonts w:hint="eastAsia"/>
              </w:rPr>
              <w:t>网上80万股</w:t>
            </w:r>
          </w:p>
          <w:p>
            <w:pPr>
              <w:ind w:firstLine="0" w:firstLineChars="0"/>
            </w:pPr>
            <w:r>
              <w:rPr>
                <w:rFonts w:hint="eastAsia"/>
              </w:rPr>
              <w:t>战略配售</w:t>
            </w:r>
            <w:r>
              <w:t>20</w:t>
            </w:r>
            <w:r>
              <w:rPr>
                <w:rFonts w:hint="eastAsia"/>
              </w:rPr>
              <w:t>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100-4万</w:t>
            </w:r>
          </w:p>
        </w:tc>
        <w:tc>
          <w:tcPr>
            <w:tcW w:w="2685" w:type="dxa"/>
            <w:shd w:val="clear" w:color="auto" w:fill="auto"/>
            <w:vAlign w:val="center"/>
          </w:tcPr>
          <w:p>
            <w:pPr>
              <w:ind w:firstLine="0" w:firstLineChars="0"/>
              <w:rPr>
                <w:lang w:eastAsia="zh-Hans"/>
              </w:rPr>
            </w:pPr>
            <w:r>
              <w:rPr>
                <w:rFonts w:hint="eastAsia"/>
              </w:rPr>
              <w:t>3月11</w:t>
            </w:r>
            <w:r>
              <w:rPr>
                <w:rFonts w:hint="eastAsia"/>
                <w:lang w:eastAsia="zh-Hans"/>
              </w:rPr>
              <w:t>日申购</w:t>
            </w:r>
          </w:p>
          <w:p>
            <w:pPr>
              <w:ind w:firstLine="0" w:firstLineChars="0"/>
            </w:pPr>
            <w:r>
              <w:rPr>
                <w:rFonts w:hint="eastAsia"/>
              </w:rPr>
              <w:t>3月12日配售</w:t>
            </w:r>
          </w:p>
        </w:tc>
        <w:tc>
          <w:tcPr>
            <w:tcW w:w="1350" w:type="dxa"/>
            <w:shd w:val="clear" w:color="auto" w:fill="auto"/>
            <w:vAlign w:val="center"/>
          </w:tcPr>
          <w:p>
            <w:pPr>
              <w:ind w:firstLine="0" w:firstLineChars="0"/>
              <w:jc w:val="center"/>
            </w:pPr>
            <w:r>
              <w:rPr>
                <w:rFonts w:hint="eastAsia"/>
              </w:rPr>
              <w:t>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92" w:type="dxa"/>
            <w:shd w:val="clear" w:color="auto" w:fill="auto"/>
            <w:vAlign w:val="center"/>
          </w:tcPr>
          <w:p>
            <w:pPr>
              <w:ind w:firstLine="0" w:firstLineChars="0"/>
              <w:jc w:val="center"/>
            </w:pPr>
            <w:r>
              <w:rPr>
                <w:rFonts w:hint="eastAsia"/>
              </w:rPr>
              <w:t>920029</w:t>
            </w:r>
          </w:p>
        </w:tc>
        <w:tc>
          <w:tcPr>
            <w:tcW w:w="1384" w:type="dxa"/>
            <w:shd w:val="clear" w:color="auto" w:fill="auto"/>
            <w:vAlign w:val="center"/>
          </w:tcPr>
          <w:p>
            <w:pPr>
              <w:ind w:firstLine="0" w:firstLineChars="0"/>
              <w:jc w:val="center"/>
            </w:pPr>
            <w:r>
              <w:rPr>
                <w:rFonts w:hint="eastAsia"/>
              </w:rPr>
              <w:t>839019</w:t>
            </w:r>
          </w:p>
        </w:tc>
        <w:tc>
          <w:tcPr>
            <w:tcW w:w="881" w:type="dxa"/>
            <w:shd w:val="clear" w:color="auto" w:fill="auto"/>
            <w:vAlign w:val="center"/>
          </w:tcPr>
          <w:p>
            <w:pPr>
              <w:ind w:firstLine="0" w:firstLineChars="0"/>
              <w:jc w:val="center"/>
            </w:pPr>
            <w:r>
              <w:rPr>
                <w:rFonts w:hint="eastAsia"/>
              </w:rPr>
              <w:t>询价</w:t>
            </w:r>
          </w:p>
        </w:tc>
        <w:tc>
          <w:tcPr>
            <w:tcW w:w="2175" w:type="dxa"/>
            <w:shd w:val="clear" w:color="auto" w:fill="auto"/>
            <w:vAlign w:val="center"/>
          </w:tcPr>
          <w:p>
            <w:pPr>
              <w:ind w:firstLine="0" w:firstLineChars="0"/>
            </w:pPr>
            <w:r>
              <w:rPr>
                <w:rFonts w:hint="eastAsia"/>
              </w:rPr>
              <w:t>网上400万股</w:t>
            </w:r>
          </w:p>
          <w:p>
            <w:pPr>
              <w:ind w:firstLine="0" w:firstLineChars="0"/>
            </w:pPr>
            <w:r>
              <w:rPr>
                <w:rFonts w:hint="eastAsia"/>
              </w:rPr>
              <w:t>网下600万股</w:t>
            </w:r>
          </w:p>
        </w:tc>
        <w:tc>
          <w:tcPr>
            <w:tcW w:w="1665"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100-1000</w:t>
            </w:r>
          </w:p>
        </w:tc>
        <w:tc>
          <w:tcPr>
            <w:tcW w:w="2685" w:type="dxa"/>
            <w:shd w:val="clear" w:color="auto" w:fill="auto"/>
            <w:vAlign w:val="center"/>
          </w:tcPr>
          <w:p>
            <w:pPr>
              <w:ind w:firstLine="0" w:firstLineChars="0"/>
              <w:rPr>
                <w:lang w:eastAsia="zh-Hans"/>
              </w:rPr>
            </w:pPr>
            <w:r>
              <w:rPr>
                <w:rFonts w:hint="eastAsia"/>
              </w:rPr>
              <w:t>3</w:t>
            </w:r>
            <w:r>
              <w:rPr>
                <w:rFonts w:hint="eastAsia"/>
                <w:lang w:eastAsia="zh-Hans"/>
              </w:rPr>
              <w:t>月</w:t>
            </w:r>
            <w:r>
              <w:rPr>
                <w:rFonts w:hint="eastAsia"/>
              </w:rPr>
              <w:t>11、12日</w:t>
            </w:r>
            <w:r>
              <w:rPr>
                <w:rFonts w:hint="eastAsia"/>
                <w:lang w:eastAsia="zh-Hans"/>
              </w:rPr>
              <w:t>询价</w:t>
            </w:r>
          </w:p>
          <w:p>
            <w:pPr>
              <w:ind w:firstLine="0" w:firstLineChars="0"/>
            </w:pPr>
            <w:r>
              <w:rPr>
                <w:rFonts w:hint="eastAsia"/>
              </w:rPr>
              <w:t>3</w:t>
            </w:r>
            <w:r>
              <w:rPr>
                <w:rFonts w:hint="eastAsia"/>
                <w:lang w:eastAsia="zh-Hans"/>
              </w:rPr>
              <w:t>月</w:t>
            </w:r>
            <w:r>
              <w:rPr>
                <w:rFonts w:hint="eastAsia"/>
              </w:rPr>
              <w:t>15</w:t>
            </w:r>
            <w:r>
              <w:rPr>
                <w:rFonts w:hint="eastAsia"/>
                <w:lang w:eastAsia="zh-Hans"/>
              </w:rPr>
              <w:t>日申购</w:t>
            </w:r>
            <w:r>
              <w:rPr>
                <w:rFonts w:hint="eastAsia"/>
              </w:rPr>
              <w:t>失败</w:t>
            </w:r>
          </w:p>
        </w:tc>
        <w:tc>
          <w:tcPr>
            <w:tcW w:w="1350" w:type="dxa"/>
            <w:shd w:val="clear" w:color="auto" w:fill="auto"/>
            <w:vAlign w:val="center"/>
          </w:tcPr>
          <w:p>
            <w:pPr>
              <w:ind w:firstLine="0" w:firstLineChars="0"/>
              <w:jc w:val="center"/>
              <w:rPr>
                <w:lang w:val="e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vAlign w:val="center"/>
          </w:tcPr>
          <w:p>
            <w:pPr>
              <w:ind w:firstLine="0" w:firstLineChars="0"/>
              <w:jc w:val="center"/>
            </w:pPr>
            <w:r>
              <w:rPr>
                <w:rFonts w:hint="eastAsia"/>
              </w:rPr>
              <w:t>920030</w:t>
            </w:r>
          </w:p>
        </w:tc>
        <w:tc>
          <w:tcPr>
            <w:tcW w:w="1384" w:type="dxa"/>
            <w:shd w:val="clear" w:color="auto" w:fill="auto"/>
            <w:vAlign w:val="center"/>
          </w:tcPr>
          <w:p>
            <w:pPr>
              <w:ind w:firstLine="0" w:firstLineChars="0"/>
              <w:jc w:val="center"/>
            </w:pPr>
            <w:r>
              <w:rPr>
                <w:rFonts w:hint="eastAsia"/>
              </w:rPr>
              <w:t>839020</w:t>
            </w:r>
          </w:p>
        </w:tc>
        <w:tc>
          <w:tcPr>
            <w:tcW w:w="881" w:type="dxa"/>
            <w:shd w:val="clear" w:color="auto" w:fill="auto"/>
            <w:vAlign w:val="center"/>
          </w:tcPr>
          <w:p>
            <w:pPr>
              <w:ind w:firstLine="0" w:firstLineChars="0"/>
              <w:jc w:val="center"/>
            </w:pPr>
            <w:r>
              <w:rPr>
                <w:rFonts w:hint="eastAsia"/>
              </w:rPr>
              <w:t>定价</w:t>
            </w:r>
          </w:p>
        </w:tc>
        <w:tc>
          <w:tcPr>
            <w:tcW w:w="2175" w:type="dxa"/>
            <w:shd w:val="clear" w:color="auto" w:fill="auto"/>
            <w:vAlign w:val="center"/>
          </w:tcPr>
          <w:p>
            <w:pPr>
              <w:ind w:firstLine="0" w:firstLineChars="0"/>
            </w:pPr>
            <w:r>
              <w:rPr>
                <w:rFonts w:hint="eastAsia"/>
              </w:rPr>
              <w:t>网上1000万股</w:t>
            </w:r>
          </w:p>
        </w:tc>
        <w:tc>
          <w:tcPr>
            <w:tcW w:w="1665" w:type="dxa"/>
            <w:shd w:val="clear" w:color="auto" w:fill="auto"/>
            <w:vAlign w:val="center"/>
          </w:tcPr>
          <w:p>
            <w:pPr>
              <w:ind w:firstLine="0" w:firstLineChars="0"/>
            </w:pPr>
            <w:r>
              <w:rPr>
                <w:rFonts w:hint="eastAsia"/>
              </w:rPr>
              <w:t>申购价2元</w:t>
            </w:r>
          </w:p>
        </w:tc>
        <w:tc>
          <w:tcPr>
            <w:tcW w:w="1395" w:type="dxa"/>
            <w:shd w:val="clear" w:color="auto" w:fill="auto"/>
            <w:vAlign w:val="center"/>
          </w:tcPr>
          <w:p>
            <w:pPr>
              <w:ind w:firstLine="0" w:firstLineChars="0"/>
            </w:pPr>
            <w:r>
              <w:rPr>
                <w:rFonts w:hint="eastAsia"/>
              </w:rPr>
              <w:t>100-1000</w:t>
            </w:r>
          </w:p>
        </w:tc>
        <w:tc>
          <w:tcPr>
            <w:tcW w:w="2685" w:type="dxa"/>
            <w:shd w:val="clear" w:color="auto" w:fill="auto"/>
            <w:vAlign w:val="center"/>
          </w:tcPr>
          <w:p>
            <w:pPr>
              <w:ind w:firstLine="0" w:firstLineChars="0"/>
            </w:pPr>
            <w:r>
              <w:rPr>
                <w:rFonts w:hint="eastAsia"/>
              </w:rPr>
              <w:t>3</w:t>
            </w:r>
            <w:r>
              <w:rPr>
                <w:rFonts w:hint="eastAsia"/>
                <w:lang w:eastAsia="zh-Hans"/>
              </w:rPr>
              <w:t>月</w:t>
            </w:r>
            <w:r>
              <w:rPr>
                <w:rFonts w:hint="eastAsia"/>
              </w:rPr>
              <w:t>13</w:t>
            </w:r>
            <w:r>
              <w:rPr>
                <w:rFonts w:hint="eastAsia"/>
                <w:lang w:eastAsia="zh-Hans"/>
              </w:rPr>
              <w:t>日申购</w:t>
            </w:r>
            <w:r>
              <w:rPr>
                <w:rFonts w:hint="eastAsia"/>
              </w:rPr>
              <w:t>失败</w:t>
            </w:r>
          </w:p>
        </w:tc>
        <w:tc>
          <w:tcPr>
            <w:tcW w:w="1350" w:type="dxa"/>
            <w:shd w:val="clear" w:color="auto" w:fill="auto"/>
            <w:vAlign w:val="center"/>
          </w:tcPr>
          <w:p>
            <w:pPr>
              <w:ind w:firstLine="0" w:firstLineChars="0"/>
              <w:jc w:val="center"/>
            </w:pPr>
            <w:r>
              <w:rPr>
                <w:rFonts w:hint="eastAsia"/>
              </w:rPr>
              <w:t>——</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pStyle w:val="101"/>
        <w:ind w:firstLine="0" w:firstLineChars="0"/>
        <w:rPr>
          <w:rFonts w:eastAsia="楷体"/>
          <w:b/>
          <w:bCs/>
          <w:sz w:val="28"/>
          <w:szCs w:val="32"/>
        </w:rPr>
        <w:sectPr>
          <w:pgSz w:w="16838" w:h="11906" w:orient="landscape"/>
          <w:pgMar w:top="1701" w:right="1588" w:bottom="1701" w:left="1588" w:header="907" w:footer="907" w:gutter="0"/>
          <w:pgNumType w:fmt="numberInDash"/>
          <w:cols w:space="720" w:num="1"/>
          <w:docGrid w:type="linesAndChars" w:linePitch="326" w:charSpace="0"/>
        </w:sectPr>
      </w:pPr>
    </w:p>
    <w:p>
      <w:pPr>
        <w:pStyle w:val="73"/>
        <w:spacing w:before="163" w:after="163"/>
        <w:ind w:firstLine="560"/>
        <w:rPr>
          <w:rFonts w:ascii="楷体" w:hAnsi="楷体" w:eastAsia="楷体"/>
          <w:sz w:val="28"/>
          <w:szCs w:val="28"/>
        </w:rPr>
      </w:pPr>
      <w:bookmarkStart w:id="38" w:name="_Toc157623424"/>
      <w:r>
        <w:rPr>
          <w:rFonts w:hint="eastAsia" w:ascii="楷体" w:hAnsi="楷体" w:eastAsia="楷体"/>
          <w:sz w:val="28"/>
          <w:szCs w:val="28"/>
        </w:rPr>
        <w:t>（二</w:t>
      </w:r>
      <w:r>
        <w:rPr>
          <w:rFonts w:ascii="楷体" w:hAnsi="楷体" w:eastAsia="楷体"/>
          <w:sz w:val="28"/>
          <w:szCs w:val="28"/>
        </w:rPr>
        <w:t>）</w:t>
      </w:r>
      <w:r>
        <w:rPr>
          <w:rFonts w:hint="eastAsia" w:ascii="楷体" w:hAnsi="楷体" w:eastAsia="楷体"/>
          <w:sz w:val="28"/>
          <w:szCs w:val="28"/>
        </w:rPr>
        <w:t>日常交易测试证券及测试时间安排</w:t>
      </w:r>
      <w:bookmarkEnd w:id="38"/>
    </w:p>
    <w:p>
      <w:pPr>
        <w:pStyle w:val="101"/>
        <w:ind w:left="1447" w:firstLine="0" w:firstLineChars="0"/>
        <w:rPr>
          <w:rFonts w:eastAsia="楷体"/>
          <w:b/>
          <w:bCs/>
          <w:sz w:val="28"/>
          <w:szCs w:val="32"/>
        </w:rPr>
      </w:pPr>
    </w:p>
    <w:tbl>
      <w:tblPr>
        <w:tblStyle w:val="38"/>
        <w:tblpPr w:leftFromText="180" w:rightFromText="180" w:vertAnchor="text" w:horzAnchor="margin" w:tblpXSpec="center" w:tblpY="1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197"/>
        <w:gridCol w:w="2337"/>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612" w:type="dxa"/>
            <w:gridSpan w:val="2"/>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业务</w:t>
            </w:r>
            <w:r>
              <w:rPr>
                <w:rFonts w:ascii="楷体" w:hAnsi="楷体" w:eastAsia="楷体"/>
                <w:b/>
                <w:szCs w:val="21"/>
              </w:rPr>
              <w:t>类型</w:t>
            </w:r>
          </w:p>
        </w:tc>
        <w:tc>
          <w:tcPr>
            <w:tcW w:w="2337" w:type="dxa"/>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证券</w:t>
            </w:r>
            <w:r>
              <w:rPr>
                <w:rFonts w:ascii="楷体" w:hAnsi="楷体" w:eastAsia="楷体"/>
                <w:b/>
                <w:szCs w:val="21"/>
              </w:rPr>
              <w:t>代码</w:t>
            </w:r>
          </w:p>
        </w:tc>
        <w:tc>
          <w:tcPr>
            <w:tcW w:w="2806" w:type="dxa"/>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测试日期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restart"/>
            <w:shd w:val="clear" w:color="auto" w:fill="FFFFFF" w:themeFill="background1"/>
            <w:vAlign w:val="center"/>
          </w:tcPr>
          <w:p>
            <w:pPr>
              <w:ind w:firstLine="0" w:firstLineChars="0"/>
              <w:rPr>
                <w:rFonts w:ascii="仿宋" w:hAnsi="仿宋" w:cs="Times New Roman"/>
                <w:szCs w:val="24"/>
              </w:rPr>
            </w:pPr>
            <w:r>
              <w:rPr>
                <w:rFonts w:hint="eastAsia" w:ascii="仿宋" w:hAnsi="仿宋" w:cs="Times New Roman"/>
                <w:szCs w:val="24"/>
              </w:rPr>
              <w:t>常规业务</w:t>
            </w:r>
          </w:p>
        </w:tc>
        <w:tc>
          <w:tcPr>
            <w:tcW w:w="2197" w:type="dxa"/>
            <w:vMerge w:val="restart"/>
            <w:shd w:val="clear" w:color="auto" w:fill="FFFFFF" w:themeFill="background1"/>
            <w:vAlign w:val="center"/>
          </w:tcPr>
          <w:p>
            <w:pPr>
              <w:spacing w:before="187" w:line="312" w:lineRule="auto"/>
              <w:ind w:firstLine="0" w:firstLineChars="0"/>
              <w:rPr>
                <w:rFonts w:ascii="仿宋" w:hAnsi="仿宋"/>
                <w:szCs w:val="24"/>
              </w:rPr>
            </w:pPr>
            <w:r>
              <w:rPr>
                <w:rFonts w:hint="eastAsia" w:ascii="仿宋" w:hAnsi="仿宋" w:cs="Times New Roman"/>
                <w:szCs w:val="24"/>
              </w:rPr>
              <w:t>北交所上市首日</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920001-920010</w:t>
            </w:r>
          </w:p>
        </w:tc>
        <w:tc>
          <w:tcPr>
            <w:tcW w:w="2806" w:type="dxa"/>
            <w:shd w:val="clear" w:color="auto" w:fill="FFFFFF" w:themeFill="background1"/>
            <w:vAlign w:val="center"/>
          </w:tcPr>
          <w:p>
            <w:pPr>
              <w:widowControl w:val="0"/>
              <w:spacing w:line="0" w:lineRule="atLeast"/>
              <w:ind w:firstLine="720" w:firstLineChars="300"/>
              <w:jc w:val="both"/>
              <w:rPr>
                <w:rFonts w:cs="Times New Roman"/>
                <w:szCs w:val="24"/>
              </w:rPr>
            </w:pPr>
            <w:r>
              <w:rPr>
                <w:rFonts w:hint="eastAsia" w:cs="Times New Roman"/>
                <w:szCs w:val="24"/>
              </w:rPr>
              <w:t>2</w:t>
            </w:r>
            <w:r>
              <w:rPr>
                <w:rFonts w:cs="Times New Roman"/>
                <w:szCs w:val="24"/>
              </w:rPr>
              <w:t>月</w:t>
            </w:r>
            <w:r>
              <w:rPr>
                <w:rFonts w:hint="eastAsia" w:cs="Times New Roman"/>
                <w:szCs w:val="24"/>
              </w:rPr>
              <w:t>20</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920011-920028</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参考公开发行测试证券上市日期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tcPr>
          <w:p>
            <w:pPr>
              <w:widowControl w:val="0"/>
              <w:spacing w:before="187" w:line="312" w:lineRule="auto"/>
              <w:ind w:firstLine="0" w:firstLineChars="0"/>
              <w:rPr>
                <w:rFonts w:ascii="仿宋" w:hAnsi="仿宋"/>
                <w:szCs w:val="24"/>
              </w:rPr>
            </w:pPr>
            <w:r>
              <w:rPr>
                <w:rFonts w:hint="eastAsia" w:ascii="仿宋" w:hAnsi="仿宋" w:cs="Times New Roman"/>
                <w:szCs w:val="24"/>
              </w:rPr>
              <w:t>盘中紧急停牌（次日复牌）</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920003</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w:t>
            </w:r>
            <w:r>
              <w:rPr>
                <w:rFonts w:hint="eastAsia" w:cs="Times New Roman"/>
                <w:szCs w:val="24"/>
              </w:rPr>
              <w:t>21</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920004</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w:t>
            </w:r>
            <w:r>
              <w:rPr>
                <w:rFonts w:hint="eastAsia" w:cs="Times New Roman"/>
                <w:szCs w:val="24"/>
              </w:rPr>
              <w:t>28</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13</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shd w:val="clear" w:color="auto" w:fill="FFFFFF" w:themeFill="background1"/>
            <w:vAlign w:val="center"/>
          </w:tcPr>
          <w:p>
            <w:pPr>
              <w:spacing w:before="187" w:line="312" w:lineRule="auto"/>
              <w:ind w:firstLine="0" w:firstLineChars="0"/>
              <w:rPr>
                <w:rFonts w:ascii="仿宋" w:hAnsi="仿宋" w:cs="Times New Roman"/>
                <w:szCs w:val="24"/>
              </w:rPr>
            </w:pPr>
            <w:r>
              <w:rPr>
                <w:rFonts w:hint="eastAsia" w:ascii="仿宋" w:hAnsi="仿宋" w:cs="Times New Roman"/>
                <w:szCs w:val="24"/>
              </w:rPr>
              <w:t>长期停牌</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920005</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w:t>
            </w:r>
            <w:r>
              <w:rPr>
                <w:rFonts w:hint="eastAsia" w:cs="Times New Roman"/>
                <w:szCs w:val="24"/>
              </w:rPr>
              <w:t>22</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shd w:val="clear" w:color="auto" w:fill="FFFFFF" w:themeFill="background1"/>
            <w:vAlign w:val="center"/>
          </w:tcPr>
          <w:p>
            <w:pPr>
              <w:spacing w:before="187" w:line="312" w:lineRule="auto"/>
              <w:ind w:firstLine="0" w:firstLineChars="0"/>
              <w:rPr>
                <w:rFonts w:ascii="仿宋" w:hAnsi="仿宋" w:cs="Times New Roman"/>
                <w:szCs w:val="24"/>
              </w:rPr>
            </w:pPr>
            <w:r>
              <w:rPr>
                <w:rFonts w:hint="eastAsia" w:ascii="仿宋" w:hAnsi="仿宋" w:cs="Times New Roman"/>
                <w:szCs w:val="24"/>
              </w:rPr>
              <w:t>复牌</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920005</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w:t>
            </w:r>
            <w:r>
              <w:rPr>
                <w:rFonts w:hint="eastAsia" w:cs="Times New Roman"/>
                <w:szCs w:val="24"/>
              </w:rPr>
              <w:t>27</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vAlign w:val="center"/>
          </w:tcPr>
          <w:p>
            <w:pPr>
              <w:widowControl w:val="0"/>
              <w:spacing w:before="187" w:line="312" w:lineRule="auto"/>
              <w:ind w:firstLine="0" w:firstLineChars="0"/>
              <w:rPr>
                <w:rFonts w:ascii="仿宋" w:hAnsi="仿宋" w:cs="Times New Roman"/>
                <w:szCs w:val="24"/>
              </w:rPr>
            </w:pPr>
            <w:r>
              <w:rPr>
                <w:rFonts w:ascii="仿宋" w:hAnsi="仿宋" w:cs="Times New Roman"/>
                <w:szCs w:val="24"/>
              </w:rPr>
              <w:t>暂停融资融券业务</w:t>
            </w:r>
            <w:r>
              <w:rPr>
                <w:rFonts w:hint="eastAsia" w:ascii="仿宋" w:hAnsi="仿宋" w:cs="Times New Roman"/>
                <w:szCs w:val="24"/>
              </w:rPr>
              <w:t>（次日恢复）</w:t>
            </w: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920006</w:t>
            </w:r>
            <w:r>
              <w:rPr>
                <w:rFonts w:cs="Times New Roman"/>
                <w:szCs w:val="24"/>
              </w:rPr>
              <w:t>暂停可融资</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月2</w:t>
            </w:r>
            <w:r>
              <w:rPr>
                <w:rFonts w:hint="eastAsia" w:cs="Times New Roman"/>
                <w:szCs w:val="24"/>
              </w:rPr>
              <w:t>2</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7</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920007</w:t>
            </w:r>
            <w:r>
              <w:rPr>
                <w:rFonts w:cs="Times New Roman"/>
                <w:szCs w:val="24"/>
              </w:rPr>
              <w:t>暂停可融券</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w:t>
            </w:r>
            <w:r>
              <w:rPr>
                <w:rFonts w:hint="eastAsia" w:cs="Times New Roman"/>
                <w:szCs w:val="24"/>
              </w:rPr>
              <w:t>28</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12</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vAlign w:val="center"/>
          </w:tcPr>
          <w:p>
            <w:pPr>
              <w:spacing w:before="187" w:line="312" w:lineRule="auto"/>
              <w:ind w:firstLine="0" w:firstLineChars="0"/>
              <w:rPr>
                <w:rFonts w:ascii="仿宋" w:hAnsi="仿宋" w:cs="Times New Roman"/>
                <w:szCs w:val="24"/>
              </w:rPr>
            </w:pPr>
            <w:r>
              <w:rPr>
                <w:rFonts w:hint="eastAsia" w:ascii="仿宋" w:hAnsi="仿宋" w:cs="Times New Roman"/>
                <w:szCs w:val="24"/>
              </w:rPr>
              <w:t>股票除权除息</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920008（每10股送一股）</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w:t>
            </w:r>
            <w:r>
              <w:rPr>
                <w:rFonts w:hint="eastAsia" w:cs="Times New Roman"/>
                <w:szCs w:val="24"/>
              </w:rPr>
              <w:t>22</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5</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920009（每10元派送1元）</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2</w:t>
            </w:r>
            <w:r>
              <w:rPr>
                <w:rFonts w:cs="Times New Roman"/>
                <w:szCs w:val="24"/>
              </w:rPr>
              <w:t>月</w:t>
            </w:r>
            <w:r>
              <w:rPr>
                <w:rFonts w:hint="eastAsia" w:cs="Times New Roman"/>
                <w:szCs w:val="24"/>
              </w:rPr>
              <w:t>22</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5</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5" w:type="dxa"/>
            <w:vMerge w:val="continue"/>
            <w:shd w:val="clear" w:color="auto" w:fill="FFFFFF" w:themeFill="background1"/>
            <w:vAlign w:val="center"/>
          </w:tcPr>
          <w:p>
            <w:pPr>
              <w:widowControl w:val="0"/>
              <w:ind w:firstLine="0" w:firstLineChars="0"/>
              <w:rPr>
                <w:rFonts w:ascii="仿宋" w:hAnsi="仿宋" w:cs="Times New Roman"/>
                <w:szCs w:val="24"/>
              </w:rPr>
            </w:pPr>
            <w:bookmarkStart w:id="39" w:name="_Toc836006634"/>
          </w:p>
        </w:tc>
        <w:tc>
          <w:tcPr>
            <w:tcW w:w="2197" w:type="dxa"/>
            <w:vMerge w:val="continue"/>
            <w:shd w:val="clear" w:color="auto" w:fill="FFFFFF" w:themeFill="background1"/>
            <w:vAlign w:val="center"/>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920011（每10元送一股派送一元）</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第一轮：</w:t>
            </w:r>
            <w:r>
              <w:rPr>
                <w:rFonts w:hint="eastAsia" w:cs="Times New Roman"/>
                <w:szCs w:val="24"/>
              </w:rPr>
              <w:t>3</w:t>
            </w:r>
            <w:r>
              <w:rPr>
                <w:rFonts w:cs="Times New Roman"/>
                <w:szCs w:val="24"/>
              </w:rPr>
              <w:t>月</w:t>
            </w:r>
            <w:r>
              <w:rPr>
                <w:rFonts w:hint="eastAsia" w:cs="Times New Roman"/>
                <w:szCs w:val="24"/>
              </w:rPr>
              <w:t>5</w:t>
            </w:r>
            <w:r>
              <w:rPr>
                <w:rFonts w:cs="Times New Roman"/>
                <w:szCs w:val="24"/>
              </w:rPr>
              <w:t>日</w:t>
            </w:r>
          </w:p>
          <w:p>
            <w:pPr>
              <w:widowControl w:val="0"/>
              <w:spacing w:line="0" w:lineRule="atLeast"/>
              <w:ind w:firstLine="0" w:firstLineChars="0"/>
              <w:jc w:val="both"/>
              <w:rPr>
                <w:rFonts w:cs="Times New Roman"/>
                <w:szCs w:val="24"/>
              </w:rPr>
            </w:pPr>
            <w:r>
              <w:rPr>
                <w:rFonts w:cs="Times New Roman"/>
                <w:szCs w:val="24"/>
              </w:rPr>
              <w:t>第二轮：</w:t>
            </w:r>
            <w:r>
              <w:rPr>
                <w:rFonts w:hint="eastAsia" w:cs="Times New Roman"/>
                <w:szCs w:val="24"/>
              </w:rPr>
              <w:t>3</w:t>
            </w:r>
            <w:r>
              <w:rPr>
                <w:rFonts w:cs="Times New Roman"/>
                <w:szCs w:val="24"/>
              </w:rPr>
              <w:t>月</w:t>
            </w:r>
            <w:r>
              <w:rPr>
                <w:rFonts w:hint="eastAsia" w:cs="Times New Roman"/>
                <w:szCs w:val="24"/>
              </w:rPr>
              <w:t>12</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15" w:type="dxa"/>
            <w:vMerge w:val="restart"/>
            <w:shd w:val="clear" w:color="auto" w:fill="auto"/>
            <w:vAlign w:val="center"/>
          </w:tcPr>
          <w:p>
            <w:pPr>
              <w:widowControl w:val="0"/>
              <w:ind w:firstLine="0" w:firstLineChars="0"/>
              <w:rPr>
                <w:rFonts w:ascii="仿宋" w:hAnsi="仿宋" w:cs="Times New Roman"/>
                <w:szCs w:val="24"/>
              </w:rPr>
            </w:pPr>
            <w:r>
              <w:rPr>
                <w:rFonts w:hint="eastAsia" w:ascii="仿宋" w:hAnsi="仿宋" w:cs="Times New Roman"/>
                <w:szCs w:val="24"/>
              </w:rPr>
              <w:t>其他业务场景</w:t>
            </w:r>
          </w:p>
        </w:tc>
        <w:tc>
          <w:tcPr>
            <w:tcW w:w="2197" w:type="dxa"/>
            <w:shd w:val="clear" w:color="auto" w:fill="auto"/>
            <w:vAlign w:val="center"/>
          </w:tcPr>
          <w:p>
            <w:pPr>
              <w:widowControl w:val="0"/>
              <w:ind w:firstLine="0" w:firstLineChars="0"/>
            </w:pPr>
            <w:r>
              <w:rPr>
                <w:rFonts w:hint="eastAsia"/>
              </w:rPr>
              <w:t>要约</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要约代码：8400</w:t>
            </w:r>
            <w:r>
              <w:rPr>
                <w:rFonts w:hint="eastAsia" w:cs="Times New Roman"/>
              </w:rPr>
              <w:t>50</w:t>
            </w:r>
          </w:p>
          <w:p>
            <w:pPr>
              <w:widowControl w:val="0"/>
              <w:ind w:firstLine="0" w:firstLineChars="0"/>
              <w:rPr>
                <w:rFonts w:cs="Times New Roman"/>
              </w:rPr>
            </w:pPr>
            <w:r>
              <w:rPr>
                <w:rFonts w:cs="Times New Roman"/>
              </w:rPr>
              <w:t>基础证券：</w:t>
            </w:r>
            <w:r>
              <w:rPr>
                <w:rFonts w:hint="eastAsia" w:cs="Times New Roman"/>
              </w:rPr>
              <w:t>920001</w:t>
            </w:r>
          </w:p>
        </w:tc>
        <w:tc>
          <w:tcPr>
            <w:tcW w:w="2806" w:type="dxa"/>
            <w:vAlign w:val="center"/>
          </w:tcPr>
          <w:p>
            <w:pPr>
              <w:widowControl w:val="0"/>
              <w:spacing w:line="0" w:lineRule="atLeast"/>
              <w:ind w:firstLine="0" w:firstLineChars="0"/>
              <w:jc w:val="both"/>
              <w:rPr>
                <w:rFonts w:cs="Times New Roman"/>
                <w:szCs w:val="24"/>
              </w:rPr>
            </w:pPr>
            <w:r>
              <w:rPr>
                <w:rFonts w:hint="eastAsia" w:cs="Times New Roman"/>
                <w:szCs w:val="24"/>
              </w:rPr>
              <w:t>2</w:t>
            </w:r>
            <w:r>
              <w:rPr>
                <w:rFonts w:cs="Times New Roman"/>
                <w:szCs w:val="24"/>
              </w:rPr>
              <w:t>月</w:t>
            </w:r>
            <w:r>
              <w:rPr>
                <w:rFonts w:hint="eastAsia" w:cs="Times New Roman"/>
                <w:szCs w:val="24"/>
              </w:rPr>
              <w:t>20</w:t>
            </w:r>
            <w:r>
              <w:rPr>
                <w:rFonts w:cs="Times New Roman"/>
                <w:szCs w:val="24"/>
              </w:rPr>
              <w:t>日</w:t>
            </w:r>
            <w:r>
              <w:rPr>
                <w:rFonts w:hint="eastAsia" w:cs="Times New Roman"/>
                <w:szCs w:val="24"/>
              </w:rPr>
              <w:t>预受要约</w:t>
            </w:r>
          </w:p>
          <w:p>
            <w:pPr>
              <w:widowControl w:val="0"/>
              <w:spacing w:line="0" w:lineRule="atLeast"/>
              <w:ind w:firstLine="0" w:firstLineChars="0"/>
              <w:jc w:val="both"/>
              <w:rPr>
                <w:rFonts w:cs="Times New Roman"/>
                <w:szCs w:val="24"/>
              </w:rPr>
            </w:pPr>
            <w:r>
              <w:rPr>
                <w:rFonts w:hint="eastAsia" w:cs="Times New Roman"/>
                <w:szCs w:val="24"/>
              </w:rPr>
              <w:t>3月8日要约截止</w:t>
            </w:r>
          </w:p>
          <w:p>
            <w:pPr>
              <w:widowControl w:val="0"/>
              <w:spacing w:line="0" w:lineRule="atLeast"/>
              <w:ind w:firstLine="0" w:firstLineChars="0"/>
              <w:jc w:val="both"/>
              <w:rPr>
                <w:rFonts w:cs="Times New Roman"/>
                <w:szCs w:val="24"/>
              </w:rPr>
            </w:pPr>
            <w:r>
              <w:rPr>
                <w:rFonts w:hint="eastAsia" w:cs="Times New Roman"/>
                <w:szCs w:val="24"/>
              </w:rPr>
              <w:t>回购价格:6元/股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rPr>
                <w:rFonts w:hint="eastAsia"/>
              </w:rPr>
              <w:t>优先股</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8200</w:t>
            </w:r>
            <w:r>
              <w:rPr>
                <w:rFonts w:hint="eastAsia" w:cs="Times New Roman"/>
              </w:rPr>
              <w:t>50</w:t>
            </w:r>
          </w:p>
          <w:p>
            <w:pPr>
              <w:widowControl w:val="0"/>
              <w:ind w:firstLine="0" w:firstLineChars="0"/>
              <w:rPr>
                <w:rFonts w:cs="Times New Roman"/>
              </w:rPr>
            </w:pPr>
            <w:r>
              <w:rPr>
                <w:rFonts w:hint="eastAsia" w:cs="Times New Roman"/>
              </w:rPr>
              <w:t>新三板基础券：</w:t>
            </w:r>
          </w:p>
          <w:p>
            <w:pPr>
              <w:widowControl w:val="0"/>
              <w:ind w:firstLine="0" w:firstLineChars="0"/>
              <w:rPr>
                <w:rFonts w:cs="Times New Roman"/>
              </w:rPr>
            </w:pPr>
            <w:r>
              <w:rPr>
                <w:rFonts w:hint="eastAsia"/>
              </w:rPr>
              <w:t>839001</w:t>
            </w:r>
          </w:p>
          <w:p>
            <w:pPr>
              <w:widowControl w:val="0"/>
              <w:ind w:firstLine="0" w:firstLineChars="0"/>
              <w:rPr>
                <w:rFonts w:cs="Times New Roman"/>
              </w:rPr>
            </w:pPr>
            <w:r>
              <w:rPr>
                <w:rFonts w:hint="eastAsia" w:cs="Times New Roman"/>
              </w:rPr>
              <w:t>上市后</w:t>
            </w:r>
            <w:r>
              <w:rPr>
                <w:rFonts w:cs="Times New Roman"/>
              </w:rPr>
              <w:t>基础券：</w:t>
            </w:r>
            <w:r>
              <w:rPr>
                <w:rFonts w:hint="eastAsia" w:cs="Times New Roman"/>
              </w:rPr>
              <w:t>920011</w:t>
            </w:r>
          </w:p>
        </w:tc>
        <w:tc>
          <w:tcPr>
            <w:tcW w:w="2806" w:type="dxa"/>
            <w:vAlign w:val="center"/>
          </w:tcPr>
          <w:p>
            <w:pPr>
              <w:widowControl w:val="0"/>
              <w:spacing w:line="0" w:lineRule="atLeast"/>
              <w:ind w:firstLine="0" w:firstLineChars="0"/>
              <w:jc w:val="both"/>
              <w:rPr>
                <w:rFonts w:cs="Times New Roman"/>
                <w:szCs w:val="24"/>
              </w:rPr>
            </w:pPr>
            <w:r>
              <w:rPr>
                <w:rFonts w:hint="eastAsia" w:cs="Times New Roman"/>
                <w:szCs w:val="24"/>
              </w:rPr>
              <w:t>3月1日前停牌</w:t>
            </w:r>
          </w:p>
          <w:p>
            <w:pPr>
              <w:widowControl w:val="0"/>
              <w:spacing w:line="0" w:lineRule="atLeast"/>
              <w:ind w:firstLine="0" w:firstLineChars="0"/>
              <w:jc w:val="both"/>
              <w:rPr>
                <w:rFonts w:cs="Times New Roman"/>
                <w:szCs w:val="24"/>
              </w:rPr>
            </w:pPr>
            <w:r>
              <w:rPr>
                <w:rFonts w:hint="eastAsia" w:cs="Times New Roman"/>
                <w:szCs w:val="24"/>
              </w:rPr>
              <w:t>3月1日恢复交易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t>可转债</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810050</w:t>
            </w:r>
          </w:p>
          <w:p>
            <w:pPr>
              <w:widowControl w:val="0"/>
              <w:ind w:firstLine="0" w:firstLineChars="0"/>
              <w:rPr>
                <w:rFonts w:cs="Times New Roman"/>
              </w:rPr>
            </w:pPr>
            <w:r>
              <w:rPr>
                <w:rFonts w:hint="eastAsia" w:cs="Times New Roman"/>
              </w:rPr>
              <w:t>新三板基础</w:t>
            </w:r>
            <w:r>
              <w:rPr>
                <w:rFonts w:cs="Times New Roman"/>
              </w:rPr>
              <w:t>券：</w:t>
            </w:r>
            <w:r>
              <w:rPr>
                <w:rFonts w:hint="eastAsia"/>
              </w:rPr>
              <w:t>839011</w:t>
            </w:r>
          </w:p>
          <w:p>
            <w:pPr>
              <w:widowControl w:val="0"/>
              <w:ind w:firstLine="0" w:firstLineChars="0"/>
              <w:rPr>
                <w:rFonts w:cs="Times New Roman"/>
              </w:rPr>
            </w:pPr>
            <w:r>
              <w:rPr>
                <w:rFonts w:hint="eastAsia" w:cs="Times New Roman"/>
              </w:rPr>
              <w:t>上市后</w:t>
            </w:r>
            <w:r>
              <w:rPr>
                <w:rFonts w:cs="Times New Roman"/>
              </w:rPr>
              <w:t>基础券：</w:t>
            </w:r>
            <w:r>
              <w:rPr>
                <w:rFonts w:hint="eastAsia"/>
              </w:rPr>
              <w:t>920021</w:t>
            </w:r>
          </w:p>
        </w:tc>
        <w:tc>
          <w:tcPr>
            <w:tcW w:w="2806" w:type="dxa"/>
            <w:vAlign w:val="center"/>
          </w:tcPr>
          <w:p>
            <w:pPr>
              <w:widowControl w:val="0"/>
              <w:spacing w:line="0" w:lineRule="atLeast"/>
              <w:ind w:firstLine="0" w:firstLineChars="0"/>
              <w:jc w:val="both"/>
              <w:rPr>
                <w:rFonts w:cs="Times New Roman"/>
                <w:szCs w:val="24"/>
              </w:rPr>
            </w:pPr>
            <w:r>
              <w:rPr>
                <w:rFonts w:hint="eastAsia" w:cs="Times New Roman"/>
                <w:szCs w:val="24"/>
              </w:rPr>
              <w:t>2月19日至2月29日停牌、可转股</w:t>
            </w:r>
          </w:p>
          <w:p>
            <w:pPr>
              <w:widowControl w:val="0"/>
              <w:spacing w:line="0" w:lineRule="atLeast"/>
              <w:ind w:firstLine="0" w:firstLineChars="0"/>
              <w:jc w:val="both"/>
              <w:rPr>
                <w:rFonts w:cs="Times New Roman"/>
                <w:szCs w:val="24"/>
              </w:rPr>
            </w:pPr>
            <w:r>
              <w:rPr>
                <w:rFonts w:hint="eastAsia" w:cs="Times New Roman"/>
                <w:szCs w:val="24"/>
              </w:rPr>
              <w:t>2月29日至3月7日停牌、不可转股</w:t>
            </w:r>
          </w:p>
          <w:p>
            <w:pPr>
              <w:widowControl w:val="0"/>
              <w:spacing w:line="0" w:lineRule="atLeast"/>
              <w:ind w:firstLine="0" w:firstLineChars="0"/>
              <w:jc w:val="both"/>
              <w:rPr>
                <w:rFonts w:cs="Times New Roman"/>
                <w:szCs w:val="24"/>
              </w:rPr>
            </w:pPr>
            <w:r>
              <w:rPr>
                <w:rFonts w:hint="eastAsia" w:cs="Times New Roman"/>
                <w:szCs w:val="24"/>
              </w:rPr>
              <w:t>3月8日复牌、可转股</w:t>
            </w:r>
          </w:p>
          <w:p>
            <w:pPr>
              <w:widowControl w:val="0"/>
              <w:spacing w:line="0" w:lineRule="atLeast"/>
              <w:ind w:firstLine="0" w:firstLineChars="0"/>
              <w:jc w:val="both"/>
              <w:rPr>
                <w:rFonts w:cs="Times New Roman"/>
                <w:szCs w:val="24"/>
              </w:rPr>
            </w:pPr>
            <w:r>
              <w:rPr>
                <w:rFonts w:hint="eastAsia" w:cs="Times New Roman"/>
                <w:szCs w:val="24"/>
              </w:rPr>
              <w:t>3月29日转股截止</w:t>
            </w:r>
          </w:p>
          <w:p>
            <w:pPr>
              <w:widowControl w:val="0"/>
              <w:spacing w:line="0" w:lineRule="atLeast"/>
              <w:ind w:firstLine="0" w:firstLineChars="0"/>
              <w:jc w:val="both"/>
              <w:rPr>
                <w:rFonts w:cs="Times New Roman"/>
                <w:szCs w:val="24"/>
              </w:rPr>
            </w:pPr>
            <w:r>
              <w:rPr>
                <w:rFonts w:hint="eastAsia" w:cs="Times New Roman"/>
                <w:szCs w:val="24"/>
              </w:rPr>
              <w:t>转股价格:3元/股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5" w:type="dxa"/>
            <w:shd w:val="clear" w:color="auto" w:fill="auto"/>
            <w:vAlign w:val="center"/>
          </w:tcPr>
          <w:p>
            <w:pPr>
              <w:widowControl w:val="0"/>
              <w:ind w:firstLine="0" w:firstLineChars="0"/>
              <w:rPr>
                <w:rFonts w:ascii="仿宋" w:hAnsi="仿宋" w:cs="Times New Roman"/>
                <w:color w:val="000000" w:themeColor="text1"/>
                <w:szCs w:val="24"/>
                <w14:textFill>
                  <w14:solidFill>
                    <w14:schemeClr w14:val="tx1"/>
                  </w14:solidFill>
                </w14:textFill>
              </w:rPr>
            </w:pPr>
            <w:r>
              <w:rPr>
                <w:rFonts w:hint="eastAsia" w:ascii="仿宋" w:hAnsi="仿宋" w:cs="Times New Roman"/>
                <w:color w:val="000000" w:themeColor="text1"/>
                <w:szCs w:val="24"/>
                <w14:textFill>
                  <w14:solidFill>
                    <w14:schemeClr w14:val="tx1"/>
                  </w14:solidFill>
                </w14:textFill>
              </w:rPr>
              <w:t>行情发布</w:t>
            </w:r>
          </w:p>
        </w:tc>
        <w:tc>
          <w:tcPr>
            <w:tcW w:w="2197" w:type="dxa"/>
            <w:shd w:val="clear" w:color="auto" w:fill="auto"/>
            <w:vAlign w:val="center"/>
          </w:tcPr>
          <w:p>
            <w:pPr>
              <w:widowControl w:val="0"/>
              <w:spacing w:before="187"/>
              <w:ind w:firstLine="0" w:firstLineChars="0"/>
              <w:rPr>
                <w:rFonts w:cs="Times New Roman"/>
                <w:szCs w:val="24"/>
                <w:highlight w:val="yellow"/>
              </w:rPr>
            </w:pPr>
            <w:r>
              <w:rPr>
                <w:rFonts w:cs="Times New Roman"/>
                <w:szCs w:val="24"/>
              </w:rPr>
              <w:t>交易日8:30通过行情公告发布</w:t>
            </w:r>
            <w:r>
              <w:rPr>
                <w:rFonts w:hint="eastAsia" w:cs="Times New Roman"/>
                <w:szCs w:val="24"/>
              </w:rPr>
              <w:t>发行券、</w:t>
            </w:r>
            <w:r>
              <w:rPr>
                <w:rFonts w:cs="Times New Roman"/>
                <w:szCs w:val="24"/>
              </w:rPr>
              <w:t>标的证券、担保证券</w:t>
            </w:r>
            <w:r>
              <w:rPr>
                <w:rFonts w:hint="eastAsia" w:cs="Times New Roman"/>
                <w:szCs w:val="24"/>
              </w:rPr>
              <w:t>等各类行情信息</w:t>
            </w:r>
          </w:p>
        </w:tc>
        <w:tc>
          <w:tcPr>
            <w:tcW w:w="2337" w:type="dxa"/>
            <w:tcBorders>
              <w:bottom w:val="single" w:color="auto" w:sz="4" w:space="0"/>
              <w:tl2br w:val="single" w:color="auto" w:sz="4" w:space="0"/>
            </w:tcBorders>
            <w:shd w:val="clear" w:color="auto" w:fill="auto"/>
            <w:vAlign w:val="center"/>
          </w:tcPr>
          <w:p>
            <w:pPr>
              <w:widowControl w:val="0"/>
              <w:ind w:firstLine="0" w:firstLineChars="0"/>
              <w:rPr>
                <w:rFonts w:cs="Times New Roman"/>
                <w:szCs w:val="24"/>
              </w:rPr>
            </w:pPr>
          </w:p>
        </w:tc>
        <w:tc>
          <w:tcPr>
            <w:tcW w:w="2806" w:type="dxa"/>
            <w:vAlign w:val="center"/>
          </w:tcPr>
          <w:p>
            <w:pPr>
              <w:widowControl w:val="0"/>
              <w:spacing w:before="187" w:line="312" w:lineRule="auto"/>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15" w:type="dxa"/>
            <w:shd w:val="clear" w:color="auto" w:fill="auto"/>
            <w:vAlign w:val="center"/>
          </w:tcPr>
          <w:p>
            <w:pPr>
              <w:widowControl w:val="0"/>
              <w:ind w:firstLine="0" w:firstLineChars="0"/>
              <w:rPr>
                <w:rFonts w:ascii="仿宋" w:hAnsi="仿宋" w:cs="Times New Roman"/>
                <w:color w:val="000000" w:themeColor="text1"/>
                <w:szCs w:val="24"/>
                <w14:textFill>
                  <w14:solidFill>
                    <w14:schemeClr w14:val="tx1"/>
                  </w14:solidFill>
                </w14:textFill>
              </w:rPr>
            </w:pPr>
            <w:r>
              <w:rPr>
                <w:rFonts w:ascii="仿宋" w:hAnsi="仿宋" w:cs="Times New Roman"/>
                <w:color w:val="000000" w:themeColor="text1"/>
                <w:szCs w:val="24"/>
                <w14:textFill>
                  <w14:solidFill>
                    <w14:schemeClr w14:val="tx1"/>
                  </w14:solidFill>
                </w14:textFill>
              </w:rPr>
              <w:t>数据报送</w:t>
            </w:r>
          </w:p>
        </w:tc>
        <w:tc>
          <w:tcPr>
            <w:tcW w:w="2197" w:type="dxa"/>
            <w:shd w:val="clear" w:color="auto" w:fill="auto"/>
            <w:vAlign w:val="center"/>
          </w:tcPr>
          <w:p>
            <w:pPr>
              <w:widowControl w:val="0"/>
              <w:spacing w:before="187"/>
              <w:ind w:firstLine="0" w:firstLineChars="0"/>
              <w:rPr>
                <w:rFonts w:cs="Times New Roman"/>
                <w:szCs w:val="24"/>
              </w:rPr>
            </w:pPr>
            <w:r>
              <w:rPr>
                <w:rFonts w:cs="Times New Roman"/>
                <w:szCs w:val="24"/>
              </w:rPr>
              <w:t>通过FDEP报送</w:t>
            </w:r>
            <w:r>
              <w:rPr>
                <w:rFonts w:hint="eastAsia" w:cs="Times New Roman"/>
                <w:szCs w:val="24"/>
              </w:rPr>
              <w:t>合格投资者、营业部信息、</w:t>
            </w:r>
            <w:r>
              <w:rPr>
                <w:rFonts w:cs="Times New Roman"/>
                <w:szCs w:val="24"/>
              </w:rPr>
              <w:t>融资融券业务数据、违约数据</w:t>
            </w:r>
          </w:p>
        </w:tc>
        <w:tc>
          <w:tcPr>
            <w:tcW w:w="2337" w:type="dxa"/>
            <w:tcBorders>
              <w:tl2br w:val="single" w:color="auto" w:sz="4" w:space="0"/>
            </w:tcBorders>
            <w:shd w:val="clear" w:color="auto" w:fill="auto"/>
            <w:vAlign w:val="center"/>
          </w:tcPr>
          <w:p>
            <w:pPr>
              <w:widowControl w:val="0"/>
              <w:ind w:firstLine="0" w:firstLineChars="0"/>
              <w:rPr>
                <w:rFonts w:cs="Times New Roman"/>
                <w:szCs w:val="24"/>
              </w:rPr>
            </w:pPr>
          </w:p>
        </w:tc>
        <w:tc>
          <w:tcPr>
            <w:tcW w:w="2806" w:type="dxa"/>
            <w:vAlign w:val="center"/>
          </w:tcPr>
          <w:p>
            <w:pPr>
              <w:widowControl w:val="0"/>
              <w:spacing w:before="187" w:line="312" w:lineRule="auto"/>
              <w:ind w:firstLine="0" w:firstLineChars="0"/>
              <w:jc w:val="both"/>
              <w:rPr>
                <w:rFonts w:cs="Times New Roman"/>
                <w:szCs w:val="24"/>
              </w:rPr>
            </w:pPr>
            <w:r>
              <w:rPr>
                <w:rFonts w:cs="Times New Roman"/>
                <w:szCs w:val="24"/>
              </w:rPr>
              <w:t>全周期</w:t>
            </w:r>
          </w:p>
        </w:tc>
      </w:tr>
    </w:tbl>
    <w:p>
      <w:pPr>
        <w:ind w:firstLine="480"/>
      </w:pPr>
    </w:p>
    <w:p>
      <w:pPr>
        <w:ind w:firstLine="480"/>
      </w:pPr>
    </w:p>
    <w:p>
      <w:pPr>
        <w:pStyle w:val="73"/>
        <w:spacing w:before="163" w:after="163"/>
        <w:ind w:firstLine="560"/>
        <w:rPr>
          <w:rFonts w:ascii="楷体" w:hAnsi="楷体" w:eastAsia="楷体"/>
          <w:sz w:val="28"/>
          <w:szCs w:val="28"/>
        </w:rPr>
      </w:pPr>
      <w:bookmarkStart w:id="40" w:name="_Toc157623425"/>
      <w:r>
        <w:rPr>
          <w:rFonts w:hint="eastAsia" w:ascii="楷体" w:hAnsi="楷体" w:eastAsia="楷体"/>
          <w:sz w:val="28"/>
          <w:szCs w:val="28"/>
        </w:rPr>
        <w:t>（三</w:t>
      </w:r>
      <w:r>
        <w:rPr>
          <w:rFonts w:ascii="楷体" w:hAnsi="楷体" w:eastAsia="楷体"/>
          <w:sz w:val="28"/>
          <w:szCs w:val="28"/>
        </w:rPr>
        <w:t>）</w:t>
      </w:r>
      <w:r>
        <w:rPr>
          <w:rFonts w:hint="eastAsia" w:ascii="楷体" w:hAnsi="楷体" w:eastAsia="楷体"/>
          <w:sz w:val="28"/>
          <w:szCs w:val="28"/>
        </w:rPr>
        <w:t>测试要求和说明</w:t>
      </w:r>
      <w:bookmarkEnd w:id="39"/>
      <w:bookmarkEnd w:id="4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北交所股票启用</w:t>
      </w:r>
      <w:r>
        <w:rPr>
          <w:rFonts w:hint="eastAsia" w:cs="Times New Roman"/>
          <w:color w:val="000000" w:themeColor="text1"/>
          <w:sz w:val="30"/>
          <w:szCs w:val="30"/>
          <w:lang w:eastAsia="zh-CN"/>
          <w14:textFill>
            <w14:solidFill>
              <w14:schemeClr w14:val="tx1"/>
            </w14:solidFill>
          </w14:textFill>
        </w:rPr>
        <w:t>新证券</w:t>
      </w:r>
      <w:r>
        <w:rPr>
          <w:rFonts w:hint="eastAsia" w:cs="Times New Roman"/>
          <w:color w:val="000000" w:themeColor="text1"/>
          <w:sz w:val="30"/>
          <w:szCs w:val="30"/>
          <w14:textFill>
            <w14:solidFill>
              <w14:schemeClr w14:val="tx1"/>
            </w14:solidFill>
          </w14:textFill>
        </w:rPr>
        <w:t>代码号段，在公开发行期间和上市阶段均使用同一证券代码。各市场机构应验证上市前一日日终能够正确完成新三板数据切换为北交所数据的处理，包括但不限于持仓数据、曾持有数据、冻结数据等。</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北交所股票上市首日起产生新的交易行情、信息披露等内容，新代码和原新三板代码不做关联，各市场机构进行行情揭示时应做好新老划断处理。</w:t>
      </w:r>
    </w:p>
    <w:p>
      <w:pPr>
        <w:spacing w:line="240" w:lineRule="auto"/>
        <w:ind w:firstLine="600"/>
        <w:jc w:val="both"/>
        <w:rPr>
          <w:rFonts w:hint="eastAsia"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其它</w:t>
      </w:r>
      <w:r>
        <w:rPr>
          <w:rFonts w:cs="Times New Roman"/>
          <w:color w:val="000000" w:themeColor="text1"/>
          <w:sz w:val="30"/>
          <w:szCs w:val="30"/>
          <w14:textFill>
            <w14:solidFill>
              <w14:schemeClr w14:val="tx1"/>
            </w14:solidFill>
          </w14:textFill>
        </w:rPr>
        <w:t>测试要求和说明如下：</w:t>
      </w:r>
    </w:p>
    <w:p>
      <w:pPr>
        <w:ind w:firstLine="480"/>
      </w:pPr>
    </w:p>
    <w:tbl>
      <w:tblPr>
        <w:tblStyle w:val="38"/>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265"/>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7" w:type="dxa"/>
            <w:shd w:val="clear" w:color="auto" w:fill="D8D8D8" w:themeFill="background1" w:themeFillShade="D9"/>
            <w:vAlign w:val="center"/>
          </w:tcPr>
          <w:p>
            <w:pPr>
              <w:ind w:firstLine="0" w:firstLineChars="0"/>
              <w:jc w:val="center"/>
              <w:rPr>
                <w:rFonts w:ascii="楷体" w:hAnsi="楷体" w:eastAsia="楷体"/>
                <w:b/>
                <w:szCs w:val="24"/>
              </w:rPr>
            </w:pPr>
            <w:r>
              <w:rPr>
                <w:rFonts w:hint="eastAsia" w:ascii="楷体" w:hAnsi="楷体" w:eastAsia="楷体"/>
                <w:b/>
                <w:szCs w:val="24"/>
              </w:rPr>
              <w:t>测试证券</w:t>
            </w:r>
          </w:p>
        </w:tc>
        <w:tc>
          <w:tcPr>
            <w:tcW w:w="1265" w:type="dxa"/>
            <w:shd w:val="clear" w:color="auto" w:fill="D8D8D8" w:themeFill="background1" w:themeFillShade="D9"/>
            <w:vAlign w:val="center"/>
          </w:tcPr>
          <w:p>
            <w:pPr>
              <w:ind w:firstLine="0" w:firstLineChars="0"/>
              <w:jc w:val="center"/>
              <w:rPr>
                <w:rFonts w:ascii="楷体" w:hAnsi="楷体" w:eastAsia="楷体"/>
                <w:b/>
                <w:szCs w:val="24"/>
              </w:rPr>
            </w:pPr>
            <w:r>
              <w:rPr>
                <w:rFonts w:hint="eastAsia" w:ascii="楷体" w:hAnsi="楷体" w:eastAsia="楷体"/>
                <w:b/>
                <w:szCs w:val="24"/>
              </w:rPr>
              <w:t>测试场景</w:t>
            </w:r>
          </w:p>
        </w:tc>
        <w:tc>
          <w:tcPr>
            <w:tcW w:w="6289" w:type="dxa"/>
            <w:shd w:val="clear" w:color="auto" w:fill="D8D8D8" w:themeFill="background1" w:themeFillShade="D9"/>
            <w:vAlign w:val="center"/>
          </w:tcPr>
          <w:p>
            <w:pPr>
              <w:ind w:firstLine="0" w:firstLineChars="0"/>
              <w:jc w:val="center"/>
              <w:rPr>
                <w:rFonts w:ascii="楷体" w:hAnsi="楷体" w:eastAsia="楷体"/>
                <w:b/>
                <w:szCs w:val="24"/>
              </w:rPr>
            </w:pPr>
            <w:r>
              <w:rPr>
                <w:rFonts w:hint="eastAsia" w:ascii="楷体" w:hAnsi="楷体" w:eastAsia="楷体"/>
                <w:b/>
                <w:szCs w:val="24"/>
              </w:rPr>
              <w:t>测试要求和说明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17" w:type="dxa"/>
            <w:vMerge w:val="restart"/>
            <w:shd w:val="clear" w:color="auto" w:fill="auto"/>
            <w:vAlign w:val="center"/>
          </w:tcPr>
          <w:p>
            <w:pPr>
              <w:ind w:firstLine="0" w:firstLineChars="0"/>
              <w:rPr>
                <w:rFonts w:cs="Times New Roman"/>
                <w:szCs w:val="24"/>
              </w:rPr>
            </w:pPr>
            <w:r>
              <w:rPr>
                <w:rFonts w:hint="eastAsia" w:cs="Times New Roman"/>
                <w:szCs w:val="24"/>
              </w:rPr>
              <w:t>测试券发行途中</w:t>
            </w:r>
          </w:p>
          <w:p>
            <w:pPr>
              <w:ind w:firstLine="0" w:firstLineChars="0"/>
              <w:jc w:val="both"/>
              <w:rPr>
                <w:rFonts w:cs="Times New Roman"/>
                <w:color w:val="000000" w:themeColor="text1"/>
                <w:szCs w:val="24"/>
                <w14:textFill>
                  <w14:solidFill>
                    <w14:schemeClr w14:val="tx1"/>
                  </w14:solidFill>
                </w14:textFill>
              </w:rPr>
            </w:pPr>
          </w:p>
        </w:tc>
        <w:tc>
          <w:tcPr>
            <w:tcW w:w="1265" w:type="dxa"/>
            <w:shd w:val="clear" w:color="auto" w:fill="auto"/>
            <w:vAlign w:val="center"/>
          </w:tcPr>
          <w:p>
            <w:pPr>
              <w:ind w:firstLine="0" w:firstLineChars="0"/>
              <w:rPr>
                <w:rFonts w:cs="Times New Roman"/>
                <w:szCs w:val="24"/>
              </w:rPr>
            </w:pPr>
            <w:r>
              <w:rPr>
                <w:rFonts w:hint="eastAsia" w:cs="Times New Roman"/>
                <w:szCs w:val="24"/>
              </w:rPr>
              <w:t>询价、申购申报</w:t>
            </w:r>
          </w:p>
        </w:tc>
        <w:tc>
          <w:tcPr>
            <w:tcW w:w="6289" w:type="dxa"/>
            <w:shd w:val="clear" w:color="auto" w:fill="auto"/>
            <w:vAlign w:val="center"/>
          </w:tcPr>
          <w:p>
            <w:pPr>
              <w:ind w:right="420" w:firstLine="0" w:firstLineChars="0"/>
              <w:jc w:val="both"/>
              <w:rPr>
                <w:rFonts w:eastAsia="楷体" w:cs="Times New Roman"/>
                <w:b/>
                <w:bCs/>
                <w:color w:val="000000" w:themeColor="text1"/>
                <w:szCs w:val="24"/>
                <w14:textFill>
                  <w14:solidFill>
                    <w14:schemeClr w14:val="tx1"/>
                  </w14:solidFill>
                </w14:textFill>
              </w:rPr>
            </w:pPr>
            <w:r>
              <w:rPr>
                <w:rFonts w:hint="eastAsia" w:cs="Times New Roman"/>
                <w:szCs w:val="24"/>
              </w:rPr>
              <w:t>能够正常进行询价申报、申购申报，正常冻结资金，支持报单查询，申报上下限参照北交所下发的信息库。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7" w:type="dxa"/>
            <w:vMerge w:val="continue"/>
            <w:shd w:val="clear" w:color="auto" w:fill="auto"/>
            <w:vAlign w:val="center"/>
          </w:tcPr>
          <w:p>
            <w:pPr>
              <w:ind w:firstLine="0" w:firstLineChars="0"/>
              <w:rPr>
                <w:rFonts w:cs="Times New Roman"/>
                <w:szCs w:val="24"/>
              </w:rPr>
            </w:pPr>
          </w:p>
        </w:tc>
        <w:tc>
          <w:tcPr>
            <w:tcW w:w="1265" w:type="dxa"/>
            <w:shd w:val="clear" w:color="auto" w:fill="auto"/>
            <w:vAlign w:val="center"/>
          </w:tcPr>
          <w:p>
            <w:pPr>
              <w:ind w:firstLine="0" w:firstLineChars="0"/>
              <w:rPr>
                <w:rFonts w:cs="Times New Roman"/>
                <w:szCs w:val="24"/>
              </w:rPr>
            </w:pPr>
            <w:r>
              <w:rPr>
                <w:rFonts w:hint="eastAsia" w:cs="Times New Roman"/>
                <w:szCs w:val="24"/>
              </w:rPr>
              <w:t>配售</w:t>
            </w:r>
          </w:p>
        </w:tc>
        <w:tc>
          <w:tcPr>
            <w:tcW w:w="6289" w:type="dxa"/>
            <w:shd w:val="clear" w:color="auto" w:fill="auto"/>
            <w:vAlign w:val="center"/>
          </w:tcPr>
          <w:p>
            <w:pPr>
              <w:ind w:firstLine="0" w:firstLineChars="0"/>
              <w:rPr>
                <w:rFonts w:cs="Times New Roman"/>
                <w:szCs w:val="24"/>
              </w:rPr>
            </w:pPr>
            <w:r>
              <w:rPr>
                <w:rFonts w:hint="eastAsia" w:cs="Times New Roman"/>
                <w:szCs w:val="24"/>
              </w:rPr>
              <w:t>可根据结算返回的拉单数据、配售数据完成资金的解冻、扣款等动作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7" w:type="dxa"/>
            <w:vMerge w:val="continue"/>
            <w:vAlign w:val="center"/>
          </w:tcPr>
          <w:p>
            <w:pPr>
              <w:ind w:firstLine="0" w:firstLineChars="0"/>
              <w:rPr>
                <w:rFonts w:cs="Times New Roman"/>
                <w:color w:val="000000" w:themeColor="text1"/>
                <w:szCs w:val="24"/>
                <w14:textFill>
                  <w14:solidFill>
                    <w14:schemeClr w14:val="tx1"/>
                  </w14:solidFill>
                </w14:textFill>
              </w:rPr>
            </w:pPr>
          </w:p>
        </w:tc>
        <w:tc>
          <w:tcPr>
            <w:tcW w:w="1265" w:type="dxa"/>
            <w:vAlign w:val="center"/>
          </w:tcPr>
          <w:p>
            <w:pPr>
              <w:ind w:firstLine="0" w:firstLineChars="0"/>
              <w:jc w:val="both"/>
              <w:rPr>
                <w:rFonts w:ascii="仿宋" w:hAnsi="仿宋" w:cs="Times New Roman"/>
                <w:color w:val="000000" w:themeColor="text1"/>
                <w:szCs w:val="24"/>
                <w14:textFill>
                  <w14:solidFill>
                    <w14:schemeClr w14:val="tx1"/>
                  </w14:solidFill>
                </w14:textFill>
              </w:rPr>
            </w:pPr>
            <w:r>
              <w:rPr>
                <w:rFonts w:hint="eastAsia" w:ascii="仿宋" w:hAnsi="仿宋" w:cs="Times New Roman"/>
                <w:color w:val="000000" w:themeColor="text1"/>
                <w:szCs w:val="24"/>
                <w14:textFill>
                  <w14:solidFill>
                    <w14:schemeClr w14:val="tx1"/>
                  </w14:solidFill>
                </w14:textFill>
              </w:rPr>
              <w:t>行情发布</w:t>
            </w:r>
          </w:p>
        </w:tc>
        <w:tc>
          <w:tcPr>
            <w:tcW w:w="6289" w:type="dxa"/>
            <w:vAlign w:val="center"/>
          </w:tcPr>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能够正确接收并处理证券信息库，正常揭示三类发行信息。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317" w:type="dxa"/>
            <w:vMerge w:val="continue"/>
            <w:vAlign w:val="center"/>
          </w:tcPr>
          <w:p>
            <w:pPr>
              <w:ind w:firstLine="0" w:firstLineChars="0"/>
              <w:jc w:val="both"/>
              <w:rPr>
                <w:rFonts w:cs="Times New Roman"/>
                <w:color w:val="000000" w:themeColor="text1"/>
                <w:szCs w:val="24"/>
                <w14:textFill>
                  <w14:solidFill>
                    <w14:schemeClr w14:val="tx1"/>
                  </w14:solidFill>
                </w14:textFill>
              </w:rPr>
            </w:pPr>
          </w:p>
        </w:tc>
        <w:tc>
          <w:tcPr>
            <w:tcW w:w="1265" w:type="dxa"/>
            <w:vAlign w:val="center"/>
          </w:tcPr>
          <w:p>
            <w:pPr>
              <w:ind w:firstLine="0" w:firstLineChars="0"/>
              <w:rPr>
                <w:rFonts w:ascii="仿宋" w:hAnsi="仿宋" w:cs="Times New Roman"/>
                <w:color w:val="000000" w:themeColor="text1"/>
                <w:szCs w:val="24"/>
                <w14:textFill>
                  <w14:solidFill>
                    <w14:schemeClr w14:val="tx1"/>
                  </w14:solidFill>
                </w14:textFill>
              </w:rPr>
            </w:pPr>
            <w:r>
              <w:rPr>
                <w:rFonts w:ascii="仿宋" w:hAnsi="仿宋" w:cs="Times New Roman"/>
                <w:color w:val="000000" w:themeColor="text1"/>
                <w:szCs w:val="24"/>
                <w14:textFill>
                  <w14:solidFill>
                    <w14:schemeClr w14:val="tx1"/>
                  </w14:solidFill>
                </w14:textFill>
              </w:rPr>
              <w:t>数据接收</w:t>
            </w:r>
          </w:p>
        </w:tc>
        <w:tc>
          <w:tcPr>
            <w:tcW w:w="6289" w:type="dxa"/>
            <w:vAlign w:val="center"/>
          </w:tcPr>
          <w:p>
            <w:pPr>
              <w:ind w:firstLine="0" w:firstLineChars="0"/>
              <w:jc w:val="both"/>
              <w:rPr>
                <w:rFonts w:cs="Times New Roman"/>
                <w:szCs w:val="24"/>
              </w:rPr>
            </w:pPr>
            <w:r>
              <w:rPr>
                <w:rFonts w:hint="eastAsia" w:ascii="仿宋" w:hAnsi="仿宋" w:cs="Times New Roman"/>
                <w:color w:val="000000" w:themeColor="text1"/>
                <w:szCs w:val="24"/>
                <w14:textFill>
                  <w14:solidFill>
                    <w14:schemeClr w14:val="tx1"/>
                  </w14:solidFill>
                </w14:textFill>
              </w:rPr>
              <w:t>证券公司</w:t>
            </w:r>
            <w:r>
              <w:rPr>
                <w:rFonts w:hint="eastAsia" w:cs="Times New Roman"/>
                <w:szCs w:val="24"/>
              </w:rPr>
              <w:t>能正确接收和处理北交所通过FDEP下发的NQQR??????.DBF文件，根据文件内容控制网下投资者申购权限和申购数量。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317" w:type="dxa"/>
            <w:vMerge w:val="restart"/>
            <w:vAlign w:val="center"/>
          </w:tcPr>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测试券上市后</w:t>
            </w:r>
          </w:p>
        </w:tc>
        <w:tc>
          <w:tcPr>
            <w:tcW w:w="1265" w:type="dxa"/>
            <w:vAlign w:val="center"/>
          </w:tcPr>
          <w:p>
            <w:pPr>
              <w:ind w:firstLine="0" w:firstLineChars="0"/>
              <w:rPr>
                <w:rFonts w:ascii="仿宋" w:hAnsi="仿宋" w:cs="Times New Roman"/>
                <w:color w:val="000000" w:themeColor="text1"/>
                <w:szCs w:val="24"/>
                <w14:textFill>
                  <w14:solidFill>
                    <w14:schemeClr w14:val="tx1"/>
                  </w14:solidFill>
                </w14:textFill>
              </w:rPr>
            </w:pPr>
            <w:r>
              <w:rPr>
                <w:rFonts w:hint="eastAsia" w:ascii="仿宋" w:hAnsi="仿宋" w:cs="Times New Roman"/>
                <w:color w:val="000000" w:themeColor="text1"/>
                <w:szCs w:val="24"/>
                <w14:textFill>
                  <w14:solidFill>
                    <w14:schemeClr w14:val="tx1"/>
                  </w14:solidFill>
                </w14:textFill>
              </w:rPr>
              <w:t>日间交易</w:t>
            </w:r>
          </w:p>
        </w:tc>
        <w:tc>
          <w:tcPr>
            <w:tcW w:w="6289" w:type="dxa"/>
            <w:vAlign w:val="center"/>
          </w:tcPr>
          <w:p>
            <w:pPr>
              <w:ind w:firstLine="0" w:firstLineChars="0"/>
              <w:jc w:val="both"/>
              <w:rPr>
                <w:rFonts w:cs="Times New Roman"/>
                <w:szCs w:val="24"/>
              </w:rPr>
            </w:pPr>
            <w:r>
              <w:rPr>
                <w:rFonts w:hint="eastAsia" w:ascii="仿宋" w:hAnsi="仿宋" w:cs="Times New Roman"/>
                <w:color w:val="000000" w:themeColor="text1"/>
                <w:szCs w:val="24"/>
                <w14:textFill>
                  <w14:solidFill>
                    <w14:schemeClr w14:val="tx1"/>
                  </w14:solidFill>
                </w14:textFill>
              </w:rPr>
              <w:t>能够正常进行市价</w:t>
            </w:r>
            <w:r>
              <w:rPr>
                <w:rFonts w:ascii="仿宋" w:hAnsi="仿宋" w:cs="Times New Roman"/>
                <w:color w:val="000000" w:themeColor="text1"/>
                <w:szCs w:val="24"/>
                <w14:textFill>
                  <w14:solidFill>
                    <w14:schemeClr w14:val="tx1"/>
                  </w14:solidFill>
                </w14:textFill>
              </w:rPr>
              <w:t>、限价委托申报</w:t>
            </w:r>
            <w:r>
              <w:rPr>
                <w:rFonts w:hint="eastAsia" w:ascii="仿宋" w:hAnsi="仿宋" w:cs="Times New Roman"/>
                <w:color w:val="000000" w:themeColor="text1"/>
                <w:szCs w:val="24"/>
                <w14:textFill>
                  <w14:solidFill>
                    <w14:schemeClr w14:val="tx1"/>
                  </w14:solidFill>
                </w14:textFill>
              </w:rPr>
              <w:t>、大宗交易、融资融券等日间交易申报及各类非交易申报，</w:t>
            </w:r>
            <w:r>
              <w:rPr>
                <w:rFonts w:hint="eastAsia" w:cs="Times New Roman"/>
                <w:szCs w:val="24"/>
              </w:rPr>
              <w:t>能够正常接收北交所返回的回报和成交结果，正常冻结资金和清算交收。</w:t>
            </w:r>
            <w:r>
              <w:rPr>
                <w:rFonts w:hint="eastAsia" w:ascii="仿宋" w:hAnsi="仿宋" w:cs="Times New Roman"/>
                <w:color w:val="000000" w:themeColor="text1"/>
                <w:szCs w:val="24"/>
                <w14:textFill>
                  <w14:solidFill>
                    <w14:schemeClr w14:val="tx1"/>
                  </w14:solidFill>
                </w14:textFill>
              </w:rPr>
              <w:t>北交所做市商能正常履行报价义务。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17" w:type="dxa"/>
            <w:vMerge w:val="continue"/>
            <w:vAlign w:val="center"/>
          </w:tcPr>
          <w:p>
            <w:pPr>
              <w:ind w:firstLine="0" w:firstLineChars="0"/>
              <w:jc w:val="both"/>
              <w:rPr>
                <w:rFonts w:cs="Times New Roman"/>
                <w:color w:val="000000" w:themeColor="text1"/>
                <w:szCs w:val="24"/>
                <w14:textFill>
                  <w14:solidFill>
                    <w14:schemeClr w14:val="tx1"/>
                  </w14:solidFill>
                </w14:textFill>
              </w:rPr>
            </w:pPr>
          </w:p>
        </w:tc>
        <w:tc>
          <w:tcPr>
            <w:tcW w:w="1265" w:type="dxa"/>
            <w:vAlign w:val="center"/>
          </w:tcPr>
          <w:p>
            <w:pPr>
              <w:ind w:firstLine="0" w:firstLineChars="0"/>
              <w:rPr>
                <w:rFonts w:ascii="仿宋" w:hAnsi="仿宋" w:cs="Times New Roman"/>
                <w:color w:val="000000" w:themeColor="text1"/>
                <w:szCs w:val="24"/>
                <w14:textFill>
                  <w14:solidFill>
                    <w14:schemeClr w14:val="tx1"/>
                  </w14:solidFill>
                </w14:textFill>
              </w:rPr>
            </w:pPr>
            <w:r>
              <w:rPr>
                <w:rFonts w:hint="eastAsia" w:ascii="仿宋" w:hAnsi="仿宋" w:cs="Times New Roman"/>
                <w:color w:val="000000" w:themeColor="text1"/>
                <w:szCs w:val="24"/>
                <w14:textFill>
                  <w14:solidFill>
                    <w14:schemeClr w14:val="tx1"/>
                  </w14:solidFill>
                </w14:textFill>
              </w:rPr>
              <w:t>行情发布</w:t>
            </w:r>
          </w:p>
        </w:tc>
        <w:tc>
          <w:tcPr>
            <w:tcW w:w="6289" w:type="dxa"/>
            <w:vAlign w:val="center"/>
          </w:tcPr>
          <w:p>
            <w:pPr>
              <w:ind w:firstLine="0" w:firstLineChars="0"/>
              <w:jc w:val="both"/>
              <w:rPr>
                <w:rFonts w:cs="Times New Roman"/>
                <w:szCs w:val="24"/>
              </w:rPr>
            </w:pPr>
            <w:r>
              <w:rPr>
                <w:rFonts w:hint="eastAsia" w:ascii="仿宋" w:hAnsi="仿宋" w:cs="Times New Roman"/>
                <w:color w:val="000000" w:themeColor="text1"/>
                <w:szCs w:val="24"/>
                <w14:textFill>
                  <w14:solidFill>
                    <w14:schemeClr w14:val="tx1"/>
                  </w14:solidFill>
                </w14:textFill>
              </w:rPr>
              <w:t>证券公司、信息商等能正确接收和处理各类行情文件。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317" w:type="dxa"/>
            <w:vMerge w:val="continue"/>
            <w:vAlign w:val="center"/>
          </w:tcPr>
          <w:p>
            <w:pPr>
              <w:ind w:firstLine="0" w:firstLineChars="0"/>
              <w:jc w:val="both"/>
              <w:rPr>
                <w:rFonts w:cs="Times New Roman"/>
                <w:color w:val="000000" w:themeColor="text1"/>
                <w:szCs w:val="24"/>
                <w14:textFill>
                  <w14:solidFill>
                    <w14:schemeClr w14:val="tx1"/>
                  </w14:solidFill>
                </w14:textFill>
              </w:rPr>
            </w:pPr>
          </w:p>
        </w:tc>
        <w:tc>
          <w:tcPr>
            <w:tcW w:w="1265" w:type="dxa"/>
            <w:vAlign w:val="center"/>
          </w:tcPr>
          <w:p>
            <w:pPr>
              <w:ind w:firstLine="0" w:firstLineChars="0"/>
              <w:rPr>
                <w:rFonts w:ascii="仿宋" w:hAnsi="仿宋" w:cs="Times New Roman"/>
                <w:color w:val="000000" w:themeColor="text1"/>
                <w:szCs w:val="24"/>
                <w14:textFill>
                  <w14:solidFill>
                    <w14:schemeClr w14:val="tx1"/>
                  </w14:solidFill>
                </w14:textFill>
              </w:rPr>
            </w:pPr>
            <w:r>
              <w:rPr>
                <w:rFonts w:hint="eastAsia" w:ascii="仿宋" w:hAnsi="仿宋" w:cs="Times New Roman"/>
                <w:color w:val="000000" w:themeColor="text1"/>
                <w:szCs w:val="24"/>
                <w14:textFill>
                  <w14:solidFill>
                    <w14:schemeClr w14:val="tx1"/>
                  </w14:solidFill>
                </w14:textFill>
              </w:rPr>
              <w:t>数据接收</w:t>
            </w:r>
          </w:p>
        </w:tc>
        <w:tc>
          <w:tcPr>
            <w:tcW w:w="6289" w:type="dxa"/>
            <w:vAlign w:val="center"/>
          </w:tcPr>
          <w:p>
            <w:pPr>
              <w:ind w:firstLine="0" w:firstLineChars="0"/>
              <w:jc w:val="both"/>
              <w:rPr>
                <w:rFonts w:cs="Times New Roman"/>
                <w:szCs w:val="24"/>
              </w:rPr>
            </w:pPr>
            <w:r>
              <w:rPr>
                <w:rFonts w:hint="eastAsia" w:ascii="仿宋" w:hAnsi="仿宋" w:cs="Times New Roman"/>
                <w:color w:val="000000" w:themeColor="text1"/>
                <w:szCs w:val="24"/>
                <w14:textFill>
                  <w14:solidFill>
                    <w14:schemeClr w14:val="tx1"/>
                  </w14:solidFill>
                </w14:textFill>
              </w:rPr>
              <w:t>证券公司</w:t>
            </w:r>
            <w:r>
              <w:rPr>
                <w:rFonts w:hint="eastAsia" w:cs="Times New Roman"/>
                <w:szCs w:val="24"/>
              </w:rPr>
              <w:t>能正确接收和处理北交所通过FDEP下发的适当性、董监高、大股东、信用违约汇总等各类文件，。</w:t>
            </w:r>
          </w:p>
        </w:tc>
      </w:tr>
    </w:tbl>
    <w:p>
      <w:pPr>
        <w:ind w:firstLine="0" w:firstLineChars="0"/>
        <w:rPr>
          <w:rFonts w:hint="eastAsia"/>
        </w:rPr>
      </w:pPr>
    </w:p>
    <w:p>
      <w:pPr>
        <w:pStyle w:val="73"/>
        <w:spacing w:before="163" w:after="163"/>
        <w:ind w:firstLine="600"/>
      </w:pPr>
      <w:bookmarkStart w:id="41" w:name="_Toc652945123"/>
      <w:bookmarkStart w:id="42" w:name="_Toc157623426"/>
      <w:r>
        <w:rPr>
          <w:rFonts w:hint="eastAsia"/>
        </w:rPr>
        <w:t>七、</w:t>
      </w:r>
      <w:r>
        <w:t>仿真测试数据准备</w:t>
      </w:r>
      <w:bookmarkEnd w:id="41"/>
      <w:bookmarkEnd w:id="42"/>
    </w:p>
    <w:p>
      <w:pPr>
        <w:pStyle w:val="73"/>
        <w:spacing w:before="163" w:after="163"/>
        <w:ind w:firstLine="560"/>
        <w:rPr>
          <w:rFonts w:ascii="楷体" w:hAnsi="楷体" w:eastAsia="楷体"/>
          <w:sz w:val="28"/>
          <w:szCs w:val="28"/>
        </w:rPr>
      </w:pPr>
      <w:bookmarkStart w:id="43" w:name="_Toc12033606"/>
      <w:bookmarkStart w:id="44" w:name="_Toc502217616"/>
      <w:bookmarkStart w:id="45" w:name="_Toc157623427"/>
      <w:bookmarkStart w:id="46" w:name="_Toc502216522"/>
      <w:r>
        <w:rPr>
          <w:rFonts w:hint="eastAsia" w:ascii="楷体" w:hAnsi="楷体" w:eastAsia="楷体"/>
          <w:sz w:val="28"/>
          <w:szCs w:val="28"/>
        </w:rPr>
        <w:t>（一）</w:t>
      </w:r>
      <w:r>
        <w:rPr>
          <w:rFonts w:ascii="楷体" w:hAnsi="楷体" w:eastAsia="楷体"/>
          <w:sz w:val="28"/>
          <w:szCs w:val="28"/>
        </w:rPr>
        <w:t>证券行情信息和证券信息</w:t>
      </w:r>
      <w:bookmarkEnd w:id="43"/>
      <w:bookmarkEnd w:id="44"/>
      <w:bookmarkEnd w:id="45"/>
      <w:bookmarkEnd w:id="46"/>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证券初始行情信息和初始信息以202</w:t>
      </w: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8</w:t>
      </w:r>
      <w:r>
        <w:rPr>
          <w:rFonts w:cs="Times New Roman"/>
          <w:color w:val="000000" w:themeColor="text1"/>
          <w:sz w:val="30"/>
          <w:szCs w:val="30"/>
          <w14:textFill>
            <w14:solidFill>
              <w14:schemeClr w14:val="tx1"/>
            </w14:solidFill>
          </w14:textFill>
        </w:rPr>
        <w:t>日（周</w:t>
      </w:r>
      <w:r>
        <w:rPr>
          <w:rFonts w:hint="eastAsia" w:cs="Times New Roman"/>
          <w:color w:val="000000" w:themeColor="text1"/>
          <w:sz w:val="30"/>
          <w:szCs w:val="30"/>
          <w14:textFill>
            <w14:solidFill>
              <w14:schemeClr w14:val="tx1"/>
            </w14:solidFill>
          </w14:textFill>
        </w:rPr>
        <w:t>四</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（第一轮）和2024年3月1日（周五）（第二轮）</w:t>
      </w:r>
      <w:r>
        <w:rPr>
          <w:rFonts w:cs="Times New Roman"/>
          <w:color w:val="000000" w:themeColor="text1"/>
          <w:sz w:val="30"/>
          <w:szCs w:val="30"/>
          <w14:textFill>
            <w14:solidFill>
              <w14:schemeClr w14:val="tx1"/>
            </w14:solidFill>
          </w14:textFill>
        </w:rPr>
        <w:t>北交所仿真测试环境收盘行情（NQHQ.DBF）和证券信息（NQXX.DBF）为准。</w:t>
      </w:r>
    </w:p>
    <w:p>
      <w:pPr>
        <w:pStyle w:val="73"/>
        <w:spacing w:before="163" w:after="163"/>
        <w:ind w:firstLine="560"/>
        <w:rPr>
          <w:rFonts w:ascii="楷体" w:hAnsi="楷体" w:eastAsia="楷体"/>
          <w:sz w:val="28"/>
          <w:szCs w:val="28"/>
        </w:rPr>
      </w:pPr>
      <w:bookmarkStart w:id="47" w:name="_Toc502216523"/>
      <w:bookmarkStart w:id="48" w:name="_Toc439689166"/>
      <w:bookmarkStart w:id="49" w:name="_Toc502217617"/>
      <w:bookmarkStart w:id="50" w:name="_Toc157623428"/>
      <w:r>
        <w:rPr>
          <w:rFonts w:hint="eastAsia" w:ascii="楷体" w:hAnsi="楷体" w:eastAsia="楷体"/>
          <w:sz w:val="28"/>
          <w:szCs w:val="28"/>
        </w:rPr>
        <w:t>（二）</w:t>
      </w:r>
      <w:r>
        <w:rPr>
          <w:rFonts w:ascii="楷体" w:hAnsi="楷体" w:eastAsia="楷体"/>
          <w:sz w:val="28"/>
          <w:szCs w:val="28"/>
        </w:rPr>
        <w:t>证券账户、交易单元、托管单元及持仓</w:t>
      </w:r>
      <w:bookmarkEnd w:id="47"/>
      <w:bookmarkEnd w:id="48"/>
      <w:bookmarkEnd w:id="49"/>
      <w:bookmarkEnd w:id="50"/>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证券账户及持仓的初始信息以202</w:t>
      </w: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8</w:t>
      </w:r>
      <w:r>
        <w:rPr>
          <w:rFonts w:cs="Times New Roman"/>
          <w:color w:val="000000" w:themeColor="text1"/>
          <w:sz w:val="30"/>
          <w:szCs w:val="30"/>
          <w14:textFill>
            <w14:solidFill>
              <w14:schemeClr w14:val="tx1"/>
            </w14:solidFill>
          </w14:textFill>
        </w:rPr>
        <w:t>日（周</w:t>
      </w:r>
      <w:r>
        <w:rPr>
          <w:rFonts w:hint="eastAsia" w:cs="Times New Roman"/>
          <w:color w:val="000000" w:themeColor="text1"/>
          <w:sz w:val="30"/>
          <w:szCs w:val="30"/>
          <w14:textFill>
            <w14:solidFill>
              <w14:schemeClr w14:val="tx1"/>
            </w14:solidFill>
          </w14:textFill>
        </w:rPr>
        <w:t>四）（第一轮）和2024年3月1日（周五）（第二轮）</w:t>
      </w:r>
      <w:r>
        <w:rPr>
          <w:rFonts w:cs="Times New Roman"/>
          <w:color w:val="000000" w:themeColor="text1"/>
          <w:sz w:val="30"/>
          <w:szCs w:val="30"/>
          <w14:textFill>
            <w14:solidFill>
              <w14:schemeClr w14:val="tx1"/>
            </w14:solidFill>
          </w14:textFill>
        </w:rPr>
        <w:t>中国结算仿真测试环境日终数据为准</w:t>
      </w:r>
      <w:r>
        <w:rPr>
          <w:rFonts w:hint="eastAsia" w:cs="Times New Roman"/>
          <w:color w:val="000000" w:themeColor="text1"/>
          <w:sz w:val="30"/>
          <w:szCs w:val="30"/>
          <w14:textFill>
            <w14:solidFill>
              <w14:schemeClr w14:val="tx1"/>
            </w14:solidFill>
          </w14:textFill>
        </w:rPr>
        <w:t>。</w:t>
      </w:r>
    </w:p>
    <w:p>
      <w:pPr>
        <w:pStyle w:val="73"/>
        <w:spacing w:before="163" w:after="163"/>
        <w:ind w:firstLine="560"/>
        <w:rPr>
          <w:rFonts w:ascii="楷体" w:hAnsi="楷体" w:eastAsia="楷体"/>
          <w:sz w:val="28"/>
          <w:szCs w:val="28"/>
        </w:rPr>
      </w:pPr>
      <w:bookmarkStart w:id="51" w:name="_Toc960123003"/>
      <w:bookmarkStart w:id="52" w:name="_Toc502217622"/>
      <w:bookmarkStart w:id="53" w:name="_Toc502216528"/>
      <w:bookmarkStart w:id="54" w:name="_Toc157623429"/>
      <w:r>
        <w:rPr>
          <w:rFonts w:hint="eastAsia" w:ascii="楷体" w:hAnsi="楷体" w:eastAsia="楷体"/>
          <w:sz w:val="28"/>
          <w:szCs w:val="28"/>
        </w:rPr>
        <w:t>（三）</w:t>
      </w:r>
      <w:r>
        <w:rPr>
          <w:rFonts w:ascii="楷体" w:hAnsi="楷体" w:eastAsia="楷体"/>
          <w:sz w:val="28"/>
          <w:szCs w:val="28"/>
        </w:rPr>
        <w:t>交易网关、行情网关和结算网关</w:t>
      </w:r>
      <w:bookmarkEnd w:id="51"/>
      <w:bookmarkEnd w:id="52"/>
      <w:bookmarkEnd w:id="53"/>
      <w:bookmarkEnd w:id="54"/>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交易网关、行情网关、结算网关的初始用户与密码以202</w:t>
      </w: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8</w:t>
      </w:r>
      <w:r>
        <w:rPr>
          <w:rFonts w:cs="Times New Roman"/>
          <w:color w:val="000000" w:themeColor="text1"/>
          <w:sz w:val="30"/>
          <w:szCs w:val="30"/>
          <w14:textFill>
            <w14:solidFill>
              <w14:schemeClr w14:val="tx1"/>
            </w14:solidFill>
          </w14:textFill>
        </w:rPr>
        <w:t>日（周</w:t>
      </w:r>
      <w:r>
        <w:rPr>
          <w:rFonts w:hint="eastAsia" w:cs="Times New Roman"/>
          <w:color w:val="000000" w:themeColor="text1"/>
          <w:sz w:val="30"/>
          <w:szCs w:val="30"/>
          <w14:textFill>
            <w14:solidFill>
              <w14:schemeClr w14:val="tx1"/>
            </w14:solidFill>
          </w14:textFill>
        </w:rPr>
        <w:t>四</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（第一轮）和2024年3月1日（周五）（第二轮）</w:t>
      </w:r>
      <w:r>
        <w:rPr>
          <w:rFonts w:cs="Times New Roman"/>
          <w:color w:val="000000" w:themeColor="text1"/>
          <w:sz w:val="30"/>
          <w:szCs w:val="30"/>
          <w14:textFill>
            <w14:solidFill>
              <w14:schemeClr w14:val="tx1"/>
            </w14:solidFill>
          </w14:textFill>
        </w:rPr>
        <w:t>深证通仿真测试环境闭市时数据为准。</w:t>
      </w:r>
    </w:p>
    <w:p>
      <w:pPr>
        <w:pStyle w:val="73"/>
        <w:spacing w:before="163" w:after="163"/>
        <w:ind w:firstLine="560"/>
        <w:rPr>
          <w:rFonts w:eastAsia="楷体" w:cs="Times New Roman"/>
          <w:sz w:val="28"/>
          <w:szCs w:val="28"/>
        </w:rPr>
      </w:pPr>
      <w:bookmarkStart w:id="55" w:name="_Toc1913828385"/>
      <w:bookmarkStart w:id="56" w:name="_Toc157623430"/>
      <w:bookmarkStart w:id="57" w:name="_Toc422310615"/>
      <w:r>
        <w:rPr>
          <w:rFonts w:eastAsia="楷体" w:cs="Times New Roman"/>
          <w:sz w:val="28"/>
          <w:szCs w:val="28"/>
        </w:rPr>
        <w:t>（四）FDEP小站</w:t>
      </w:r>
      <w:bookmarkEnd w:id="55"/>
      <w:bookmarkEnd w:id="56"/>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证券公司用于接收北交所下发文件的FDEP小站号</w:t>
      </w:r>
      <w:r>
        <w:rPr>
          <w:rFonts w:cs="Times New Roman"/>
          <w:color w:val="000000" w:themeColor="text1"/>
          <w:sz w:val="30"/>
          <w:szCs w:val="30"/>
          <w14:textFill>
            <w14:solidFill>
              <w14:schemeClr w14:val="tx1"/>
            </w14:solidFill>
          </w14:textFill>
        </w:rPr>
        <w:t>以202</w:t>
      </w: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8</w:t>
      </w:r>
      <w:r>
        <w:rPr>
          <w:rFonts w:cs="Times New Roman"/>
          <w:color w:val="000000" w:themeColor="text1"/>
          <w:sz w:val="30"/>
          <w:szCs w:val="30"/>
          <w14:textFill>
            <w14:solidFill>
              <w14:schemeClr w14:val="tx1"/>
            </w14:solidFill>
          </w14:textFill>
        </w:rPr>
        <w:t>日（周</w:t>
      </w:r>
      <w:r>
        <w:rPr>
          <w:rFonts w:hint="eastAsia" w:cs="Times New Roman"/>
          <w:color w:val="000000" w:themeColor="text1"/>
          <w:sz w:val="30"/>
          <w:szCs w:val="30"/>
          <w14:textFill>
            <w14:solidFill>
              <w14:schemeClr w14:val="tx1"/>
            </w14:solidFill>
          </w14:textFill>
        </w:rPr>
        <w:t>四</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（第一轮）和2024年3月1日（周五）（第二轮）深证通</w:t>
      </w:r>
      <w:r>
        <w:rPr>
          <w:rFonts w:cs="Times New Roman"/>
          <w:color w:val="000000" w:themeColor="text1"/>
          <w:sz w:val="30"/>
          <w:szCs w:val="30"/>
          <w14:textFill>
            <w14:solidFill>
              <w14:schemeClr w14:val="tx1"/>
            </w14:solidFill>
          </w14:textFill>
        </w:rPr>
        <w:t>仿真测试环境闭市时数据为准</w:t>
      </w:r>
      <w:r>
        <w:rPr>
          <w:rFonts w:hint="eastAsia" w:cs="Times New Roman"/>
          <w:color w:val="000000" w:themeColor="text1"/>
          <w:sz w:val="30"/>
          <w:szCs w:val="30"/>
          <w14:textFill>
            <w14:solidFill>
              <w14:schemeClr w14:val="tx1"/>
            </w14:solidFill>
          </w14:textFill>
        </w:rPr>
        <w:t>。北交所FDEP小站号为k</w:t>
      </w:r>
      <w:r>
        <w:rPr>
          <w:rFonts w:cs="Times New Roman"/>
          <w:color w:val="000000" w:themeColor="text1"/>
          <w:sz w:val="30"/>
          <w:szCs w:val="30"/>
          <w14:textFill>
            <w14:solidFill>
              <w14:schemeClr w14:val="tx1"/>
            </w14:solidFill>
          </w14:textFill>
        </w:rPr>
        <w:t>0903</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p>
    <w:bookmarkEnd w:id="57"/>
    <w:p>
      <w:pPr>
        <w:pStyle w:val="73"/>
        <w:spacing w:before="163" w:after="163"/>
        <w:ind w:firstLine="600"/>
      </w:pPr>
      <w:bookmarkStart w:id="58" w:name="_Toc374957920"/>
      <w:bookmarkStart w:id="59" w:name="_Toc374381928"/>
      <w:bookmarkStart w:id="60" w:name="_Toc375070738"/>
      <w:bookmarkStart w:id="61" w:name="_Toc375557974"/>
      <w:bookmarkStart w:id="62" w:name="_Toc1386646997"/>
      <w:bookmarkStart w:id="63" w:name="_Toc376597526"/>
      <w:bookmarkStart w:id="64" w:name="_Toc157623431"/>
      <w:bookmarkStart w:id="65" w:name="_Toc374381862"/>
      <w:bookmarkStart w:id="66" w:name="_Toc376285233"/>
      <w:r>
        <w:rPr>
          <w:rFonts w:hint="eastAsia"/>
        </w:rPr>
        <w:t>八、</w:t>
      </w:r>
      <w:r>
        <w:t>仿真测试系统接入方式</w:t>
      </w:r>
      <w:bookmarkEnd w:id="58"/>
      <w:bookmarkEnd w:id="59"/>
      <w:bookmarkEnd w:id="60"/>
      <w:bookmarkEnd w:id="61"/>
      <w:bookmarkEnd w:id="62"/>
      <w:bookmarkEnd w:id="63"/>
      <w:bookmarkEnd w:id="64"/>
      <w:bookmarkEnd w:id="65"/>
      <w:bookmarkEnd w:id="66"/>
    </w:p>
    <w:p>
      <w:pPr>
        <w:pStyle w:val="73"/>
        <w:spacing w:before="163" w:after="163"/>
        <w:ind w:firstLine="560"/>
        <w:rPr>
          <w:rFonts w:eastAsia="楷体" w:cs="Times New Roman"/>
          <w:sz w:val="28"/>
          <w:szCs w:val="28"/>
        </w:rPr>
      </w:pPr>
      <w:bookmarkStart w:id="67" w:name="_Toc416422123"/>
      <w:bookmarkStart w:id="68" w:name="_Toc157623432"/>
      <w:bookmarkStart w:id="69" w:name="_Toc502850310"/>
      <w:bookmarkStart w:id="70" w:name="_Toc376597528"/>
      <w:bookmarkStart w:id="71" w:name="_Toc375557976"/>
      <w:bookmarkStart w:id="72" w:name="_Toc376285235"/>
      <w:bookmarkStart w:id="73" w:name="_Toc374381864"/>
      <w:bookmarkStart w:id="74" w:name="_Toc374381930"/>
      <w:bookmarkStart w:id="75" w:name="_Toc375070740"/>
      <w:bookmarkStart w:id="76" w:name="_Toc374957922"/>
      <w:r>
        <w:rPr>
          <w:rFonts w:hint="eastAsia" w:eastAsia="楷体" w:cs="Times New Roman"/>
          <w:sz w:val="28"/>
          <w:szCs w:val="28"/>
        </w:rPr>
        <w:t>（一）</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接入深证通</w:t>
      </w:r>
      <w:bookmarkEnd w:id="67"/>
      <w:bookmarkEnd w:id="68"/>
      <w:bookmarkEnd w:id="6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参测机构通过</w:t>
      </w:r>
      <w:r>
        <w:rPr>
          <w:rFonts w:hint="eastAsia" w:cs="Times New Roman"/>
          <w:color w:val="000000" w:themeColor="text1"/>
          <w:sz w:val="30"/>
          <w:szCs w:val="30"/>
          <w14:textFill>
            <w14:solidFill>
              <w14:schemeClr w14:val="tx1"/>
            </w14:solidFill>
          </w14:textFill>
        </w:rPr>
        <w:t>VPN</w:t>
      </w:r>
      <w:r>
        <w:rPr>
          <w:rFonts w:cs="Times New Roman"/>
          <w:color w:val="000000" w:themeColor="text1"/>
          <w:sz w:val="30"/>
          <w:szCs w:val="30"/>
          <w14:textFill>
            <w14:solidFill>
              <w14:schemeClr w14:val="tx1"/>
            </w14:solidFill>
          </w14:textFill>
        </w:rPr>
        <w:t>或专线接入深证通提供的仿真测试环境，如有问题，及时联系深证通负责仿真测试的工作人员。测试连接相关参数：</w:t>
      </w:r>
    </w:p>
    <w:tbl>
      <w:tblPr>
        <w:tblStyle w:val="37"/>
        <w:tblW w:w="45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1"/>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名称</w:t>
            </w:r>
          </w:p>
        </w:tc>
        <w:tc>
          <w:tcPr>
            <w:tcW w:w="252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地址和端口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深证通SSL VPN接入</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https://test.sscc.com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行情TCP</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172.200.1.97:7044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双向报盘</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172.200.1.98:7043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CCNET</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172.200.1.89:7013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FDEP</w:t>
            </w:r>
            <w:bookmarkStart w:id="77" w:name="_Toc446922359"/>
            <w:bookmarkEnd w:id="77"/>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172.200.1.182:7015</w:t>
            </w:r>
            <w:bookmarkStart w:id="78" w:name="_Toc446922360"/>
            <w:bookmarkEnd w:id="78"/>
            <w:r>
              <w:rPr>
                <w:rFonts w:cs="Times New Roman"/>
                <w:szCs w:val="24"/>
              </w:rPr>
              <w:t>/7016</w:t>
            </w:r>
          </w:p>
        </w:tc>
      </w:tr>
    </w:tbl>
    <w:p>
      <w:pPr>
        <w:spacing w:line="360" w:lineRule="auto"/>
        <w:ind w:firstLineChars="83"/>
        <w:rPr>
          <w:rFonts w:eastAsia="方正仿宋简体" w:cs="Times New Roman"/>
          <w:b/>
          <w:color w:val="000000" w:themeColor="text1"/>
          <w14:textFill>
            <w14:solidFill>
              <w14:schemeClr w14:val="tx1"/>
            </w14:solidFill>
          </w14:textFill>
        </w:rPr>
      </w:pPr>
    </w:p>
    <w:p>
      <w:pPr>
        <w:pStyle w:val="73"/>
        <w:spacing w:before="163" w:after="163"/>
        <w:ind w:firstLine="560"/>
        <w:rPr>
          <w:rFonts w:eastAsia="楷体" w:cs="Times New Roman"/>
          <w:sz w:val="28"/>
          <w:szCs w:val="28"/>
        </w:rPr>
      </w:pPr>
      <w:bookmarkStart w:id="79" w:name="_Toc157623433"/>
      <w:bookmarkStart w:id="80" w:name="_Toc1377912424"/>
      <w:bookmarkStart w:id="81" w:name="_Toc386964499"/>
      <w:bookmarkStart w:id="82" w:name="_Toc416422124"/>
      <w:r>
        <w:rPr>
          <w:rFonts w:hint="eastAsia" w:eastAsia="楷体" w:cs="Times New Roman"/>
          <w:sz w:val="28"/>
          <w:szCs w:val="28"/>
        </w:rPr>
        <w:t>（二）</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w:t>
      </w:r>
      <w:r>
        <w:rPr>
          <w:rFonts w:hint="eastAsia" w:eastAsia="楷体" w:cs="Times New Roman"/>
          <w:sz w:val="28"/>
          <w:szCs w:val="28"/>
        </w:rPr>
        <w:t>中国结算</w:t>
      </w:r>
      <w:bookmarkEnd w:id="79"/>
      <w:bookmarkEnd w:id="8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w:t>
      </w:r>
      <w:r>
        <w:rPr>
          <w:rFonts w:cs="Times New Roman"/>
          <w:color w:val="000000" w:themeColor="text1"/>
          <w:sz w:val="30"/>
          <w:szCs w:val="30"/>
          <w14:textFill>
            <w14:solidFill>
              <w14:schemeClr w14:val="tx1"/>
            </w14:solidFill>
          </w14:textFill>
        </w:rPr>
        <w:t>结算测试方案</w:t>
      </w:r>
      <w:r>
        <w:rPr>
          <w:rFonts w:hint="eastAsia" w:cs="Times New Roman"/>
          <w:color w:val="000000" w:themeColor="text1"/>
          <w:sz w:val="30"/>
          <w:szCs w:val="30"/>
          <w14:textFill>
            <w14:solidFill>
              <w14:schemeClr w14:val="tx1"/>
            </w14:solidFill>
          </w14:textFill>
        </w:rPr>
        <w:t>。</w:t>
      </w:r>
    </w:p>
    <w:p>
      <w:pPr>
        <w:pStyle w:val="73"/>
        <w:spacing w:before="163" w:after="163"/>
        <w:ind w:firstLine="560"/>
        <w:rPr>
          <w:rFonts w:eastAsia="楷体" w:cs="Times New Roman"/>
          <w:sz w:val="28"/>
          <w:szCs w:val="28"/>
        </w:rPr>
      </w:pPr>
      <w:bookmarkStart w:id="83" w:name="_Toc157623434"/>
      <w:bookmarkStart w:id="84" w:name="_Toc716568656"/>
      <w:r>
        <w:rPr>
          <w:rFonts w:hint="eastAsia" w:eastAsia="楷体" w:cs="Times New Roman"/>
          <w:sz w:val="28"/>
          <w:szCs w:val="28"/>
        </w:rPr>
        <w:t>（三）</w:t>
      </w:r>
      <w:r>
        <w:rPr>
          <w:rFonts w:eastAsia="楷体" w:cs="Times New Roman"/>
          <w:sz w:val="28"/>
          <w:szCs w:val="28"/>
        </w:rPr>
        <w:t>测试相关软件下载</w:t>
      </w:r>
      <w:bookmarkEnd w:id="81"/>
      <w:bookmarkEnd w:id="82"/>
      <w:bookmarkEnd w:id="83"/>
      <w:bookmarkEnd w:id="84"/>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70"/>
    <w:bookmarkEnd w:id="71"/>
    <w:bookmarkEnd w:id="72"/>
    <w:bookmarkEnd w:id="73"/>
    <w:bookmarkEnd w:id="74"/>
    <w:bookmarkEnd w:id="75"/>
    <w:bookmarkEnd w:id="76"/>
    <w:p>
      <w:pPr>
        <w:pStyle w:val="73"/>
        <w:spacing w:before="163" w:after="163"/>
        <w:ind w:firstLine="600"/>
      </w:pPr>
      <w:bookmarkStart w:id="85" w:name="_Toc376285237"/>
      <w:bookmarkStart w:id="86" w:name="_Toc374957924"/>
      <w:bookmarkStart w:id="87" w:name="_Toc375557978"/>
      <w:bookmarkStart w:id="88" w:name="_Toc374381932"/>
      <w:bookmarkStart w:id="89" w:name="_Toc157623435"/>
      <w:bookmarkStart w:id="90" w:name="_Toc375070742"/>
      <w:bookmarkStart w:id="91" w:name="_Toc376597530"/>
      <w:bookmarkStart w:id="92" w:name="_Toc1509349101"/>
      <w:bookmarkStart w:id="93" w:name="_Toc374381866"/>
      <w:r>
        <w:rPr>
          <w:rFonts w:hint="eastAsia"/>
        </w:rPr>
        <w:t>九、</w:t>
      </w:r>
      <w:r>
        <w:t>测试要求及注意事项</w:t>
      </w:r>
      <w:bookmarkEnd w:id="85"/>
      <w:bookmarkEnd w:id="86"/>
      <w:bookmarkEnd w:id="87"/>
      <w:bookmarkEnd w:id="88"/>
      <w:bookmarkEnd w:id="89"/>
      <w:bookmarkEnd w:id="90"/>
      <w:bookmarkEnd w:id="91"/>
      <w:bookmarkEnd w:id="92"/>
      <w:bookmarkEnd w:id="9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详尽的测试计划，并指定专人负责本次仿真测试工作。</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.开展北交所业务的证券公司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3.开展北交所业务的基金公司和提供北交所行情服务的信息商应参加测试。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在测试过程中，各参测机构应详细记载测试现象与结果，检查其正确性。如发现异常现象，请及时通过电话或QQ群与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证券公司、基金公司和信息商应收集各自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并于测试结束当日（第一轮：2024年3月1日，第二轮：2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3</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15</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）17:</w:t>
      </w:r>
      <w:r>
        <w:rPr>
          <w:rFonts w:cs="Times New Roman"/>
          <w:color w:val="000000" w:themeColor="text1"/>
          <w:sz w:val="30"/>
          <w:szCs w:val="30"/>
          <w14:textFill>
            <w14:solidFill>
              <w14:schemeClr w14:val="tx1"/>
            </w14:solidFill>
          </w14:textFill>
        </w:rPr>
        <w:t>00之前通过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北交所股票启用</w:t>
      </w:r>
      <w:r>
        <w:rPr>
          <w:rFonts w:hint="eastAsia" w:cs="Times New Roman"/>
          <w:color w:val="000000" w:themeColor="text1"/>
          <w:sz w:val="30"/>
          <w:szCs w:val="30"/>
          <w:lang w:eastAsia="zh-CN"/>
          <w14:textFill>
            <w14:solidFill>
              <w14:schemeClr w14:val="tx1"/>
            </w14:solidFill>
          </w14:textFill>
        </w:rPr>
        <w:t>新证券</w:t>
      </w:r>
      <w:r>
        <w:rPr>
          <w:rFonts w:hint="eastAsia" w:cs="Times New Roman"/>
          <w:color w:val="000000" w:themeColor="text1"/>
          <w:sz w:val="30"/>
          <w:szCs w:val="30"/>
          <w14:textFill>
            <w14:solidFill>
              <w14:schemeClr w14:val="tx1"/>
            </w14:solidFill>
          </w14:textFill>
        </w:rPr>
        <w:t>代码号段</w:t>
      </w:r>
      <w:r>
        <w:rPr>
          <w:rFonts w:hint="eastAsia" w:cs="Times New Roman"/>
          <w:color w:val="000000" w:themeColor="text1"/>
          <w:sz w:val="30"/>
          <w:szCs w:val="30"/>
          <w:lang w:val="en"/>
          <w14:textFill>
            <w14:solidFill>
              <w14:schemeClr w14:val="tx1"/>
            </w14:solidFill>
          </w14:textFill>
        </w:rPr>
        <w:t>第</w:t>
      </w:r>
      <w:r>
        <w:rPr>
          <w:rFonts w:hint="eastAsia" w:cs="Times New Roman"/>
          <w:color w:val="000000" w:themeColor="text1"/>
          <w:sz w:val="30"/>
          <w:szCs w:val="30"/>
          <w14:textFill>
            <w14:solidFill>
              <w14:schemeClr w14:val="tx1"/>
            </w14:solidFill>
          </w14:textFill>
        </w:rPr>
        <w:t>N轮仿真</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94" w:name="_Toc157623436"/>
      <w:bookmarkStart w:id="95" w:name="_Toc376597533"/>
      <w:bookmarkStart w:id="96" w:name="_Toc374381935"/>
      <w:bookmarkStart w:id="97" w:name="_Toc375557981"/>
      <w:bookmarkStart w:id="98" w:name="_Toc375070745"/>
      <w:bookmarkStart w:id="99" w:name="_Toc374381869"/>
      <w:bookmarkStart w:id="100" w:name="_Toc374957927"/>
      <w:bookmarkStart w:id="101" w:name="_Toc2062526509"/>
      <w:bookmarkStart w:id="102" w:name="_Toc376285240"/>
      <w:r>
        <w:t>十</w:t>
      </w:r>
      <w:r>
        <w:rPr>
          <w:rFonts w:hint="eastAsia"/>
        </w:rPr>
        <w:t>、</w:t>
      </w:r>
      <w:r>
        <w:t>联系方式</w:t>
      </w:r>
      <w:bookmarkEnd w:id="94"/>
      <w:bookmarkEnd w:id="95"/>
      <w:bookmarkEnd w:id="96"/>
      <w:bookmarkEnd w:id="97"/>
      <w:bookmarkEnd w:id="98"/>
      <w:bookmarkEnd w:id="99"/>
      <w:bookmarkEnd w:id="100"/>
      <w:bookmarkEnd w:id="101"/>
      <w:bookmarkEnd w:id="102"/>
    </w:p>
    <w:tbl>
      <w:tblPr>
        <w:tblStyle w:val="37"/>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仿真测试联系单位（人）</w:t>
            </w:r>
          </w:p>
        </w:tc>
        <w:tc>
          <w:tcPr>
            <w:tcW w:w="289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ind w:firstLine="0" w:firstLineChars="0"/>
              <w:jc w:val="center"/>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全国股转北交所交易运行维护2群：362089063</w:t>
            </w:r>
          </w:p>
        </w:tc>
      </w:tr>
    </w:tbl>
    <w:p>
      <w:pPr>
        <w:pStyle w:val="10"/>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四</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二</w:t>
      </w:r>
      <w:r>
        <w:rPr>
          <w:rFonts w:ascii="仿宋" w:hAnsi="仿宋" w:cs="Times New Roman"/>
          <w:color w:val="000000" w:themeColor="text1"/>
          <w:sz w:val="30"/>
          <w:szCs w:val="30"/>
          <w14:textFill>
            <w14:solidFill>
              <w14:schemeClr w14:val="tx1"/>
            </w14:solidFill>
          </w14:textFill>
        </w:rPr>
        <w:t>月</w:t>
      </w:r>
      <w:bookmarkEnd w:id="10"/>
    </w:p>
    <w:sectPr>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FangSong">
    <w:altName w:val="方正仿宋_GBK"/>
    <w:panose1 w:val="00000000000000000000"/>
    <w:charset w:val="86"/>
    <w:family w:val="roman"/>
    <w:pitch w:val="default"/>
    <w:sig w:usb0="00000000" w:usb1="00000000" w:usb2="00000016" w:usb3="00000000" w:csb0="00040001" w:csb1="00000000"/>
  </w:font>
  <w:font w:name="TimesNewRomanPSMT">
    <w:altName w:val="DejaVu Sans"/>
    <w:panose1 w:val="00000000000000000000"/>
    <w:charset w:val="00"/>
    <w:family w:val="roman"/>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132314998"/>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仿真测试方案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仿真测试方案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1">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6"/>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5065"/>
    <w:rsid w:val="000A666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222A9"/>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E51"/>
    <w:rsid w:val="003C5F2F"/>
    <w:rsid w:val="003C7CCB"/>
    <w:rsid w:val="003E4A8B"/>
    <w:rsid w:val="003F01F0"/>
    <w:rsid w:val="003F2AA4"/>
    <w:rsid w:val="00401621"/>
    <w:rsid w:val="00407FF3"/>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56D6"/>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A2515"/>
    <w:rsid w:val="005B076F"/>
    <w:rsid w:val="005C0530"/>
    <w:rsid w:val="005C0D5D"/>
    <w:rsid w:val="005D0387"/>
    <w:rsid w:val="005D10E0"/>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0062"/>
    <w:rsid w:val="007835B6"/>
    <w:rsid w:val="00785FE5"/>
    <w:rsid w:val="00786A27"/>
    <w:rsid w:val="00786D46"/>
    <w:rsid w:val="00792C28"/>
    <w:rsid w:val="00793331"/>
    <w:rsid w:val="00794E83"/>
    <w:rsid w:val="00795E74"/>
    <w:rsid w:val="0079718C"/>
    <w:rsid w:val="007A083E"/>
    <w:rsid w:val="007A6CA5"/>
    <w:rsid w:val="007B0A94"/>
    <w:rsid w:val="007C007D"/>
    <w:rsid w:val="007C0B0A"/>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DC7"/>
    <w:rsid w:val="00C36DBA"/>
    <w:rsid w:val="00C37472"/>
    <w:rsid w:val="00C51B22"/>
    <w:rsid w:val="00C53A2D"/>
    <w:rsid w:val="00C5497C"/>
    <w:rsid w:val="00C5591D"/>
    <w:rsid w:val="00C60678"/>
    <w:rsid w:val="00C64131"/>
    <w:rsid w:val="00C64423"/>
    <w:rsid w:val="00C6502A"/>
    <w:rsid w:val="00C656F8"/>
    <w:rsid w:val="00C7138C"/>
    <w:rsid w:val="00C8073E"/>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E77EB"/>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6E6"/>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E6D8802"/>
    <w:rsid w:val="0FABB11C"/>
    <w:rsid w:val="0FCF826C"/>
    <w:rsid w:val="0FDFBCCF"/>
    <w:rsid w:val="177C2306"/>
    <w:rsid w:val="17CF285E"/>
    <w:rsid w:val="1AFB273A"/>
    <w:rsid w:val="1B30BE67"/>
    <w:rsid w:val="1BD4F451"/>
    <w:rsid w:val="1BFD8A42"/>
    <w:rsid w:val="1BFE62C3"/>
    <w:rsid w:val="1E374714"/>
    <w:rsid w:val="1E4DA63C"/>
    <w:rsid w:val="1F7E13DA"/>
    <w:rsid w:val="1F7FBD08"/>
    <w:rsid w:val="1FAF85B8"/>
    <w:rsid w:val="1FDEE27A"/>
    <w:rsid w:val="1FDF33B1"/>
    <w:rsid w:val="1FEE6A25"/>
    <w:rsid w:val="1FFDFB4D"/>
    <w:rsid w:val="22E571A1"/>
    <w:rsid w:val="25FDD84D"/>
    <w:rsid w:val="26718E42"/>
    <w:rsid w:val="27D91059"/>
    <w:rsid w:val="2AFEBA90"/>
    <w:rsid w:val="2B7F5988"/>
    <w:rsid w:val="2B9F2956"/>
    <w:rsid w:val="2CF75A8D"/>
    <w:rsid w:val="2F0437DC"/>
    <w:rsid w:val="2F3803F6"/>
    <w:rsid w:val="2FB71492"/>
    <w:rsid w:val="2FBFB258"/>
    <w:rsid w:val="2FE7A00B"/>
    <w:rsid w:val="2FFE3B5F"/>
    <w:rsid w:val="2FFF97F0"/>
    <w:rsid w:val="33B74C74"/>
    <w:rsid w:val="34F55495"/>
    <w:rsid w:val="35D69390"/>
    <w:rsid w:val="35FDD31B"/>
    <w:rsid w:val="375D0D48"/>
    <w:rsid w:val="375FCD8E"/>
    <w:rsid w:val="37FE8900"/>
    <w:rsid w:val="3A276381"/>
    <w:rsid w:val="3ABD502E"/>
    <w:rsid w:val="3AFE8242"/>
    <w:rsid w:val="3B7F1825"/>
    <w:rsid w:val="3B9DCF55"/>
    <w:rsid w:val="3BBFDF02"/>
    <w:rsid w:val="3BFD884A"/>
    <w:rsid w:val="3BFFC07B"/>
    <w:rsid w:val="3CFF6CC9"/>
    <w:rsid w:val="3D3FEDF9"/>
    <w:rsid w:val="3D5EF811"/>
    <w:rsid w:val="3D9F8D0A"/>
    <w:rsid w:val="3DEDE560"/>
    <w:rsid w:val="3DF4EFAB"/>
    <w:rsid w:val="3DFBA024"/>
    <w:rsid w:val="3E7F7604"/>
    <w:rsid w:val="3E9D26A9"/>
    <w:rsid w:val="3EB7931E"/>
    <w:rsid w:val="3F0D7818"/>
    <w:rsid w:val="3F1B83A3"/>
    <w:rsid w:val="3F1FC95B"/>
    <w:rsid w:val="3F53C2AF"/>
    <w:rsid w:val="3F74D583"/>
    <w:rsid w:val="3F7DDF8C"/>
    <w:rsid w:val="3F7FAE8B"/>
    <w:rsid w:val="3F7FC16D"/>
    <w:rsid w:val="3FCDE2C9"/>
    <w:rsid w:val="3FD70DE1"/>
    <w:rsid w:val="3FDD2986"/>
    <w:rsid w:val="3FEFD18E"/>
    <w:rsid w:val="3FF35298"/>
    <w:rsid w:val="41D39DAE"/>
    <w:rsid w:val="41DF6CC2"/>
    <w:rsid w:val="47731B6A"/>
    <w:rsid w:val="47BEB979"/>
    <w:rsid w:val="47F6940D"/>
    <w:rsid w:val="47F77165"/>
    <w:rsid w:val="4AFE6D9A"/>
    <w:rsid w:val="4BB6D580"/>
    <w:rsid w:val="4BD72FBC"/>
    <w:rsid w:val="4BDE9B44"/>
    <w:rsid w:val="4BFF4DC1"/>
    <w:rsid w:val="4DCFA4B1"/>
    <w:rsid w:val="4EFFC6C2"/>
    <w:rsid w:val="4FD78212"/>
    <w:rsid w:val="4FD7AD40"/>
    <w:rsid w:val="4FFC5CE9"/>
    <w:rsid w:val="4FFF1D93"/>
    <w:rsid w:val="4FFFDA9E"/>
    <w:rsid w:val="52EDABB8"/>
    <w:rsid w:val="53AC9643"/>
    <w:rsid w:val="53DF5945"/>
    <w:rsid w:val="56DF5558"/>
    <w:rsid w:val="56EDD61D"/>
    <w:rsid w:val="56FFBFF8"/>
    <w:rsid w:val="57373A65"/>
    <w:rsid w:val="573BB712"/>
    <w:rsid w:val="57CFCBAF"/>
    <w:rsid w:val="57D39885"/>
    <w:rsid w:val="57DFE3A1"/>
    <w:rsid w:val="57EB5A3B"/>
    <w:rsid w:val="57F7CBD5"/>
    <w:rsid w:val="5A663819"/>
    <w:rsid w:val="5ACD6D89"/>
    <w:rsid w:val="5AEF981F"/>
    <w:rsid w:val="5AFE1AC7"/>
    <w:rsid w:val="5B6FE370"/>
    <w:rsid w:val="5BB9E575"/>
    <w:rsid w:val="5BEB5CC0"/>
    <w:rsid w:val="5BEBC172"/>
    <w:rsid w:val="5BEDC4C8"/>
    <w:rsid w:val="5BFC63C4"/>
    <w:rsid w:val="5BFFB4A3"/>
    <w:rsid w:val="5CE36829"/>
    <w:rsid w:val="5D7486BC"/>
    <w:rsid w:val="5D7F437A"/>
    <w:rsid w:val="5DAF1258"/>
    <w:rsid w:val="5DCF7828"/>
    <w:rsid w:val="5DF7DA5F"/>
    <w:rsid w:val="5DFE5065"/>
    <w:rsid w:val="5DFFCC51"/>
    <w:rsid w:val="5DFFD042"/>
    <w:rsid w:val="5E7FBA52"/>
    <w:rsid w:val="5ECDB12A"/>
    <w:rsid w:val="5EDB9D51"/>
    <w:rsid w:val="5EDFC2F0"/>
    <w:rsid w:val="5EE52C5F"/>
    <w:rsid w:val="5EF62128"/>
    <w:rsid w:val="5EFE1DDA"/>
    <w:rsid w:val="5F722246"/>
    <w:rsid w:val="5F74353A"/>
    <w:rsid w:val="5FB344CB"/>
    <w:rsid w:val="5FBBFB66"/>
    <w:rsid w:val="5FBEC7D9"/>
    <w:rsid w:val="5FCA807C"/>
    <w:rsid w:val="5FD7F873"/>
    <w:rsid w:val="5FDD4BFA"/>
    <w:rsid w:val="5FEE82C5"/>
    <w:rsid w:val="5FF726EE"/>
    <w:rsid w:val="5FF7ADF1"/>
    <w:rsid w:val="5FFABE54"/>
    <w:rsid w:val="5FFBE19E"/>
    <w:rsid w:val="5FFFAAEF"/>
    <w:rsid w:val="61BF9D14"/>
    <w:rsid w:val="6374C2B6"/>
    <w:rsid w:val="655F8489"/>
    <w:rsid w:val="65BD7D43"/>
    <w:rsid w:val="65FF52CB"/>
    <w:rsid w:val="664D8D55"/>
    <w:rsid w:val="677A210E"/>
    <w:rsid w:val="67EB6F81"/>
    <w:rsid w:val="687B5EF3"/>
    <w:rsid w:val="69572189"/>
    <w:rsid w:val="697FE012"/>
    <w:rsid w:val="69AB97D7"/>
    <w:rsid w:val="69DFA756"/>
    <w:rsid w:val="69E7FC2E"/>
    <w:rsid w:val="69EE88E9"/>
    <w:rsid w:val="69EFA8BD"/>
    <w:rsid w:val="6AFBE6A3"/>
    <w:rsid w:val="6AFFA607"/>
    <w:rsid w:val="6B62346A"/>
    <w:rsid w:val="6B8B324F"/>
    <w:rsid w:val="6BBB0184"/>
    <w:rsid w:val="6BF58DCA"/>
    <w:rsid w:val="6BFBD980"/>
    <w:rsid w:val="6CEB8333"/>
    <w:rsid w:val="6D5D057A"/>
    <w:rsid w:val="6D6E2E0B"/>
    <w:rsid w:val="6DBE779E"/>
    <w:rsid w:val="6DD52F56"/>
    <w:rsid w:val="6DDF8D67"/>
    <w:rsid w:val="6DEDCC6F"/>
    <w:rsid w:val="6DEF38A4"/>
    <w:rsid w:val="6DFBD486"/>
    <w:rsid w:val="6E797347"/>
    <w:rsid w:val="6EEF2C53"/>
    <w:rsid w:val="6FA71348"/>
    <w:rsid w:val="6FBCD3D9"/>
    <w:rsid w:val="6FDFCA01"/>
    <w:rsid w:val="6FE79102"/>
    <w:rsid w:val="6FE7B122"/>
    <w:rsid w:val="6FE8E25B"/>
    <w:rsid w:val="6FEB7186"/>
    <w:rsid w:val="6FFB95F4"/>
    <w:rsid w:val="6FFF5BBB"/>
    <w:rsid w:val="6FFF95C0"/>
    <w:rsid w:val="6FFFA14F"/>
    <w:rsid w:val="70DFAB25"/>
    <w:rsid w:val="716DE32A"/>
    <w:rsid w:val="71FF8452"/>
    <w:rsid w:val="72FF0B66"/>
    <w:rsid w:val="73BBF15D"/>
    <w:rsid w:val="73BFE141"/>
    <w:rsid w:val="73DF21B2"/>
    <w:rsid w:val="73EB15F8"/>
    <w:rsid w:val="73F7EB6D"/>
    <w:rsid w:val="73FB4277"/>
    <w:rsid w:val="73FF05DB"/>
    <w:rsid w:val="752F2B26"/>
    <w:rsid w:val="756A5093"/>
    <w:rsid w:val="75DD6AF4"/>
    <w:rsid w:val="75F8CFD1"/>
    <w:rsid w:val="762B77D9"/>
    <w:rsid w:val="765B8A2F"/>
    <w:rsid w:val="766F7198"/>
    <w:rsid w:val="76AD5DD1"/>
    <w:rsid w:val="76F2DF38"/>
    <w:rsid w:val="76F9ED7C"/>
    <w:rsid w:val="76FC1ECE"/>
    <w:rsid w:val="76FF849E"/>
    <w:rsid w:val="775F015A"/>
    <w:rsid w:val="776FDBC1"/>
    <w:rsid w:val="777B81CF"/>
    <w:rsid w:val="7783F9CE"/>
    <w:rsid w:val="779D61BF"/>
    <w:rsid w:val="77BEDDB1"/>
    <w:rsid w:val="77D452BB"/>
    <w:rsid w:val="77D74BB7"/>
    <w:rsid w:val="77F51CFE"/>
    <w:rsid w:val="77FD0F18"/>
    <w:rsid w:val="77FD63F9"/>
    <w:rsid w:val="77FE9CC4"/>
    <w:rsid w:val="785CA39F"/>
    <w:rsid w:val="78D7BA91"/>
    <w:rsid w:val="78EDFDE2"/>
    <w:rsid w:val="78FB5589"/>
    <w:rsid w:val="78FF0B7F"/>
    <w:rsid w:val="792B333E"/>
    <w:rsid w:val="79EE11AD"/>
    <w:rsid w:val="79FD6F79"/>
    <w:rsid w:val="7A5DB8F2"/>
    <w:rsid w:val="7A6FCFE0"/>
    <w:rsid w:val="7B2D685D"/>
    <w:rsid w:val="7B38AA48"/>
    <w:rsid w:val="7B3E5059"/>
    <w:rsid w:val="7B4C4E9C"/>
    <w:rsid w:val="7B5B9875"/>
    <w:rsid w:val="7B6A643F"/>
    <w:rsid w:val="7B6FB106"/>
    <w:rsid w:val="7B7E20E0"/>
    <w:rsid w:val="7B7FC676"/>
    <w:rsid w:val="7B7FE1EC"/>
    <w:rsid w:val="7B9E0E9B"/>
    <w:rsid w:val="7BA50BD5"/>
    <w:rsid w:val="7BA9166D"/>
    <w:rsid w:val="7BAF434C"/>
    <w:rsid w:val="7BBD3A42"/>
    <w:rsid w:val="7BBE8E38"/>
    <w:rsid w:val="7BCE3DDF"/>
    <w:rsid w:val="7BD757A8"/>
    <w:rsid w:val="7BDF23F1"/>
    <w:rsid w:val="7BE6A679"/>
    <w:rsid w:val="7BF631C6"/>
    <w:rsid w:val="7BF7F678"/>
    <w:rsid w:val="7BFB1484"/>
    <w:rsid w:val="7BFFE2B5"/>
    <w:rsid w:val="7C746815"/>
    <w:rsid w:val="7CB2300F"/>
    <w:rsid w:val="7CBB7E93"/>
    <w:rsid w:val="7CEF8502"/>
    <w:rsid w:val="7CFCC919"/>
    <w:rsid w:val="7CFF5B64"/>
    <w:rsid w:val="7CFFDF70"/>
    <w:rsid w:val="7D2FB81E"/>
    <w:rsid w:val="7D3DA657"/>
    <w:rsid w:val="7D3E66F4"/>
    <w:rsid w:val="7D4FDCF9"/>
    <w:rsid w:val="7D5A4A99"/>
    <w:rsid w:val="7D6F26CA"/>
    <w:rsid w:val="7DBDAF8A"/>
    <w:rsid w:val="7DDFDEDF"/>
    <w:rsid w:val="7DEFB448"/>
    <w:rsid w:val="7DF79326"/>
    <w:rsid w:val="7DFB472A"/>
    <w:rsid w:val="7DFBCD35"/>
    <w:rsid w:val="7DFC21A7"/>
    <w:rsid w:val="7DFF9E77"/>
    <w:rsid w:val="7E1B81F1"/>
    <w:rsid w:val="7E3FE0D2"/>
    <w:rsid w:val="7E9F82AC"/>
    <w:rsid w:val="7EB77231"/>
    <w:rsid w:val="7ED74CDB"/>
    <w:rsid w:val="7ED9D710"/>
    <w:rsid w:val="7EE70CBE"/>
    <w:rsid w:val="7EF70406"/>
    <w:rsid w:val="7EF77825"/>
    <w:rsid w:val="7EFC8F42"/>
    <w:rsid w:val="7EFF0337"/>
    <w:rsid w:val="7EFF1346"/>
    <w:rsid w:val="7EFF1389"/>
    <w:rsid w:val="7EFF2C54"/>
    <w:rsid w:val="7EFF6783"/>
    <w:rsid w:val="7EFFD8C4"/>
    <w:rsid w:val="7F1FD03D"/>
    <w:rsid w:val="7F2AB4F8"/>
    <w:rsid w:val="7F335F55"/>
    <w:rsid w:val="7F3F79D3"/>
    <w:rsid w:val="7F3F9E97"/>
    <w:rsid w:val="7F65C13A"/>
    <w:rsid w:val="7F75ECE1"/>
    <w:rsid w:val="7F79406A"/>
    <w:rsid w:val="7F7F3F45"/>
    <w:rsid w:val="7F7FD4B9"/>
    <w:rsid w:val="7F7FE951"/>
    <w:rsid w:val="7F9731E6"/>
    <w:rsid w:val="7FAD3483"/>
    <w:rsid w:val="7FAE924B"/>
    <w:rsid w:val="7FB7BA08"/>
    <w:rsid w:val="7FBA78AC"/>
    <w:rsid w:val="7FBB6C2C"/>
    <w:rsid w:val="7FBFA72F"/>
    <w:rsid w:val="7FBFAA0D"/>
    <w:rsid w:val="7FBFF2AC"/>
    <w:rsid w:val="7FC51405"/>
    <w:rsid w:val="7FCDA118"/>
    <w:rsid w:val="7FD26A00"/>
    <w:rsid w:val="7FD92A39"/>
    <w:rsid w:val="7FDD241C"/>
    <w:rsid w:val="7FDD2CAE"/>
    <w:rsid w:val="7FDF184F"/>
    <w:rsid w:val="7FDF8906"/>
    <w:rsid w:val="7FEB9631"/>
    <w:rsid w:val="7FEBB9DE"/>
    <w:rsid w:val="7FF1DDFF"/>
    <w:rsid w:val="7FF328B5"/>
    <w:rsid w:val="7FF3E284"/>
    <w:rsid w:val="7FF41A6B"/>
    <w:rsid w:val="7FF5A682"/>
    <w:rsid w:val="7FF5AF30"/>
    <w:rsid w:val="7FF93F46"/>
    <w:rsid w:val="7FFB8A1D"/>
    <w:rsid w:val="7FFB972C"/>
    <w:rsid w:val="7FFBCF7C"/>
    <w:rsid w:val="7FFBDA72"/>
    <w:rsid w:val="7FFD242B"/>
    <w:rsid w:val="7FFDD3D9"/>
    <w:rsid w:val="7FFE4D87"/>
    <w:rsid w:val="7FFF52EC"/>
    <w:rsid w:val="7FFF66AA"/>
    <w:rsid w:val="7FFFFD0E"/>
    <w:rsid w:val="808EE30D"/>
    <w:rsid w:val="86FAE486"/>
    <w:rsid w:val="8B420D7E"/>
    <w:rsid w:val="8EF7DCFE"/>
    <w:rsid w:val="8FFB060B"/>
    <w:rsid w:val="96DFA075"/>
    <w:rsid w:val="96E70BCA"/>
    <w:rsid w:val="96FE6E8D"/>
    <w:rsid w:val="97BF9027"/>
    <w:rsid w:val="97EA965F"/>
    <w:rsid w:val="97EE2886"/>
    <w:rsid w:val="98EF367D"/>
    <w:rsid w:val="99479B4D"/>
    <w:rsid w:val="996FECAC"/>
    <w:rsid w:val="9BAB298F"/>
    <w:rsid w:val="9BB7FC3B"/>
    <w:rsid w:val="9BEB4034"/>
    <w:rsid w:val="9BFF9AC8"/>
    <w:rsid w:val="9CF646D7"/>
    <w:rsid w:val="9DEB6AD9"/>
    <w:rsid w:val="9ECB4A03"/>
    <w:rsid w:val="9EFFD684"/>
    <w:rsid w:val="9F3163C6"/>
    <w:rsid w:val="9FE7BF93"/>
    <w:rsid w:val="9FFF08A4"/>
    <w:rsid w:val="A1F74905"/>
    <w:rsid w:val="A2AB440E"/>
    <w:rsid w:val="A2DF73FB"/>
    <w:rsid w:val="A33F56F7"/>
    <w:rsid w:val="A39F42AB"/>
    <w:rsid w:val="A6EF1C14"/>
    <w:rsid w:val="A77BC275"/>
    <w:rsid w:val="A91F7E1F"/>
    <w:rsid w:val="A9DFCB54"/>
    <w:rsid w:val="AB6BBE87"/>
    <w:rsid w:val="ABDA4410"/>
    <w:rsid w:val="ACF72C3C"/>
    <w:rsid w:val="AD5B8CC0"/>
    <w:rsid w:val="AE8F42A6"/>
    <w:rsid w:val="AF1F386C"/>
    <w:rsid w:val="AF7B984B"/>
    <w:rsid w:val="AFAE646A"/>
    <w:rsid w:val="AFBC0D8E"/>
    <w:rsid w:val="AFD76B2F"/>
    <w:rsid w:val="B2BBCEEA"/>
    <w:rsid w:val="B34FE00D"/>
    <w:rsid w:val="B3FE2EAB"/>
    <w:rsid w:val="B6779179"/>
    <w:rsid w:val="B6FA16FB"/>
    <w:rsid w:val="B77DED93"/>
    <w:rsid w:val="B77F2828"/>
    <w:rsid w:val="B7EBDF55"/>
    <w:rsid w:val="B8BF397C"/>
    <w:rsid w:val="B8F51AC4"/>
    <w:rsid w:val="B8FE95D6"/>
    <w:rsid w:val="B94E97DC"/>
    <w:rsid w:val="BB6F71C3"/>
    <w:rsid w:val="BBBBCEFA"/>
    <w:rsid w:val="BBDFBB91"/>
    <w:rsid w:val="BCCF031C"/>
    <w:rsid w:val="BDFF151A"/>
    <w:rsid w:val="BDFF7A74"/>
    <w:rsid w:val="BE4E0198"/>
    <w:rsid w:val="BE6F35CE"/>
    <w:rsid w:val="BE72D2A7"/>
    <w:rsid w:val="BE7BB8E5"/>
    <w:rsid w:val="BEDE4779"/>
    <w:rsid w:val="BEEF1BA7"/>
    <w:rsid w:val="BEFD9AE8"/>
    <w:rsid w:val="BF5F9121"/>
    <w:rsid w:val="BF6F62A7"/>
    <w:rsid w:val="BF74D1FA"/>
    <w:rsid w:val="BF7F5B5C"/>
    <w:rsid w:val="BF8FDB72"/>
    <w:rsid w:val="BFBE3382"/>
    <w:rsid w:val="BFBFFF37"/>
    <w:rsid w:val="BFD6FB6C"/>
    <w:rsid w:val="BFD76505"/>
    <w:rsid w:val="BFDD86F7"/>
    <w:rsid w:val="BFDFEE5C"/>
    <w:rsid w:val="BFEF2A21"/>
    <w:rsid w:val="BFEFCBE8"/>
    <w:rsid w:val="BFF51D5A"/>
    <w:rsid w:val="BFF5A23B"/>
    <w:rsid w:val="BFF7F039"/>
    <w:rsid w:val="BFFD68FE"/>
    <w:rsid w:val="BFFD9033"/>
    <w:rsid w:val="BFFDE173"/>
    <w:rsid w:val="BFFEE824"/>
    <w:rsid w:val="BFFFE3B5"/>
    <w:rsid w:val="C16DF057"/>
    <w:rsid w:val="C3195A40"/>
    <w:rsid w:val="C7B2D338"/>
    <w:rsid w:val="C9A7020A"/>
    <w:rsid w:val="CB5F875C"/>
    <w:rsid w:val="CBDFBC94"/>
    <w:rsid w:val="CCD949E8"/>
    <w:rsid w:val="CCFE2BA2"/>
    <w:rsid w:val="CDBAD40A"/>
    <w:rsid w:val="CEDFAC7F"/>
    <w:rsid w:val="CEEE0E2F"/>
    <w:rsid w:val="CF1B1F2D"/>
    <w:rsid w:val="CFF7E2E5"/>
    <w:rsid w:val="CFF9DC0C"/>
    <w:rsid w:val="CFFFB016"/>
    <w:rsid w:val="D3F71D91"/>
    <w:rsid w:val="D4D1E4A2"/>
    <w:rsid w:val="D5B69AF4"/>
    <w:rsid w:val="D67FC440"/>
    <w:rsid w:val="D6F7565C"/>
    <w:rsid w:val="D75E73E9"/>
    <w:rsid w:val="D7666267"/>
    <w:rsid w:val="D775E49E"/>
    <w:rsid w:val="D79EE54A"/>
    <w:rsid w:val="D7DB3411"/>
    <w:rsid w:val="D7DFA141"/>
    <w:rsid w:val="D7FFC0D6"/>
    <w:rsid w:val="D8DD8AE8"/>
    <w:rsid w:val="DB79EB2B"/>
    <w:rsid w:val="DB9B56A4"/>
    <w:rsid w:val="DBB51910"/>
    <w:rsid w:val="DBCB64A2"/>
    <w:rsid w:val="DBEFAEB8"/>
    <w:rsid w:val="DBF03558"/>
    <w:rsid w:val="DBFA6D52"/>
    <w:rsid w:val="DBFB2A1B"/>
    <w:rsid w:val="DC3739FA"/>
    <w:rsid w:val="DD17CB57"/>
    <w:rsid w:val="DDCBA26D"/>
    <w:rsid w:val="DDF73462"/>
    <w:rsid w:val="DDF9165D"/>
    <w:rsid w:val="DDF9B34E"/>
    <w:rsid w:val="DDFF4FDA"/>
    <w:rsid w:val="DEDCAD97"/>
    <w:rsid w:val="DEDFCAB4"/>
    <w:rsid w:val="DEEBC056"/>
    <w:rsid w:val="DEF6A4DC"/>
    <w:rsid w:val="DEFF8442"/>
    <w:rsid w:val="DF3ACA57"/>
    <w:rsid w:val="DF3F3A5F"/>
    <w:rsid w:val="DF7A8F2D"/>
    <w:rsid w:val="DFA972DA"/>
    <w:rsid w:val="DFAA9076"/>
    <w:rsid w:val="DFB035F2"/>
    <w:rsid w:val="DFBC0FD4"/>
    <w:rsid w:val="DFBED5CF"/>
    <w:rsid w:val="DFDEB61F"/>
    <w:rsid w:val="DFEF6AAA"/>
    <w:rsid w:val="DFEF8106"/>
    <w:rsid w:val="DFF5BA30"/>
    <w:rsid w:val="DFF771A4"/>
    <w:rsid w:val="DFFF1378"/>
    <w:rsid w:val="DFFF162D"/>
    <w:rsid w:val="DFFF5483"/>
    <w:rsid w:val="E27732C3"/>
    <w:rsid w:val="E3FB9FAB"/>
    <w:rsid w:val="E579BE25"/>
    <w:rsid w:val="E7193509"/>
    <w:rsid w:val="E775954C"/>
    <w:rsid w:val="E7DC684D"/>
    <w:rsid w:val="E7DF1FAB"/>
    <w:rsid w:val="E7FD22F3"/>
    <w:rsid w:val="EA1C5EC7"/>
    <w:rsid w:val="EA712DA6"/>
    <w:rsid w:val="EA7F8A42"/>
    <w:rsid w:val="EB3DA255"/>
    <w:rsid w:val="EB7D3FF3"/>
    <w:rsid w:val="EBD7E893"/>
    <w:rsid w:val="EBFD7D3D"/>
    <w:rsid w:val="EC5BC7B1"/>
    <w:rsid w:val="EDE9EFC7"/>
    <w:rsid w:val="EDEB3C02"/>
    <w:rsid w:val="EDEF3739"/>
    <w:rsid w:val="EE797190"/>
    <w:rsid w:val="EEF6F1C8"/>
    <w:rsid w:val="EEFC8A9D"/>
    <w:rsid w:val="EF1D0C12"/>
    <w:rsid w:val="EF59C8FE"/>
    <w:rsid w:val="EF794C06"/>
    <w:rsid w:val="EF7D6F8B"/>
    <w:rsid w:val="EF7E6C82"/>
    <w:rsid w:val="EFBF81CA"/>
    <w:rsid w:val="EFD8AB0C"/>
    <w:rsid w:val="EFDF9CA9"/>
    <w:rsid w:val="EFDFA0B9"/>
    <w:rsid w:val="EFF4E74E"/>
    <w:rsid w:val="EFF51AE7"/>
    <w:rsid w:val="EFF70B27"/>
    <w:rsid w:val="EFFB2F7B"/>
    <w:rsid w:val="EFFD9335"/>
    <w:rsid w:val="EFFE0144"/>
    <w:rsid w:val="EFFF334D"/>
    <w:rsid w:val="F13D2429"/>
    <w:rsid w:val="F2AD33D4"/>
    <w:rsid w:val="F35FBC74"/>
    <w:rsid w:val="F367F7B1"/>
    <w:rsid w:val="F37F1760"/>
    <w:rsid w:val="F397CCBF"/>
    <w:rsid w:val="F3BD0661"/>
    <w:rsid w:val="F3BD11EB"/>
    <w:rsid w:val="F3EB1456"/>
    <w:rsid w:val="F3EF0A98"/>
    <w:rsid w:val="F4CF7880"/>
    <w:rsid w:val="F5577A0F"/>
    <w:rsid w:val="F59E26D1"/>
    <w:rsid w:val="F5FB4507"/>
    <w:rsid w:val="F5FD16E4"/>
    <w:rsid w:val="F64D36C2"/>
    <w:rsid w:val="F6DFA1C4"/>
    <w:rsid w:val="F6EBB8AE"/>
    <w:rsid w:val="F6FFEC87"/>
    <w:rsid w:val="F707C779"/>
    <w:rsid w:val="F7775374"/>
    <w:rsid w:val="F77DCDF6"/>
    <w:rsid w:val="F7F2D4A9"/>
    <w:rsid w:val="F7F6D163"/>
    <w:rsid w:val="F7F72D3F"/>
    <w:rsid w:val="F7F7E432"/>
    <w:rsid w:val="F7FB7C1B"/>
    <w:rsid w:val="F7FB7EB7"/>
    <w:rsid w:val="F7FBA050"/>
    <w:rsid w:val="F7FE4DD9"/>
    <w:rsid w:val="F7FFC0EF"/>
    <w:rsid w:val="F8CFD63A"/>
    <w:rsid w:val="F91FDAC3"/>
    <w:rsid w:val="F99D8BBA"/>
    <w:rsid w:val="F99FCCA9"/>
    <w:rsid w:val="F9A7A764"/>
    <w:rsid w:val="F9BF41AC"/>
    <w:rsid w:val="F9E6C902"/>
    <w:rsid w:val="F9EF3894"/>
    <w:rsid w:val="F9FA439E"/>
    <w:rsid w:val="F9FEB9D1"/>
    <w:rsid w:val="FA3FA7C9"/>
    <w:rsid w:val="FA7D1DDD"/>
    <w:rsid w:val="FAED7325"/>
    <w:rsid w:val="FAF5810D"/>
    <w:rsid w:val="FAFBBBFF"/>
    <w:rsid w:val="FB3B353D"/>
    <w:rsid w:val="FB3FEDC3"/>
    <w:rsid w:val="FB6CB81C"/>
    <w:rsid w:val="FB7532F2"/>
    <w:rsid w:val="FB775693"/>
    <w:rsid w:val="FB7B7EF7"/>
    <w:rsid w:val="FB7B947F"/>
    <w:rsid w:val="FB7DA72A"/>
    <w:rsid w:val="FB9FE535"/>
    <w:rsid w:val="FB9FFAE0"/>
    <w:rsid w:val="FBAF08DC"/>
    <w:rsid w:val="FBB710FC"/>
    <w:rsid w:val="FBBE1885"/>
    <w:rsid w:val="FBBF0222"/>
    <w:rsid w:val="FBF58EB9"/>
    <w:rsid w:val="FBFFBB1C"/>
    <w:rsid w:val="FBFFD7DF"/>
    <w:rsid w:val="FBFFE89E"/>
    <w:rsid w:val="FBFFFE91"/>
    <w:rsid w:val="FC54F41B"/>
    <w:rsid w:val="FC799DEE"/>
    <w:rsid w:val="FC7A39C6"/>
    <w:rsid w:val="FCB765A4"/>
    <w:rsid w:val="FCBD3FC1"/>
    <w:rsid w:val="FCBF3F32"/>
    <w:rsid w:val="FCD524FB"/>
    <w:rsid w:val="FCDF088F"/>
    <w:rsid w:val="FCF73B8F"/>
    <w:rsid w:val="FCFE16F3"/>
    <w:rsid w:val="FCFEEF4F"/>
    <w:rsid w:val="FD3E25D8"/>
    <w:rsid w:val="FD5DDC5A"/>
    <w:rsid w:val="FD797460"/>
    <w:rsid w:val="FD7CADD9"/>
    <w:rsid w:val="FD7F4CC5"/>
    <w:rsid w:val="FD8186AE"/>
    <w:rsid w:val="FDB64C47"/>
    <w:rsid w:val="FDBB2C2E"/>
    <w:rsid w:val="FDDD8A5A"/>
    <w:rsid w:val="FDDFF578"/>
    <w:rsid w:val="FDFD7814"/>
    <w:rsid w:val="FE2D3ABB"/>
    <w:rsid w:val="FE3BB1FE"/>
    <w:rsid w:val="FE9E429D"/>
    <w:rsid w:val="FEB66D7A"/>
    <w:rsid w:val="FEB715E4"/>
    <w:rsid w:val="FEB7F217"/>
    <w:rsid w:val="FEBFF695"/>
    <w:rsid w:val="FED42772"/>
    <w:rsid w:val="FEEA3C46"/>
    <w:rsid w:val="FEEFB5A2"/>
    <w:rsid w:val="FEFF2652"/>
    <w:rsid w:val="FEFF705F"/>
    <w:rsid w:val="FEFF853A"/>
    <w:rsid w:val="FF1311BA"/>
    <w:rsid w:val="FF173E49"/>
    <w:rsid w:val="FF1BA559"/>
    <w:rsid w:val="FF2D36EF"/>
    <w:rsid w:val="FF3FEBBC"/>
    <w:rsid w:val="FF579E0E"/>
    <w:rsid w:val="FF5F54B5"/>
    <w:rsid w:val="FF5F81FE"/>
    <w:rsid w:val="FF67159E"/>
    <w:rsid w:val="FF6F030D"/>
    <w:rsid w:val="FF73F903"/>
    <w:rsid w:val="FF7BF34A"/>
    <w:rsid w:val="FF7D1F07"/>
    <w:rsid w:val="FF7DAF22"/>
    <w:rsid w:val="FF7E9E32"/>
    <w:rsid w:val="FF7EAE74"/>
    <w:rsid w:val="FF8D0A79"/>
    <w:rsid w:val="FFAFF7A1"/>
    <w:rsid w:val="FFB7BC81"/>
    <w:rsid w:val="FFBAE253"/>
    <w:rsid w:val="FFBD9041"/>
    <w:rsid w:val="FFBE4D2F"/>
    <w:rsid w:val="FFBFB59B"/>
    <w:rsid w:val="FFD722FC"/>
    <w:rsid w:val="FFD7E77E"/>
    <w:rsid w:val="FFD7FEF0"/>
    <w:rsid w:val="FFD87784"/>
    <w:rsid w:val="FFD9D23A"/>
    <w:rsid w:val="FFDFB28D"/>
    <w:rsid w:val="FFE28593"/>
    <w:rsid w:val="FFEEB169"/>
    <w:rsid w:val="FFEEF79C"/>
    <w:rsid w:val="FFEF5FE3"/>
    <w:rsid w:val="FFF642F6"/>
    <w:rsid w:val="FFF7023B"/>
    <w:rsid w:val="FFF767B9"/>
    <w:rsid w:val="FFF788E1"/>
    <w:rsid w:val="FFF7EFF0"/>
    <w:rsid w:val="FFFB1A7B"/>
    <w:rsid w:val="FFFC5234"/>
    <w:rsid w:val="FFFE3EF4"/>
    <w:rsid w:val="FFFE8010"/>
    <w:rsid w:val="FFFF098D"/>
    <w:rsid w:val="FFFF3958"/>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2">
    <w:name w:val="heading 1"/>
    <w:basedOn w:val="1"/>
    <w:next w:val="1"/>
    <w:link w:val="47"/>
    <w:qFormat/>
    <w:uiPriority w:val="0"/>
    <w:pPr>
      <w:keepNext/>
      <w:keepLines/>
      <w:spacing w:line="240" w:lineRule="auto"/>
      <w:ind w:firstLine="0" w:firstLineChars="0"/>
      <w:outlineLvl w:val="0"/>
    </w:pPr>
    <w:rPr>
      <w:b/>
      <w:bCs/>
      <w:kern w:val="44"/>
      <w:sz w:val="44"/>
      <w:szCs w:val="44"/>
    </w:rPr>
  </w:style>
  <w:style w:type="paragraph" w:styleId="3">
    <w:name w:val="heading 2"/>
    <w:basedOn w:val="1"/>
    <w:next w:val="1"/>
    <w:link w:val="4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8">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2520" w:leftChars="1200"/>
      <w:jc w:val="both"/>
    </w:pPr>
    <w:rPr>
      <w:rFonts w:cs="Times New Roman"/>
      <w:sz w:val="21"/>
      <w:szCs w:val="24"/>
    </w:rPr>
  </w:style>
  <w:style w:type="paragraph" w:styleId="10">
    <w:name w:val="Normal Indent"/>
    <w:basedOn w:val="1"/>
    <w:qFormat/>
    <w:uiPriority w:val="0"/>
    <w:pPr>
      <w:spacing w:afterLines="50" w:line="300" w:lineRule="auto"/>
      <w:ind w:firstLine="420"/>
    </w:pPr>
    <w:rPr>
      <w:rFonts w:cs="Times New Roman"/>
      <w:szCs w:val="24"/>
    </w:rPr>
  </w:style>
  <w:style w:type="paragraph" w:styleId="11">
    <w:name w:val="caption"/>
    <w:basedOn w:val="1"/>
    <w:next w:val="1"/>
    <w:unhideWhenUsed/>
    <w:qFormat/>
    <w:uiPriority w:val="0"/>
    <w:pPr>
      <w:spacing w:after="120"/>
    </w:pPr>
    <w:rPr>
      <w:rFonts w:ascii="Cambria" w:hAnsi="Cambria" w:eastAsia="黑体" w:cs="Times New Roman"/>
      <w:sz w:val="20"/>
      <w:szCs w:val="20"/>
    </w:rPr>
  </w:style>
  <w:style w:type="paragraph" w:styleId="12">
    <w:name w:val="Document Map"/>
    <w:basedOn w:val="1"/>
    <w:link w:val="56"/>
    <w:semiHidden/>
    <w:unhideWhenUsed/>
    <w:qFormat/>
    <w:uiPriority w:val="99"/>
    <w:pPr>
      <w:spacing w:after="120"/>
      <w:jc w:val="both"/>
    </w:pPr>
    <w:rPr>
      <w:rFonts w:ascii="宋体"/>
      <w:sz w:val="18"/>
      <w:szCs w:val="18"/>
    </w:rPr>
  </w:style>
  <w:style w:type="paragraph" w:styleId="13">
    <w:name w:val="annotation text"/>
    <w:basedOn w:val="1"/>
    <w:link w:val="54"/>
    <w:unhideWhenUsed/>
    <w:qFormat/>
    <w:uiPriority w:val="99"/>
  </w:style>
  <w:style w:type="paragraph" w:styleId="14">
    <w:name w:val="Body Text 3"/>
    <w:basedOn w:val="1"/>
    <w:link w:val="57"/>
    <w:semiHidden/>
    <w:unhideWhenUsed/>
    <w:qFormat/>
    <w:uiPriority w:val="99"/>
    <w:pPr>
      <w:spacing w:after="120"/>
      <w:jc w:val="both"/>
    </w:pPr>
    <w:rPr>
      <w:rFonts w:cs="Times New Roman"/>
      <w:sz w:val="16"/>
      <w:szCs w:val="16"/>
    </w:rPr>
  </w:style>
  <w:style w:type="paragraph" w:styleId="15">
    <w:name w:val="Body Text"/>
    <w:basedOn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3"/>
    <w:next w:val="13"/>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1 Char"/>
    <w:basedOn w:val="39"/>
    <w:link w:val="2"/>
    <w:qFormat/>
    <w:uiPriority w:val="0"/>
    <w:rPr>
      <w:rFonts w:ascii="Times New Roman" w:hAnsi="Times New Roman" w:eastAsia="仿宋" w:cs="黑体"/>
      <w:b/>
      <w:bCs/>
      <w:kern w:val="44"/>
      <w:sz w:val="44"/>
      <w:szCs w:val="44"/>
    </w:rPr>
  </w:style>
  <w:style w:type="character" w:customStyle="1" w:styleId="48">
    <w:name w:val="标题 2 Char"/>
    <w:basedOn w:val="39"/>
    <w:link w:val="3"/>
    <w:qFormat/>
    <w:uiPriority w:val="0"/>
    <w:rPr>
      <w:rFonts w:ascii="Cambria" w:hAnsi="Cambria" w:eastAsia="宋体" w:cs="黑体"/>
      <w:b/>
      <w:bCs/>
      <w:sz w:val="32"/>
      <w:szCs w:val="32"/>
    </w:rPr>
  </w:style>
  <w:style w:type="character" w:customStyle="1" w:styleId="49">
    <w:name w:val="标题 3 Char"/>
    <w:basedOn w:val="39"/>
    <w:link w:val="4"/>
    <w:qFormat/>
    <w:uiPriority w:val="0"/>
    <w:rPr>
      <w:rFonts w:ascii="Calibri" w:hAnsi="Calibri" w:eastAsia="宋体" w:cs="黑体"/>
      <w:b/>
      <w:bCs/>
      <w:sz w:val="32"/>
      <w:szCs w:val="32"/>
    </w:rPr>
  </w:style>
  <w:style w:type="character" w:customStyle="1" w:styleId="50">
    <w:name w:val="标题 4 Char"/>
    <w:basedOn w:val="39"/>
    <w:link w:val="5"/>
    <w:qFormat/>
    <w:uiPriority w:val="0"/>
    <w:rPr>
      <w:rFonts w:ascii="Cambria" w:hAnsi="Cambria" w:eastAsia="宋体" w:cs="黑体"/>
      <w:b/>
      <w:bCs/>
      <w:sz w:val="28"/>
      <w:szCs w:val="28"/>
    </w:rPr>
  </w:style>
  <w:style w:type="character" w:customStyle="1" w:styleId="51">
    <w:name w:val="标题 5 Char"/>
    <w:basedOn w:val="39"/>
    <w:link w:val="6"/>
    <w:qFormat/>
    <w:uiPriority w:val="9"/>
    <w:rPr>
      <w:rFonts w:ascii="Calibri" w:hAnsi="Calibri" w:eastAsia="宋体" w:cs="黑体"/>
      <w:b/>
      <w:bCs/>
      <w:sz w:val="28"/>
      <w:szCs w:val="28"/>
    </w:rPr>
  </w:style>
  <w:style w:type="character" w:customStyle="1" w:styleId="52">
    <w:name w:val="标题 6 Char"/>
    <w:basedOn w:val="39"/>
    <w:link w:val="7"/>
    <w:qFormat/>
    <w:uiPriority w:val="0"/>
    <w:rPr>
      <w:rFonts w:ascii="Cambria" w:hAnsi="Cambria" w:eastAsia="宋体" w:cs="Times New Roman"/>
      <w:b/>
      <w:bCs/>
      <w:sz w:val="24"/>
      <w:szCs w:val="24"/>
    </w:rPr>
  </w:style>
  <w:style w:type="character" w:customStyle="1" w:styleId="53">
    <w:name w:val="标题 7 Char"/>
    <w:basedOn w:val="39"/>
    <w:link w:val="8"/>
    <w:semiHidden/>
    <w:qFormat/>
    <w:uiPriority w:val="9"/>
    <w:rPr>
      <w:rFonts w:ascii="CG Times" w:hAnsi="CG Times" w:eastAsia="楷体_GB2312" w:cs="Times New Roman"/>
      <w:b/>
      <w:bCs/>
      <w:sz w:val="24"/>
      <w:szCs w:val="24"/>
    </w:rPr>
  </w:style>
  <w:style w:type="character" w:customStyle="1" w:styleId="54">
    <w:name w:val="批注文字 Char"/>
    <w:basedOn w:val="39"/>
    <w:link w:val="13"/>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2"/>
    <w:semiHidden/>
    <w:qFormat/>
    <w:uiPriority w:val="99"/>
    <w:rPr>
      <w:rFonts w:ascii="宋体" w:hAnsi="Calibri" w:eastAsia="宋体" w:cs="黑体"/>
      <w:sz w:val="18"/>
      <w:szCs w:val="18"/>
    </w:rPr>
  </w:style>
  <w:style w:type="character" w:customStyle="1" w:styleId="57">
    <w:name w:val="正文文本 3 Char"/>
    <w:basedOn w:val="39"/>
    <w:link w:val="14"/>
    <w:semiHidden/>
    <w:qFormat/>
    <w:uiPriority w:val="99"/>
    <w:rPr>
      <w:rFonts w:ascii="Times New Roman" w:hAnsi="Times New Roman" w:eastAsia="宋体" w:cs="Times New Roman"/>
      <w:sz w:val="16"/>
      <w:szCs w:val="16"/>
    </w:rPr>
  </w:style>
  <w:style w:type="character" w:customStyle="1" w:styleId="58">
    <w:name w:val="正文文本 Char"/>
    <w:basedOn w:val="39"/>
    <w:link w:val="15"/>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4"/>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5"/>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6"/>
    <w:qFormat/>
    <w:uiPriority w:val="0"/>
    <w:pPr>
      <w:adjustRightInd w:val="0"/>
      <w:snapToGrid w:val="0"/>
      <w:spacing w:before="0" w:after="0" w:line="360" w:lineRule="auto"/>
    </w:pPr>
    <w:rPr>
      <w:rFonts w:eastAsia="楷体"/>
    </w:rPr>
  </w:style>
  <w:style w:type="paragraph" w:customStyle="1" w:styleId="73">
    <w:name w:val="标题1"/>
    <w:basedOn w:val="2"/>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3"/>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1"/>
    <w:next w:val="11"/>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2"/>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2"/>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3"/>
    <w:next w:val="13"/>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FangSong" w:hAnsi="FangSong"/>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1117</Words>
  <Characters>6370</Characters>
  <Lines>53</Lines>
  <Paragraphs>14</Paragraphs>
  <TotalTime>9</TotalTime>
  <ScaleCrop>false</ScaleCrop>
  <LinksUpToDate>false</LinksUpToDate>
  <CharactersWithSpaces>7473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2020-12-27T02:48:00Z</dcterms:created>
  <dc:creator>张恒zh</dc:creator>
  <cp:lastModifiedBy>fuyl</cp:lastModifiedBy>
  <cp:lastPrinted>2020-02-02T07:10:00Z</cp:lastPrinted>
  <dcterms:modified xsi:type="dcterms:W3CDTF">2024-02-01T09:49:11Z</dcterms:modified>
  <dc:title>北证办发〔2023〕X号附件1</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