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简体"/>
          <w:sz w:val="30"/>
          <w:szCs w:val="30"/>
        </w:rPr>
      </w:pPr>
      <w:bookmarkStart w:id="0" w:name="_GoBack"/>
      <w:bookmarkEnd w:id="0"/>
    </w:p>
    <w:p>
      <w:pPr>
        <w:tabs>
          <w:tab w:val="center" w:pos="4365"/>
          <w:tab w:val="left" w:pos="6855"/>
        </w:tabs>
        <w:spacing w:line="600" w:lineRule="exact"/>
        <w:jc w:val="center"/>
        <w:rPr>
          <w:rFonts w:ascii="Times New Roman" w:hAnsi="Times New Roman" w:eastAsia="方正大标宋简体"/>
          <w:color w:val="000000" w:themeColor="text1"/>
          <w:sz w:val="44"/>
          <w:szCs w:val="42"/>
          <w14:textFill>
            <w14:solidFill>
              <w14:schemeClr w14:val="tx1"/>
            </w14:solidFill>
          </w14:textFill>
        </w:rPr>
      </w:pPr>
      <w:r>
        <w:rPr>
          <w:rFonts w:hint="eastAsia" w:ascii="Times New Roman" w:hAnsi="Times New Roman" w:eastAsia="方正大标宋简体"/>
          <w:color w:val="000000" w:themeColor="text1"/>
          <w:sz w:val="44"/>
          <w:szCs w:val="42"/>
          <w14:textFill>
            <w14:solidFill>
              <w14:schemeClr w14:val="tx1"/>
            </w14:solidFill>
          </w14:textFill>
        </w:rPr>
        <w:t>全国中小企业股份转让系统挂牌公司</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color w:val="000000" w:themeColor="text1"/>
          <w:sz w:val="44"/>
          <w:szCs w:val="42"/>
          <w14:textFill>
            <w14:solidFill>
              <w14:schemeClr w14:val="tx1"/>
            </w14:solidFill>
          </w14:textFill>
        </w:rPr>
        <w:t>权益分派业务指南</w:t>
      </w:r>
    </w:p>
    <w:p>
      <w:pPr>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（2014年5</w:t>
      </w:r>
      <w:r>
        <w:rPr>
          <w:rFonts w:hint="eastAsia" w:ascii="Times New Roman" w:hAnsi="Times New Roman" w:eastAsia="楷体"/>
          <w:sz w:val="32"/>
          <w:szCs w:val="32"/>
        </w:rPr>
        <w:t>月</w:t>
      </w:r>
      <w:r>
        <w:rPr>
          <w:rFonts w:ascii="Times New Roman" w:hAnsi="Times New Roman" w:eastAsia="楷体"/>
          <w:sz w:val="32"/>
          <w:szCs w:val="32"/>
        </w:rPr>
        <w:t>6</w:t>
      </w:r>
      <w:r>
        <w:rPr>
          <w:rFonts w:hint="eastAsia" w:ascii="Times New Roman" w:hAnsi="Times New Roman" w:eastAsia="楷体"/>
          <w:sz w:val="32"/>
          <w:szCs w:val="32"/>
        </w:rPr>
        <w:t>日发布《全国中小企业股份转让系统挂牌公司权益分派业务指南（试行）》</w:t>
      </w:r>
      <w:r>
        <w:rPr>
          <w:rFonts w:ascii="Times New Roman" w:hAnsi="Times New Roman" w:eastAsia="楷体"/>
          <w:sz w:val="32"/>
          <w:szCs w:val="32"/>
        </w:rPr>
        <w:t>，2018年10月29日</w:t>
      </w:r>
      <w:r>
        <w:rPr>
          <w:rFonts w:hint="eastAsia" w:ascii="Times New Roman" w:hAnsi="Times New Roman" w:eastAsia="楷体"/>
          <w:sz w:val="32"/>
          <w:szCs w:val="32"/>
        </w:rPr>
        <w:t>第一次</w:t>
      </w:r>
      <w:r>
        <w:rPr>
          <w:rFonts w:ascii="Times New Roman" w:hAnsi="Times New Roman" w:eastAsia="楷体"/>
          <w:sz w:val="32"/>
          <w:szCs w:val="32"/>
        </w:rPr>
        <w:t>修订</w:t>
      </w:r>
      <w:r>
        <w:rPr>
          <w:rFonts w:hint="eastAsia" w:ascii="Times New Roman" w:hAnsi="Times New Roman" w:eastAsia="楷体"/>
          <w:sz w:val="32"/>
          <w:szCs w:val="32"/>
        </w:rPr>
        <w:t>并</w:t>
      </w:r>
      <w:r>
        <w:rPr>
          <w:rFonts w:ascii="Times New Roman" w:hAnsi="Times New Roman" w:eastAsia="楷体"/>
          <w:sz w:val="32"/>
          <w:szCs w:val="32"/>
        </w:rPr>
        <w:t>更名为《</w:t>
      </w:r>
      <w:r>
        <w:rPr>
          <w:rFonts w:hint="eastAsia" w:ascii="Times New Roman" w:hAnsi="Times New Roman" w:eastAsia="楷体"/>
          <w:sz w:val="32"/>
          <w:szCs w:val="32"/>
        </w:rPr>
        <w:t>全国中小企业股份转让系统挂牌公司权益分派业务指南</w:t>
      </w:r>
      <w:r>
        <w:rPr>
          <w:rFonts w:ascii="Times New Roman" w:hAnsi="Times New Roman" w:eastAsia="楷体"/>
          <w:sz w:val="32"/>
          <w:szCs w:val="32"/>
        </w:rPr>
        <w:t>》</w:t>
      </w:r>
      <w:r>
        <w:rPr>
          <w:rFonts w:hint="eastAsia" w:ascii="Times New Roman" w:hAnsi="Times New Roman" w:eastAsia="楷体"/>
          <w:sz w:val="32"/>
          <w:szCs w:val="32"/>
        </w:rPr>
        <w:t>，</w:t>
      </w:r>
      <w:r>
        <w:rPr>
          <w:rFonts w:ascii="Times New Roman" w:hAnsi="Times New Roman" w:eastAsia="楷体"/>
          <w:sz w:val="32"/>
          <w:szCs w:val="32"/>
        </w:rPr>
        <w:t>2020</w:t>
      </w:r>
      <w:r>
        <w:rPr>
          <w:rFonts w:hint="eastAsia" w:ascii="Times New Roman" w:hAnsi="Times New Roman" w:eastAsia="楷体"/>
          <w:sz w:val="32"/>
          <w:szCs w:val="32"/>
        </w:rPr>
        <w:t>年</w:t>
      </w:r>
      <w:r>
        <w:rPr>
          <w:rFonts w:ascii="Times New Roman" w:hAnsi="Times New Roman" w:eastAsia="楷体"/>
          <w:sz w:val="32"/>
          <w:szCs w:val="32"/>
        </w:rPr>
        <w:t>9月29日第二次修订</w:t>
      </w:r>
      <w:r>
        <w:rPr>
          <w:rFonts w:hint="eastAsia" w:ascii="Times New Roman" w:hAnsi="Times New Roman" w:eastAsia="楷体"/>
          <w:sz w:val="32"/>
          <w:szCs w:val="32"/>
        </w:rPr>
        <w:t>，2023年12月22日</w:t>
      </w:r>
      <w:r>
        <w:rPr>
          <w:rFonts w:ascii="Times New Roman" w:hAnsi="Times New Roman" w:eastAsia="楷体"/>
          <w:sz w:val="32"/>
          <w:szCs w:val="32"/>
        </w:rPr>
        <w:t>第</w:t>
      </w:r>
      <w:r>
        <w:rPr>
          <w:rFonts w:hint="eastAsia" w:ascii="Times New Roman" w:hAnsi="Times New Roman" w:eastAsia="楷体"/>
          <w:sz w:val="32"/>
          <w:szCs w:val="32"/>
        </w:rPr>
        <w:t>三次</w:t>
      </w:r>
      <w:r>
        <w:rPr>
          <w:rFonts w:ascii="Times New Roman" w:hAnsi="Times New Roman" w:eastAsia="楷体"/>
          <w:sz w:val="32"/>
          <w:szCs w:val="32"/>
        </w:rPr>
        <w:t>修订）</w:t>
      </w:r>
    </w:p>
    <w:p>
      <w:pPr>
        <w:tabs>
          <w:tab w:val="center" w:pos="4365"/>
          <w:tab w:val="left" w:pos="6855"/>
        </w:tabs>
        <w:spacing w:line="600" w:lineRule="exact"/>
        <w:jc w:val="center"/>
        <w:rPr>
          <w:rFonts w:ascii="Times New Roman" w:hAnsi="Times New Roman" w:eastAsia="方正大标宋简体"/>
          <w:color w:val="000000" w:themeColor="text1"/>
          <w:sz w:val="44"/>
          <w:szCs w:val="42"/>
          <w14:textFill>
            <w14:solidFill>
              <w14:schemeClr w14:val="tx1"/>
            </w14:solidFill>
          </w14:textFill>
        </w:rPr>
      </w:pP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为规范挂牌公司权益分派业务办理行为，根据《全国</w:t>
      </w:r>
      <w:r>
        <w:rPr>
          <w:rFonts w:ascii="Times New Roman" w:hAnsi="Times New Roman" w:eastAsia="仿宋" w:cs="Times New Roman"/>
          <w:bCs/>
          <w:color w:val="000000" w:themeColor="text1"/>
          <w:sz w:val="32"/>
          <w:szCs w:val="32"/>
          <w14:textFill>
            <w14:solidFill>
              <w14:schemeClr w14:val="tx1"/>
            </w14:solidFill>
          </w14:textFill>
        </w:rPr>
        <w:t>中小企业股份转让系统挂牌公司持续监管指引第6</w:t>
      </w:r>
      <w:r>
        <w:rPr>
          <w:rFonts w:hint="eastAsia" w:ascii="Times New Roman" w:hAnsi="Times New Roman" w:eastAsia="仿宋" w:cs="Times New Roman"/>
          <w:bCs/>
          <w:color w:val="000000" w:themeColor="text1"/>
          <w:sz w:val="32"/>
          <w:szCs w:val="32"/>
          <w14:textFill>
            <w14:solidFill>
              <w14:schemeClr w14:val="tx1"/>
            </w14:solidFill>
          </w14:textFill>
        </w:rPr>
        <w:t>号——权益</w:t>
      </w:r>
      <w:r>
        <w:rPr>
          <w:rFonts w:ascii="Times New Roman" w:hAnsi="Times New Roman" w:eastAsia="仿宋" w:cs="Times New Roman"/>
          <w:bCs/>
          <w:color w:val="000000" w:themeColor="text1"/>
          <w:sz w:val="32"/>
          <w:szCs w:val="32"/>
          <w14:textFill>
            <w14:solidFill>
              <w14:schemeClr w14:val="tx1"/>
            </w14:solidFill>
          </w14:textFill>
        </w:rPr>
        <w:t>分派</w:t>
      </w:r>
      <w:r>
        <w:rPr>
          <w:rFonts w:hint="eastAsia" w:ascii="Times New Roman" w:hAnsi="Times New Roman" w:eastAsia="仿宋" w:cs="Times New Roman"/>
          <w:bCs/>
          <w:color w:val="000000" w:themeColor="text1"/>
          <w:sz w:val="32"/>
          <w:szCs w:val="32"/>
          <w14:textFill>
            <w14:solidFill>
              <w14:schemeClr w14:val="tx1"/>
            </w14:solidFill>
          </w14:textFill>
        </w:rPr>
        <w:t>》等有关规定，制定本指南。</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1</w:t>
      </w:r>
      <w:r>
        <w:rPr>
          <w:rFonts w:hint="eastAsia" w:ascii="Times New Roman" w:hAnsi="Times New Roman" w:eastAsia="黑体"/>
          <w:color w:val="000000" w:themeColor="text1"/>
          <w:sz w:val="32"/>
          <w:szCs w:val="32"/>
          <w14:textFill>
            <w14:solidFill>
              <w14:schemeClr w14:val="tx1"/>
            </w14:solidFill>
          </w14:textFill>
        </w:rPr>
        <w:t>．业务</w:t>
      </w:r>
      <w:r>
        <w:rPr>
          <w:rFonts w:hint="eastAsia" w:ascii="Times New Roman" w:hAnsi="Times New Roman" w:eastAsia="黑体" w:cs="Times New Roman"/>
          <w:color w:val="000000" w:themeColor="text1"/>
          <w:sz w:val="32"/>
          <w:szCs w:val="32"/>
          <w14:textFill>
            <w14:solidFill>
              <w14:schemeClr w14:val="tx1"/>
            </w14:solidFill>
          </w14:textFill>
        </w:rPr>
        <w:t>办理方式</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挂牌公司实施权益分派的股权登记日（以下简称R日）应当在股东大会审议通过权益分派方案后的2个月内，根据有关规定权益分派事项需经有权部门事前审批的除外。</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挂牌公司实施现金分红、送红股或以公积金转增股本的，原则上应当通过中国证券登记结算有限责任公司北京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（以下</w:t>
      </w:r>
      <w:r>
        <w:rPr>
          <w:rFonts w:ascii="Times New Roman" w:hAnsi="Times New Roman" w:eastAsia="仿宋" w:cs="Times New Roman"/>
          <w:bCs/>
          <w:color w:val="000000" w:themeColor="text1"/>
          <w:sz w:val="32"/>
          <w:szCs w:val="32"/>
          <w14:textFill>
            <w14:solidFill>
              <w14:schemeClr w14:val="tx1"/>
            </w14:solidFill>
          </w14:textFill>
        </w:rPr>
        <w:t>简称</w:t>
      </w:r>
      <w:r>
        <w:rPr>
          <w:rFonts w:hint="eastAsia" w:ascii="Times New Roman" w:hAnsi="Times New Roman" w:eastAsia="仿宋" w:cs="Times New Roman"/>
          <w:bCs/>
          <w:color w:val="000000" w:themeColor="text1"/>
          <w:sz w:val="32"/>
          <w:szCs w:val="32"/>
          <w14:textFill>
            <w14:solidFill>
              <w14:schemeClr w14:val="tx1"/>
            </w14:solidFill>
          </w14:textFill>
        </w:rPr>
        <w:t>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）进行分派，并通过主办券商向全国中小企业股份转让系统有限责任公司（以下简称全国股转公司）提交除权除息业务申请。挂牌公司确需自行派发全部现金红利的，应当通过主办券商</w:t>
      </w:r>
      <w:r>
        <w:rPr>
          <w:rFonts w:ascii="Times New Roman" w:hAnsi="Times New Roman" w:eastAsia="仿宋" w:cs="Times New Roman"/>
          <w:bCs/>
          <w:color w:val="000000" w:themeColor="text1"/>
          <w:sz w:val="32"/>
          <w:szCs w:val="32"/>
          <w14:textFill>
            <w14:solidFill>
              <w14:schemeClr w14:val="tx1"/>
            </w14:solidFill>
          </w14:textFill>
        </w:rPr>
        <w:t>向全国股转公司</w:t>
      </w:r>
      <w:r>
        <w:rPr>
          <w:rFonts w:hint="eastAsia" w:ascii="Times New Roman" w:hAnsi="Times New Roman" w:eastAsia="仿宋" w:cs="Times New Roman"/>
          <w:bCs/>
          <w:color w:val="000000" w:themeColor="text1"/>
          <w:sz w:val="32"/>
          <w:szCs w:val="32"/>
          <w14:textFill>
            <w14:solidFill>
              <w14:schemeClr w14:val="tx1"/>
            </w14:solidFill>
          </w14:textFill>
        </w:rPr>
        <w:t>提交除息业务申请。</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2</w:t>
      </w:r>
      <w:r>
        <w:rPr>
          <w:rFonts w:hint="eastAsia" w:ascii="Times New Roman" w:hAnsi="Times New Roman" w:eastAsia="黑体"/>
          <w:color w:val="000000" w:themeColor="text1"/>
          <w:sz w:val="32"/>
          <w:szCs w:val="32"/>
          <w14:textFill>
            <w14:solidFill>
              <w14:schemeClr w14:val="tx1"/>
            </w14:solidFill>
          </w14:textFill>
        </w:rPr>
        <w:t>．业务</w:t>
      </w:r>
      <w:r>
        <w:rPr>
          <w:rFonts w:hint="eastAsia" w:ascii="Times New Roman" w:hAnsi="Times New Roman" w:eastAsia="黑体" w:cs="Times New Roman"/>
          <w:color w:val="000000" w:themeColor="text1"/>
          <w:sz w:val="32"/>
          <w:szCs w:val="32"/>
          <w14:textFill>
            <w14:solidFill>
              <w14:schemeClr w14:val="tx1"/>
            </w14:solidFill>
          </w14:textFill>
        </w:rPr>
        <w:t>办理流程</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2.1</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通过中国结算北京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进行分派的，应当按以下流程申请办理权益分派业务：</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 xml:space="preserve">2.1.1 </w:t>
      </w:r>
      <w:r>
        <w:rPr>
          <w:rFonts w:hint="eastAsia" w:ascii="Times New Roman" w:hAnsi="Times New Roman" w:eastAsia="仿宋" w:cs="Times New Roman"/>
          <w:bCs/>
          <w:color w:val="000000" w:themeColor="text1"/>
          <w:sz w:val="32"/>
          <w:szCs w:val="32"/>
          <w14:textFill>
            <w14:solidFill>
              <w14:schemeClr w14:val="tx1"/>
            </w14:solidFill>
          </w14:textFill>
        </w:rPr>
        <w:t>按照《中国结算北京分公司全国股转系统证券发行人业务指南》（以下简称《发行人业务指南》）要求，在</w:t>
      </w:r>
      <w:r>
        <w:rPr>
          <w:rFonts w:ascii="Times New Roman" w:hAnsi="Times New Roman" w:eastAsia="仿宋" w:cs="Times New Roman"/>
          <w:bCs/>
          <w:color w:val="000000" w:themeColor="text1"/>
          <w:sz w:val="32"/>
          <w:szCs w:val="32"/>
          <w14:textFill>
            <w14:solidFill>
              <w14:schemeClr w14:val="tx1"/>
            </w14:solidFill>
          </w14:textFill>
        </w:rPr>
        <w:t>R-5</w:t>
      </w:r>
      <w:r>
        <w:rPr>
          <w:rFonts w:hint="eastAsia" w:ascii="Times New Roman" w:hAnsi="Times New Roman" w:eastAsia="仿宋" w:cs="Times New Roman"/>
          <w:bCs/>
          <w:color w:val="000000" w:themeColor="text1"/>
          <w:sz w:val="32"/>
          <w:szCs w:val="32"/>
          <w14:textFill>
            <w14:solidFill>
              <w14:schemeClr w14:val="tx1"/>
            </w14:solidFill>
          </w14:textFill>
        </w:rPr>
        <w:t>日前向中国结算北京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申请办理权益分派业务，填报相关信息并上传所需材料。</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 xml:space="preserve">2.1.2 </w:t>
      </w:r>
      <w:r>
        <w:rPr>
          <w:rFonts w:hint="eastAsia" w:ascii="Times New Roman" w:hAnsi="Times New Roman" w:eastAsia="仿宋" w:cs="Times New Roman"/>
          <w:bCs/>
          <w:color w:val="000000" w:themeColor="text1"/>
          <w:sz w:val="32"/>
          <w:szCs w:val="32"/>
          <w14:textFill>
            <w14:solidFill>
              <w14:schemeClr w14:val="tx1"/>
            </w14:solidFill>
          </w14:textFill>
        </w:rPr>
        <w:t>权益分派申请经中国结算北京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审核通过后，挂牌公司应当按照全国股转公司的临时公告格式模板编制权益分派实施公告。权益分派方案</w:t>
      </w:r>
      <w:r>
        <w:rPr>
          <w:rFonts w:ascii="Times New Roman" w:hAnsi="Times New Roman" w:eastAsia="仿宋" w:cs="Times New Roman"/>
          <w:bCs/>
          <w:color w:val="000000" w:themeColor="text1"/>
          <w:sz w:val="32"/>
          <w:szCs w:val="32"/>
          <w14:textFill>
            <w14:solidFill>
              <w14:schemeClr w14:val="tx1"/>
            </w14:solidFill>
          </w14:textFill>
        </w:rPr>
        <w:t>应</w:t>
      </w:r>
      <w:r>
        <w:rPr>
          <w:rFonts w:hint="eastAsia" w:ascii="Times New Roman" w:hAnsi="Times New Roman" w:eastAsia="仿宋" w:cs="Times New Roman"/>
          <w:bCs/>
          <w:color w:val="000000" w:themeColor="text1"/>
          <w:sz w:val="32"/>
          <w:szCs w:val="32"/>
          <w14:textFill>
            <w14:solidFill>
              <w14:schemeClr w14:val="tx1"/>
            </w14:solidFill>
          </w14:textFill>
        </w:rPr>
        <w:t>当以每10股表述派发现金红利、股票股利、公积金转增股本的比例，其中派发现金红利及送转股比例的总位数不能超过8位，小数位不能超过6位。</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如因股份回购等原因导致实施权益分派的股</w:t>
      </w:r>
      <w:r>
        <w:rPr>
          <w:rFonts w:hint="eastAsia" w:ascii="Times New Roman" w:hAnsi="Times New Roman" w:eastAsia="仿宋" w:cs="Times New Roman"/>
          <w:bCs/>
          <w:color w:val="000000" w:themeColor="text1"/>
          <w:sz w:val="32"/>
          <w:szCs w:val="32"/>
          <w:lang w:eastAsia="zh-CN"/>
          <w14:textFill>
            <w14:solidFill>
              <w14:schemeClr w14:val="tx1"/>
            </w14:solidFill>
          </w14:textFill>
        </w:rPr>
        <w:t>本</w:t>
      </w:r>
      <w:r>
        <w:rPr>
          <w:rFonts w:hint="eastAsia" w:ascii="Times New Roman" w:hAnsi="Times New Roman" w:eastAsia="仿宋" w:cs="Times New Roman"/>
          <w:bCs/>
          <w:color w:val="000000" w:themeColor="text1"/>
          <w:sz w:val="32"/>
          <w:szCs w:val="32"/>
          <w14:textFill>
            <w14:solidFill>
              <w14:schemeClr w14:val="tx1"/>
            </w14:solidFill>
          </w14:textFill>
        </w:rPr>
        <w:t>基数与总股本不一致的，挂牌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应当在公告中披露不参与权益分派的股份数量及按总股本折算的除权除息参数（保留</w:t>
      </w:r>
      <w:r>
        <w:rPr>
          <w:rFonts w:ascii="Times New Roman" w:hAnsi="Times New Roman" w:eastAsia="仿宋" w:cs="Times New Roman"/>
          <w:bCs/>
          <w:color w:val="000000" w:themeColor="text1"/>
          <w:sz w:val="32"/>
          <w:szCs w:val="32"/>
          <w14:textFill>
            <w14:solidFill>
              <w14:schemeClr w14:val="tx1"/>
            </w14:solidFill>
          </w14:textFill>
        </w:rPr>
        <w:t>7</w:t>
      </w:r>
      <w:r>
        <w:rPr>
          <w:rFonts w:hint="eastAsia" w:ascii="Times New Roman" w:hAnsi="Times New Roman" w:eastAsia="仿宋" w:cs="Times New Roman"/>
          <w:bCs/>
          <w:color w:val="000000" w:themeColor="text1"/>
          <w:sz w:val="32"/>
          <w:szCs w:val="32"/>
          <w14:textFill>
            <w14:solidFill>
              <w14:schemeClr w14:val="tx1"/>
            </w14:solidFill>
          </w14:textFill>
        </w:rPr>
        <w:t>位小数）、除权除息参考价等内容。</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 xml:space="preserve">2.1.3 </w:t>
      </w:r>
      <w:r>
        <w:rPr>
          <w:rFonts w:hint="eastAsia" w:ascii="Times New Roman" w:hAnsi="Times New Roman" w:eastAsia="仿宋" w:cs="Times New Roman"/>
          <w:bCs/>
          <w:color w:val="000000" w:themeColor="text1"/>
          <w:sz w:val="32"/>
          <w:szCs w:val="32"/>
          <w14:textFill>
            <w14:solidFill>
              <w14:schemeClr w14:val="tx1"/>
            </w14:solidFill>
          </w14:textFill>
        </w:rPr>
        <w:t>挂牌公司应当于</w:t>
      </w:r>
      <w:r>
        <w:rPr>
          <w:rFonts w:ascii="Times New Roman" w:hAnsi="Times New Roman" w:eastAsia="仿宋" w:cs="Times New Roman"/>
          <w:bCs/>
          <w:color w:val="000000" w:themeColor="text1"/>
          <w:sz w:val="32"/>
          <w:szCs w:val="32"/>
          <w14:textFill>
            <w14:solidFill>
              <w14:schemeClr w14:val="tx1"/>
            </w14:solidFill>
          </w14:textFill>
        </w:rPr>
        <w:t>R-4</w:t>
      </w:r>
      <w:r>
        <w:rPr>
          <w:rFonts w:hint="eastAsia" w:ascii="Times New Roman" w:hAnsi="Times New Roman" w:eastAsia="仿宋" w:cs="Times New Roman"/>
          <w:bCs/>
          <w:color w:val="000000" w:themeColor="text1"/>
          <w:sz w:val="32"/>
          <w:szCs w:val="32"/>
          <w14:textFill>
            <w14:solidFill>
              <w14:schemeClr w14:val="tx1"/>
            </w14:solidFill>
          </w14:textFill>
        </w:rPr>
        <w:t>日前通过主办券商向全国</w:t>
      </w:r>
      <w:r>
        <w:rPr>
          <w:rFonts w:ascii="Times New Roman" w:hAnsi="Times New Roman" w:eastAsia="仿宋" w:cs="Times New Roman"/>
          <w:bCs/>
          <w:color w:val="000000" w:themeColor="text1"/>
          <w:sz w:val="32"/>
          <w:szCs w:val="32"/>
          <w14:textFill>
            <w14:solidFill>
              <w14:schemeClr w14:val="tx1"/>
            </w14:solidFill>
          </w14:textFill>
        </w:rPr>
        <w:t>股转公司</w:t>
      </w:r>
      <w:r>
        <w:rPr>
          <w:rFonts w:hint="eastAsia" w:ascii="Times New Roman" w:hAnsi="Times New Roman" w:eastAsia="仿宋" w:cs="Times New Roman"/>
          <w:bCs/>
          <w:color w:val="000000" w:themeColor="text1"/>
          <w:sz w:val="32"/>
          <w:szCs w:val="32"/>
          <w14:textFill>
            <w14:solidFill>
              <w14:schemeClr w14:val="tx1"/>
            </w14:solidFill>
          </w14:textFill>
        </w:rPr>
        <w:t>提交除权除息业务申请，业务申请文件包括《权益分派实施公告》、《</w:t>
      </w:r>
      <w:r>
        <w:rPr>
          <w:rFonts w:hint="eastAsia" w:ascii="Times New Roman" w:hAnsi="Times New Roman" w:eastAsia="仿宋" w:cs="Times New Roman"/>
          <w:sz w:val="32"/>
          <w:szCs w:val="32"/>
        </w:rPr>
        <w:t>主办</w:t>
      </w:r>
      <w:r>
        <w:rPr>
          <w:rFonts w:ascii="Times New Roman" w:hAnsi="Times New Roman" w:eastAsia="仿宋" w:cs="Times New Roman"/>
          <w:sz w:val="32"/>
          <w:szCs w:val="32"/>
        </w:rPr>
        <w:t>券商关于挂牌公司实施权益分派的专项意见</w:t>
      </w:r>
      <w:r>
        <w:rPr>
          <w:rFonts w:hint="eastAsia" w:ascii="Times New Roman" w:hAnsi="Times New Roman" w:eastAsia="仿宋" w:cs="Times New Roman"/>
          <w:bCs/>
          <w:color w:val="000000" w:themeColor="text1"/>
          <w:sz w:val="32"/>
          <w:szCs w:val="32"/>
          <w14:textFill>
            <w14:solidFill>
              <w14:schemeClr w14:val="tx1"/>
            </w14:solidFill>
          </w14:textFill>
        </w:rPr>
        <w:t>》（附件1）、 《主办券商关于挂牌公司现金分红的专项意见》（附件2，如适用）及全国股转公司要求的其他文件。</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挂牌公司披露的《权益分派实施公告》应当与经中国结算北京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审查的公告一致。如不一致，挂牌公司应当于</w:t>
      </w:r>
      <w:r>
        <w:rPr>
          <w:rFonts w:ascii="Times New Roman" w:hAnsi="Times New Roman" w:eastAsia="仿宋" w:cs="Times New Roman"/>
          <w:bCs/>
          <w:color w:val="000000" w:themeColor="text1"/>
          <w:sz w:val="32"/>
          <w:szCs w:val="32"/>
          <w14:textFill>
            <w14:solidFill>
              <w14:schemeClr w14:val="tx1"/>
            </w14:solidFill>
          </w14:textFill>
        </w:rPr>
        <w:t>R-3</w:t>
      </w:r>
      <w:r>
        <w:rPr>
          <w:rFonts w:hint="eastAsia" w:ascii="Times New Roman" w:hAnsi="Times New Roman" w:eastAsia="仿宋" w:cs="Times New Roman"/>
          <w:bCs/>
          <w:color w:val="000000" w:themeColor="text1"/>
          <w:sz w:val="32"/>
          <w:szCs w:val="32"/>
          <w14:textFill>
            <w14:solidFill>
              <w14:schemeClr w14:val="tx1"/>
            </w14:solidFill>
          </w14:textFill>
        </w:rPr>
        <w:t>日</w:t>
      </w:r>
      <w:r>
        <w:rPr>
          <w:rFonts w:ascii="Times New Roman" w:hAnsi="Times New Roman" w:eastAsia="仿宋" w:cs="Times New Roman"/>
          <w:bCs/>
          <w:color w:val="000000" w:themeColor="text1"/>
          <w:sz w:val="32"/>
          <w:szCs w:val="32"/>
          <w14:textFill>
            <w14:solidFill>
              <w14:schemeClr w14:val="tx1"/>
            </w14:solidFill>
          </w14:textFill>
        </w:rPr>
        <w:t>20:00</w:t>
      </w:r>
      <w:r>
        <w:rPr>
          <w:rFonts w:hint="eastAsia" w:ascii="Times New Roman" w:hAnsi="Times New Roman" w:eastAsia="仿宋" w:cs="Times New Roman"/>
          <w:bCs/>
          <w:color w:val="000000" w:themeColor="text1"/>
          <w:sz w:val="32"/>
          <w:szCs w:val="32"/>
          <w14:textFill>
            <w14:solidFill>
              <w14:schemeClr w14:val="tx1"/>
            </w14:solidFill>
          </w14:textFill>
        </w:rPr>
        <w:t>前更正《权益分派实施公告》，并与全国股转公司联系修改业务申请。特殊情况下无法更正的，应当及时与中国结算北京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及全国股转公司联系。</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 xml:space="preserve">2.1.4 </w:t>
      </w:r>
      <w:r>
        <w:rPr>
          <w:rFonts w:hint="eastAsia" w:ascii="Times New Roman" w:hAnsi="Times New Roman" w:eastAsia="仿宋" w:cs="Times New Roman"/>
          <w:bCs/>
          <w:color w:val="000000" w:themeColor="text1"/>
          <w:sz w:val="32"/>
          <w:szCs w:val="32"/>
          <w14:textFill>
            <w14:solidFill>
              <w14:schemeClr w14:val="tx1"/>
            </w14:solidFill>
          </w14:textFill>
        </w:rPr>
        <w:t>挂牌公司应当在</w:t>
      </w:r>
      <w:r>
        <w:rPr>
          <w:rFonts w:ascii="Times New Roman" w:hAnsi="Times New Roman" w:eastAsia="仿宋" w:cs="Times New Roman"/>
          <w:bCs/>
          <w:color w:val="000000" w:themeColor="text1"/>
          <w:sz w:val="32"/>
          <w:szCs w:val="32"/>
          <w14:textFill>
            <w14:solidFill>
              <w14:schemeClr w14:val="tx1"/>
            </w14:solidFill>
          </w14:textFill>
        </w:rPr>
        <w:t>R-1</w:t>
      </w:r>
      <w:r>
        <w:rPr>
          <w:rFonts w:hint="eastAsia" w:ascii="Times New Roman" w:hAnsi="Times New Roman" w:eastAsia="仿宋" w:cs="Times New Roman"/>
          <w:bCs/>
          <w:color w:val="000000" w:themeColor="text1"/>
          <w:sz w:val="32"/>
          <w:szCs w:val="32"/>
          <w14:textFill>
            <w14:solidFill>
              <w14:schemeClr w14:val="tx1"/>
            </w14:solidFill>
          </w14:textFill>
        </w:rPr>
        <w:t>日</w:t>
      </w:r>
      <w:r>
        <w:rPr>
          <w:rFonts w:ascii="Times New Roman" w:hAnsi="Times New Roman" w:eastAsia="仿宋" w:cs="Times New Roman"/>
          <w:bCs/>
          <w:color w:val="000000" w:themeColor="text1"/>
          <w:sz w:val="32"/>
          <w:szCs w:val="32"/>
          <w14:textFill>
            <w14:solidFill>
              <w14:schemeClr w14:val="tx1"/>
            </w14:solidFill>
          </w14:textFill>
        </w:rPr>
        <w:t>12:00</w:t>
      </w:r>
      <w:r>
        <w:rPr>
          <w:rFonts w:hint="eastAsia" w:ascii="Times New Roman" w:hAnsi="Times New Roman" w:eastAsia="仿宋" w:cs="Times New Roman"/>
          <w:bCs/>
          <w:color w:val="000000" w:themeColor="text1"/>
          <w:sz w:val="32"/>
          <w:szCs w:val="32"/>
          <w14:textFill>
            <w14:solidFill>
              <w14:schemeClr w14:val="tx1"/>
            </w14:solidFill>
          </w14:textFill>
        </w:rPr>
        <w:t>前按照《发行人业务指南》的要求做好权益分派相关款项的划拨工作。</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2.1.5 R+1</w:t>
      </w:r>
      <w:r>
        <w:rPr>
          <w:rFonts w:hint="eastAsia" w:ascii="Times New Roman" w:hAnsi="Times New Roman" w:eastAsia="仿宋" w:cs="Times New Roman"/>
          <w:bCs/>
          <w:color w:val="000000" w:themeColor="text1"/>
          <w:sz w:val="32"/>
          <w:szCs w:val="32"/>
          <w14:textFill>
            <w14:solidFill>
              <w14:schemeClr w14:val="tx1"/>
            </w14:solidFill>
          </w14:textFill>
        </w:rPr>
        <w:t>日（即除权除息日），中国结算北京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派发现金红利、登记送转股，挂牌公司完成权益分派，全国股转公司完成除权除息。</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 xml:space="preserve">2.2 </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拟自行派发全部现金红利的</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应当通过主办券商向全国股转公司提交除息业务申请，业务申请文件包括《权益分派实施公告》、《</w:t>
      </w:r>
      <w:r>
        <w:rPr>
          <w:rFonts w:hint="eastAsia" w:ascii="Times New Roman" w:hAnsi="Times New Roman" w:eastAsia="仿宋" w:cs="Times New Roman"/>
          <w:sz w:val="32"/>
          <w:szCs w:val="32"/>
        </w:rPr>
        <w:t>主办</w:t>
      </w:r>
      <w:r>
        <w:rPr>
          <w:rFonts w:ascii="Times New Roman" w:hAnsi="Times New Roman" w:eastAsia="仿宋" w:cs="Times New Roman"/>
          <w:sz w:val="32"/>
          <w:szCs w:val="32"/>
        </w:rPr>
        <w:t>券商关于挂牌公司实施权益分派的专项意见</w:t>
      </w:r>
      <w:r>
        <w:rPr>
          <w:rFonts w:hint="eastAsia" w:ascii="Times New Roman" w:hAnsi="Times New Roman" w:eastAsia="仿宋" w:cs="Times New Roman"/>
          <w:bCs/>
          <w:color w:val="000000" w:themeColor="text1"/>
          <w:sz w:val="32"/>
          <w:szCs w:val="32"/>
          <w14:textFill>
            <w14:solidFill>
              <w14:schemeClr w14:val="tx1"/>
            </w14:solidFill>
          </w14:textFill>
        </w:rPr>
        <w:t>》（附件1）、 《主办券商关于挂牌公司现金分红的专项意见》（附件2，如适用）、《</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公司自行派发现金</w:t>
      </w:r>
      <w:r>
        <w:rPr>
          <w:rFonts w:hint="eastAsia" w:ascii="Times New Roman" w:hAnsi="Times New Roman" w:eastAsia="仿宋" w:cs="Times New Roman"/>
          <w:sz w:val="32"/>
          <w:szCs w:val="32"/>
        </w:rPr>
        <w:t>红利</w:t>
      </w:r>
      <w:r>
        <w:rPr>
          <w:rFonts w:ascii="Times New Roman" w:hAnsi="Times New Roman" w:eastAsia="仿宋" w:cs="Times New Roman"/>
          <w:sz w:val="32"/>
          <w:szCs w:val="32"/>
        </w:rPr>
        <w:t>的情况说明</w:t>
      </w:r>
      <w:r>
        <w:rPr>
          <w:rFonts w:hint="eastAsia" w:ascii="Times New Roman" w:hAnsi="Times New Roman" w:eastAsia="仿宋" w:cs="Times New Roman"/>
          <w:bCs/>
          <w:color w:val="000000" w:themeColor="text1"/>
          <w:sz w:val="32"/>
          <w:szCs w:val="32"/>
          <w14:textFill>
            <w14:solidFill>
              <w14:schemeClr w14:val="tx1"/>
            </w14:solidFill>
          </w14:textFill>
        </w:rPr>
        <w:t>》（附件</w:t>
      </w:r>
      <w:r>
        <w:rPr>
          <w:rFonts w:ascii="Times New Roman" w:hAnsi="Times New Roman" w:eastAsia="仿宋" w:cs="Times New Roman"/>
          <w:bCs/>
          <w:color w:val="000000" w:themeColor="text1"/>
          <w:sz w:val="32"/>
          <w:szCs w:val="32"/>
          <w14:textFill>
            <w14:solidFill>
              <w14:schemeClr w14:val="tx1"/>
            </w14:solidFill>
          </w14:textFill>
        </w:rPr>
        <w:t>3</w:t>
      </w:r>
      <w:r>
        <w:rPr>
          <w:rFonts w:hint="eastAsia" w:ascii="Times New Roman" w:hAnsi="Times New Roman" w:eastAsia="仿宋" w:cs="Times New Roman"/>
          <w:bCs/>
          <w:color w:val="000000" w:themeColor="text1"/>
          <w:sz w:val="32"/>
          <w:szCs w:val="32"/>
          <w14:textFill>
            <w14:solidFill>
              <w14:schemeClr w14:val="tx1"/>
            </w14:solidFill>
          </w14:textFill>
        </w:rPr>
        <w:t>）及全国股转公司要求的其他文件。</w:t>
      </w:r>
      <w:r>
        <w:rPr>
          <w:rFonts w:ascii="Times New Roman" w:hAnsi="Times New Roman" w:eastAsia="仿宋" w:cs="Times New Roman"/>
          <w:bCs/>
          <w:color w:val="000000" w:themeColor="text1"/>
          <w:sz w:val="32"/>
          <w:szCs w:val="32"/>
          <w14:textFill>
            <w14:solidFill>
              <w14:schemeClr w14:val="tx1"/>
            </w14:solidFill>
          </w14:textFill>
        </w:rPr>
        <w:t>挂牌公司</w:t>
      </w:r>
      <w:r>
        <w:rPr>
          <w:rFonts w:hint="eastAsia" w:ascii="Times New Roman" w:hAnsi="Times New Roman" w:eastAsia="仿宋" w:cs="Times New Roman"/>
          <w:bCs/>
          <w:color w:val="000000" w:themeColor="text1"/>
          <w:sz w:val="32"/>
          <w:szCs w:val="32"/>
          <w14:textFill>
            <w14:solidFill>
              <w14:schemeClr w14:val="tx1"/>
            </w14:solidFill>
          </w14:textFill>
        </w:rPr>
        <w:t>于</w:t>
      </w:r>
      <w:r>
        <w:rPr>
          <w:rFonts w:ascii="Times New Roman" w:hAnsi="Times New Roman" w:eastAsia="仿宋" w:cs="Times New Roman"/>
          <w:bCs/>
          <w:color w:val="000000" w:themeColor="text1"/>
          <w:sz w:val="32"/>
          <w:szCs w:val="32"/>
          <w14:textFill>
            <w14:solidFill>
              <w14:schemeClr w14:val="tx1"/>
            </w14:solidFill>
          </w14:textFill>
        </w:rPr>
        <w:t>R+1</w:t>
      </w:r>
      <w:r>
        <w:rPr>
          <w:rFonts w:hint="eastAsia" w:ascii="Times New Roman" w:hAnsi="Times New Roman" w:eastAsia="仿宋" w:cs="Times New Roman"/>
          <w:bCs/>
          <w:color w:val="000000" w:themeColor="text1"/>
          <w:sz w:val="32"/>
          <w:szCs w:val="32"/>
          <w14:textFill>
            <w14:solidFill>
              <w14:schemeClr w14:val="tx1"/>
            </w14:solidFill>
          </w14:textFill>
        </w:rPr>
        <w:t>日完成现金红利派发，全国股转公司完成除息。</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2.3</w:t>
      </w:r>
      <w:r>
        <w:rPr>
          <w:rFonts w:hint="eastAsia" w:ascii="Times New Roman" w:hAnsi="Times New Roman" w:eastAsia="仿宋" w:cs="Times New Roman"/>
          <w:bCs/>
          <w:color w:val="000000" w:themeColor="text1"/>
          <w:sz w:val="32"/>
          <w:szCs w:val="32"/>
          <w14:textFill>
            <w14:solidFill>
              <w14:schemeClr w14:val="tx1"/>
            </w14:solidFill>
          </w14:textFill>
        </w:rPr>
        <w:t>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如未能按照中国结算北京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规定的时间完成相关款项的划拨或因其他合理原因决定延期实施权益分派的，应当及时与中国结算北京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及全国股转公司联系，并最晚于</w:t>
      </w:r>
      <w:r>
        <w:rPr>
          <w:rFonts w:ascii="Times New Roman" w:hAnsi="Times New Roman" w:eastAsia="仿宋" w:cs="Times New Roman"/>
          <w:bCs/>
          <w:color w:val="000000" w:themeColor="text1"/>
          <w:sz w:val="32"/>
          <w:szCs w:val="32"/>
          <w14:textFill>
            <w14:solidFill>
              <w14:schemeClr w14:val="tx1"/>
            </w14:solidFill>
          </w14:textFill>
        </w:rPr>
        <w:t>R-1</w:t>
      </w:r>
      <w:r>
        <w:rPr>
          <w:rFonts w:hint="eastAsia" w:ascii="Times New Roman" w:hAnsi="Times New Roman" w:eastAsia="仿宋" w:cs="Times New Roman"/>
          <w:bCs/>
          <w:color w:val="000000" w:themeColor="text1"/>
          <w:sz w:val="32"/>
          <w:szCs w:val="32"/>
          <w14:textFill>
            <w14:solidFill>
              <w14:schemeClr w14:val="tx1"/>
            </w14:solidFill>
          </w14:textFill>
        </w:rPr>
        <w:t>日披露权益分派延期实施公告。如未能按时披露延期实施公告，应当向全国股转公司申请股票自</w:t>
      </w:r>
      <w:r>
        <w:rPr>
          <w:rFonts w:ascii="Times New Roman" w:hAnsi="Times New Roman" w:eastAsia="仿宋" w:cs="Times New Roman"/>
          <w:bCs/>
          <w:color w:val="000000" w:themeColor="text1"/>
          <w:sz w:val="32"/>
          <w:szCs w:val="32"/>
          <w14:textFill>
            <w14:solidFill>
              <w14:schemeClr w14:val="tx1"/>
            </w14:solidFill>
          </w14:textFill>
        </w:rPr>
        <w:t>R</w:t>
      </w:r>
      <w:r>
        <w:rPr>
          <w:rFonts w:hint="eastAsia" w:ascii="Times New Roman" w:hAnsi="Times New Roman" w:eastAsia="仿宋" w:cs="Times New Roman"/>
          <w:bCs/>
          <w:color w:val="000000" w:themeColor="text1"/>
          <w:sz w:val="32"/>
          <w:szCs w:val="32"/>
          <w14:textFill>
            <w14:solidFill>
              <w14:schemeClr w14:val="tx1"/>
            </w14:solidFill>
          </w14:textFill>
        </w:rPr>
        <w:t>日开市起停牌，并于披露延期实施公告后向全国股转公司申请股票复牌。</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widowControl/>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1. 主办</w:t>
      </w:r>
      <w:r>
        <w:rPr>
          <w:rFonts w:ascii="Times New Roman" w:hAnsi="Times New Roman" w:eastAsia="仿宋" w:cs="Times New Roman"/>
          <w:sz w:val="32"/>
          <w:szCs w:val="32"/>
        </w:rPr>
        <w:t>券商关于挂牌公司实施权益分派的专项意见</w:t>
      </w:r>
    </w:p>
    <w:p>
      <w:pPr>
        <w:widowControl/>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主办券商关于挂牌公司现金分红的专项意见</w:t>
      </w:r>
    </w:p>
    <w:p>
      <w:pPr>
        <w:widowControl/>
        <w:spacing w:line="600" w:lineRule="exact"/>
        <w:ind w:firstLine="1600" w:firstLineChars="5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挂牌</w:t>
      </w:r>
      <w:r>
        <w:rPr>
          <w:rFonts w:ascii="Times New Roman" w:hAnsi="Times New Roman" w:eastAsia="仿宋" w:cs="Times New Roman"/>
          <w:sz w:val="32"/>
          <w:szCs w:val="32"/>
        </w:rPr>
        <w:t>公司自行派发现金</w:t>
      </w:r>
      <w:r>
        <w:rPr>
          <w:rFonts w:hint="eastAsia" w:ascii="Times New Roman" w:hAnsi="Times New Roman" w:eastAsia="仿宋" w:cs="Times New Roman"/>
          <w:sz w:val="32"/>
          <w:szCs w:val="32"/>
        </w:rPr>
        <w:t>红利</w:t>
      </w:r>
      <w:r>
        <w:rPr>
          <w:rFonts w:ascii="Times New Roman" w:hAnsi="Times New Roman" w:eastAsia="仿宋" w:cs="Times New Roman"/>
          <w:sz w:val="32"/>
          <w:szCs w:val="32"/>
        </w:rPr>
        <w:t>的情况说明</w:t>
      </w:r>
    </w:p>
    <w:p>
      <w:pPr>
        <w:spacing w:line="600"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br w:type="page"/>
      </w:r>
    </w:p>
    <w:p>
      <w:pPr>
        <w:rPr>
          <w:rFonts w:ascii="Times New Roman" w:hAnsi="Times New Roman" w:eastAsia="黑体"/>
          <w:sz w:val="32"/>
        </w:rPr>
      </w:pPr>
      <w:r>
        <w:rPr>
          <w:rFonts w:ascii="Times New Roman" w:hAnsi="Times New Roman" w:eastAsia="黑体"/>
          <w:sz w:val="32"/>
        </w:rPr>
        <w:t>附件1</w:t>
      </w:r>
    </w:p>
    <w:p>
      <w:pPr>
        <w:jc w:val="center"/>
        <w:rPr>
          <w:rFonts w:ascii="方正大标宋简体" w:eastAsia="方正大标宋简体"/>
          <w:sz w:val="40"/>
          <w:szCs w:val="40"/>
        </w:rPr>
      </w:pPr>
      <w:r>
        <w:rPr>
          <w:rFonts w:hint="eastAsia" w:ascii="方正大标宋简体" w:eastAsia="方正大标宋简体"/>
          <w:sz w:val="40"/>
          <w:szCs w:val="40"/>
        </w:rPr>
        <w:t>主办券商关于挂牌公司实施权益分派的专项意见</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挂牌</w:t>
      </w:r>
      <w:r>
        <w:rPr>
          <w:rFonts w:ascii="黑体" w:hAnsi="黑体" w:eastAsia="黑体"/>
          <w:sz w:val="32"/>
          <w:szCs w:val="32"/>
        </w:rPr>
        <w:t>公司</w:t>
      </w:r>
      <w:r>
        <w:rPr>
          <w:rFonts w:hint="eastAsia" w:ascii="黑体" w:hAnsi="黑体" w:eastAsia="黑体"/>
          <w:sz w:val="32"/>
          <w:szCs w:val="32"/>
        </w:rPr>
        <w:t>权益分派方案概述</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XX公司X年度</w:t>
      </w:r>
      <w:r>
        <w:rPr>
          <w:rFonts w:ascii="Times New Roman" w:hAnsi="Times New Roman" w:eastAsia="仿宋"/>
          <w:sz w:val="32"/>
          <w:szCs w:val="32"/>
        </w:rPr>
        <w:t>/</w:t>
      </w:r>
      <w:r>
        <w:rPr>
          <w:rFonts w:hint="eastAsia" w:ascii="Times New Roman" w:hAnsi="Times New Roman" w:eastAsia="仿宋"/>
          <w:sz w:val="32"/>
          <w:szCs w:val="32"/>
        </w:rPr>
        <w:t>半年度</w:t>
      </w:r>
      <w:r>
        <w:rPr>
          <w:rFonts w:ascii="Times New Roman" w:hAnsi="Times New Roman" w:eastAsia="仿宋"/>
          <w:sz w:val="32"/>
          <w:szCs w:val="32"/>
        </w:rPr>
        <w:t>/</w:t>
      </w:r>
      <w:r>
        <w:rPr>
          <w:rFonts w:hint="eastAsia" w:ascii="Times New Roman" w:hAnsi="Times New Roman" w:eastAsia="仿宋"/>
          <w:sz w:val="32"/>
          <w:szCs w:val="32"/>
        </w:rPr>
        <w:t>季度</w:t>
      </w:r>
      <w:r>
        <w:rPr>
          <w:rFonts w:ascii="Times New Roman" w:hAnsi="Times New Roman" w:eastAsia="仿宋"/>
          <w:sz w:val="32"/>
          <w:szCs w:val="32"/>
        </w:rPr>
        <w:t>权益分派方案</w:t>
      </w:r>
      <w:r>
        <w:rPr>
          <w:rFonts w:hint="eastAsia" w:ascii="Times New Roman" w:hAnsi="Times New Roman" w:eastAsia="仿宋"/>
          <w:sz w:val="32"/>
          <w:szCs w:val="32"/>
        </w:rPr>
        <w:t>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345"/>
        <w:gridCol w:w="68"/>
        <w:gridCol w:w="963"/>
        <w:gridCol w:w="455"/>
        <w:gridCol w:w="850"/>
        <w:gridCol w:w="141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总股本（股）</w:t>
            </w:r>
          </w:p>
        </w:tc>
        <w:tc>
          <w:tcPr>
            <w:tcW w:w="6736" w:type="dxa"/>
            <w:gridSpan w:val="7"/>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参与分派股数（股）</w:t>
            </w:r>
          </w:p>
        </w:tc>
        <w:tc>
          <w:tcPr>
            <w:tcW w:w="6736" w:type="dxa"/>
            <w:gridSpan w:val="7"/>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Merge w:val="restart"/>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未分配利润（元）</w:t>
            </w:r>
          </w:p>
        </w:tc>
        <w:tc>
          <w:tcPr>
            <w:tcW w:w="1413" w:type="dxa"/>
            <w:gridSpan w:val="2"/>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合并报表适用</w:t>
            </w:r>
          </w:p>
        </w:tc>
        <w:tc>
          <w:tcPr>
            <w:tcW w:w="5323" w:type="dxa"/>
            <w:gridSpan w:val="5"/>
            <w:vAlign w:val="center"/>
          </w:tcPr>
          <w:p>
            <w:pPr>
              <w:rPr>
                <w:rFonts w:ascii="Times New Roman" w:hAnsi="Times New Roman" w:eastAsia="仿宋"/>
                <w:bCs/>
                <w:sz w:val="24"/>
                <w:szCs w:val="24"/>
              </w:rPr>
            </w:pPr>
            <w:r>
              <w:rPr>
                <w:rFonts w:hint="eastAsia" w:ascii="Times New Roman" w:hAnsi="Times New Roman" w:eastAsia="仿宋"/>
                <w:bCs/>
                <w:sz w:val="24"/>
                <w:szCs w:val="24"/>
              </w:rPr>
              <w:t>归属于母公司的未分配利润为（）元，母公司未分配利润为（）元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4" w:type="dxa"/>
            <w:vMerge w:val="continue"/>
            <w:vAlign w:val="center"/>
          </w:tcPr>
          <w:p>
            <w:pPr>
              <w:jc w:val="center"/>
              <w:rPr>
                <w:rFonts w:ascii="Times New Roman" w:hAnsi="Times New Roman" w:eastAsia="仿宋"/>
                <w:b/>
                <w:sz w:val="24"/>
                <w:szCs w:val="24"/>
              </w:rPr>
            </w:pPr>
          </w:p>
        </w:tc>
        <w:tc>
          <w:tcPr>
            <w:tcW w:w="1413" w:type="dxa"/>
            <w:gridSpan w:val="2"/>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单体报表适用</w:t>
            </w:r>
          </w:p>
        </w:tc>
        <w:tc>
          <w:tcPr>
            <w:tcW w:w="5323" w:type="dxa"/>
            <w:gridSpan w:val="5"/>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每1</w:t>
            </w:r>
            <w:r>
              <w:rPr>
                <w:rFonts w:ascii="Times New Roman" w:hAnsi="Times New Roman" w:eastAsia="仿宋"/>
                <w:b/>
                <w:sz w:val="24"/>
                <w:szCs w:val="24"/>
              </w:rPr>
              <w:t>0</w:t>
            </w:r>
            <w:r>
              <w:rPr>
                <w:rFonts w:hint="eastAsia" w:ascii="Times New Roman" w:hAnsi="Times New Roman" w:eastAsia="仿宋"/>
                <w:b/>
                <w:sz w:val="24"/>
                <w:szCs w:val="24"/>
              </w:rPr>
              <w:t>股派现金额（元）</w:t>
            </w:r>
          </w:p>
        </w:tc>
        <w:tc>
          <w:tcPr>
            <w:tcW w:w="6736" w:type="dxa"/>
            <w:gridSpan w:val="7"/>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每1</w:t>
            </w:r>
            <w:r>
              <w:rPr>
                <w:rFonts w:ascii="Times New Roman" w:hAnsi="Times New Roman" w:eastAsia="仿宋"/>
                <w:b/>
                <w:sz w:val="24"/>
                <w:szCs w:val="24"/>
              </w:rPr>
              <w:t>0</w:t>
            </w:r>
            <w:r>
              <w:rPr>
                <w:rFonts w:hint="eastAsia" w:ascii="Times New Roman" w:hAnsi="Times New Roman" w:eastAsia="仿宋"/>
                <w:b/>
                <w:sz w:val="24"/>
                <w:szCs w:val="24"/>
              </w:rPr>
              <w:t>股派送红股数（股）</w:t>
            </w:r>
          </w:p>
        </w:tc>
        <w:tc>
          <w:tcPr>
            <w:tcW w:w="6736" w:type="dxa"/>
            <w:gridSpan w:val="7"/>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现金分红及派送红股总额（元）</w:t>
            </w:r>
          </w:p>
        </w:tc>
        <w:tc>
          <w:tcPr>
            <w:tcW w:w="6736" w:type="dxa"/>
            <w:gridSpan w:val="7"/>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984" w:type="dxa"/>
            <w:vMerge w:val="restart"/>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母公司公积金（元）</w:t>
            </w:r>
          </w:p>
        </w:tc>
        <w:tc>
          <w:tcPr>
            <w:tcW w:w="1345" w:type="dxa"/>
            <w:vMerge w:val="restart"/>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母公司资本公积（元）</w:t>
            </w:r>
          </w:p>
        </w:tc>
        <w:tc>
          <w:tcPr>
            <w:tcW w:w="1486" w:type="dxa"/>
            <w:gridSpan w:val="3"/>
            <w:vMerge w:val="restart"/>
            <w:vAlign w:val="center"/>
          </w:tcPr>
          <w:p>
            <w:pPr>
              <w:jc w:val="center"/>
              <w:rPr>
                <w:rFonts w:ascii="Times New Roman" w:hAnsi="Times New Roman" w:eastAsia="仿宋"/>
                <w:bCs/>
                <w:sz w:val="24"/>
                <w:szCs w:val="24"/>
              </w:rPr>
            </w:pPr>
          </w:p>
        </w:tc>
        <w:tc>
          <w:tcPr>
            <w:tcW w:w="2268" w:type="dxa"/>
            <w:gridSpan w:val="2"/>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股票发行溢价形成的资本公积（元）</w:t>
            </w:r>
          </w:p>
        </w:tc>
        <w:tc>
          <w:tcPr>
            <w:tcW w:w="1637" w:type="dxa"/>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984" w:type="dxa"/>
            <w:vMerge w:val="continue"/>
            <w:vAlign w:val="center"/>
          </w:tcPr>
          <w:p>
            <w:pPr>
              <w:jc w:val="center"/>
              <w:rPr>
                <w:rFonts w:ascii="Times New Roman" w:hAnsi="Times New Roman" w:eastAsia="仿宋"/>
                <w:b/>
                <w:sz w:val="24"/>
                <w:szCs w:val="24"/>
              </w:rPr>
            </w:pPr>
          </w:p>
        </w:tc>
        <w:tc>
          <w:tcPr>
            <w:tcW w:w="1345" w:type="dxa"/>
            <w:vMerge w:val="continue"/>
            <w:vAlign w:val="center"/>
          </w:tcPr>
          <w:p>
            <w:pPr>
              <w:jc w:val="center"/>
              <w:rPr>
                <w:rFonts w:ascii="Times New Roman" w:hAnsi="Times New Roman" w:eastAsia="仿宋"/>
                <w:bCs/>
                <w:sz w:val="24"/>
                <w:szCs w:val="24"/>
              </w:rPr>
            </w:pPr>
          </w:p>
        </w:tc>
        <w:tc>
          <w:tcPr>
            <w:tcW w:w="1486" w:type="dxa"/>
            <w:gridSpan w:val="3"/>
            <w:vMerge w:val="continue"/>
            <w:vAlign w:val="center"/>
          </w:tcPr>
          <w:p>
            <w:pPr>
              <w:jc w:val="center"/>
              <w:rPr>
                <w:rFonts w:ascii="Times New Roman" w:hAnsi="Times New Roman" w:eastAsia="仿宋"/>
                <w:bCs/>
                <w:sz w:val="24"/>
                <w:szCs w:val="24"/>
              </w:rPr>
            </w:pPr>
          </w:p>
        </w:tc>
        <w:tc>
          <w:tcPr>
            <w:tcW w:w="2268" w:type="dxa"/>
            <w:gridSpan w:val="2"/>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其他资本公积（元）</w:t>
            </w:r>
          </w:p>
        </w:tc>
        <w:tc>
          <w:tcPr>
            <w:tcW w:w="1637" w:type="dxa"/>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984" w:type="dxa"/>
            <w:vMerge w:val="continue"/>
            <w:vAlign w:val="center"/>
          </w:tcPr>
          <w:p>
            <w:pPr>
              <w:jc w:val="center"/>
              <w:rPr>
                <w:rFonts w:ascii="Times New Roman" w:hAnsi="Times New Roman" w:eastAsia="仿宋"/>
                <w:b/>
                <w:sz w:val="24"/>
                <w:szCs w:val="24"/>
              </w:rPr>
            </w:pPr>
          </w:p>
        </w:tc>
        <w:tc>
          <w:tcPr>
            <w:tcW w:w="3681" w:type="dxa"/>
            <w:gridSpan w:val="5"/>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母公司盈余公积（元）</w:t>
            </w:r>
          </w:p>
        </w:tc>
        <w:tc>
          <w:tcPr>
            <w:tcW w:w="3055" w:type="dxa"/>
            <w:gridSpan w:val="2"/>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Merge w:val="restart"/>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每1</w:t>
            </w:r>
            <w:r>
              <w:rPr>
                <w:rFonts w:ascii="Times New Roman" w:hAnsi="Times New Roman" w:eastAsia="仿宋"/>
                <w:b/>
                <w:sz w:val="24"/>
                <w:szCs w:val="24"/>
              </w:rPr>
              <w:t>0</w:t>
            </w:r>
            <w:r>
              <w:rPr>
                <w:rFonts w:hint="eastAsia" w:ascii="Times New Roman" w:hAnsi="Times New Roman" w:eastAsia="仿宋"/>
                <w:b/>
                <w:sz w:val="24"/>
                <w:szCs w:val="24"/>
              </w:rPr>
              <w:t>股转增股数（股）</w:t>
            </w:r>
          </w:p>
        </w:tc>
        <w:tc>
          <w:tcPr>
            <w:tcW w:w="1345" w:type="dxa"/>
            <w:vMerge w:val="restart"/>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以母公司资本公积为来源（股）</w:t>
            </w:r>
          </w:p>
        </w:tc>
        <w:tc>
          <w:tcPr>
            <w:tcW w:w="3754" w:type="dxa"/>
            <w:gridSpan w:val="5"/>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以股票发行溢价形成的资本公积为来源（股）</w:t>
            </w:r>
          </w:p>
        </w:tc>
        <w:tc>
          <w:tcPr>
            <w:tcW w:w="1637" w:type="dxa"/>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Merge w:val="continue"/>
            <w:vAlign w:val="center"/>
          </w:tcPr>
          <w:p>
            <w:pPr>
              <w:jc w:val="center"/>
              <w:rPr>
                <w:rFonts w:ascii="Times New Roman" w:hAnsi="Times New Roman" w:eastAsia="仿宋"/>
                <w:b/>
                <w:sz w:val="24"/>
                <w:szCs w:val="24"/>
              </w:rPr>
            </w:pPr>
          </w:p>
        </w:tc>
        <w:tc>
          <w:tcPr>
            <w:tcW w:w="1345" w:type="dxa"/>
            <w:vMerge w:val="continue"/>
            <w:vAlign w:val="center"/>
          </w:tcPr>
          <w:p>
            <w:pPr>
              <w:jc w:val="center"/>
              <w:rPr>
                <w:rFonts w:ascii="Times New Roman" w:hAnsi="Times New Roman" w:eastAsia="仿宋"/>
                <w:bCs/>
                <w:sz w:val="24"/>
                <w:szCs w:val="24"/>
              </w:rPr>
            </w:pPr>
          </w:p>
        </w:tc>
        <w:tc>
          <w:tcPr>
            <w:tcW w:w="3754" w:type="dxa"/>
            <w:gridSpan w:val="5"/>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以其他资本公积为来源（股）</w:t>
            </w:r>
          </w:p>
        </w:tc>
        <w:tc>
          <w:tcPr>
            <w:tcW w:w="1637" w:type="dxa"/>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Merge w:val="continue"/>
            <w:vAlign w:val="center"/>
          </w:tcPr>
          <w:p>
            <w:pPr>
              <w:jc w:val="center"/>
              <w:rPr>
                <w:rFonts w:ascii="Times New Roman" w:hAnsi="Times New Roman" w:eastAsia="仿宋"/>
                <w:b/>
                <w:sz w:val="24"/>
                <w:szCs w:val="24"/>
              </w:rPr>
            </w:pPr>
          </w:p>
        </w:tc>
        <w:tc>
          <w:tcPr>
            <w:tcW w:w="3681" w:type="dxa"/>
            <w:gridSpan w:val="5"/>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以母公司盈余公积为来源（股）</w:t>
            </w:r>
          </w:p>
        </w:tc>
        <w:tc>
          <w:tcPr>
            <w:tcW w:w="3055" w:type="dxa"/>
            <w:gridSpan w:val="2"/>
            <w:vAlign w:val="center"/>
          </w:tcPr>
          <w:p>
            <w:pPr>
              <w:jc w:val="center"/>
              <w:rPr>
                <w:rFonts w:ascii="Times New Roman" w:hAnsi="Times New Roman"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转增股本总额（元）</w:t>
            </w:r>
          </w:p>
        </w:tc>
        <w:tc>
          <w:tcPr>
            <w:tcW w:w="6736" w:type="dxa"/>
            <w:gridSpan w:val="7"/>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8"/>
            <w:vAlign w:val="center"/>
          </w:tcPr>
          <w:p>
            <w:pPr>
              <w:jc w:val="center"/>
              <w:rPr>
                <w:rFonts w:ascii="Times New Roman" w:hAnsi="Times New Roman" w:eastAsia="仿宋"/>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（未以总股本为基数实施或存在其他差异化安排的，</w:t>
            </w:r>
            <w:r>
              <w:rPr>
                <w:rFonts w:ascii="Times New Roman" w:hAnsi="Times New Roman" w:eastAsia="仿宋"/>
                <w:sz w:val="24"/>
                <w:szCs w:val="24"/>
              </w:rPr>
              <w:t>请</w:t>
            </w:r>
            <w:r>
              <w:rPr>
                <w:rFonts w:hint="eastAsia" w:ascii="Times New Roman" w:hAnsi="Times New Roman" w:eastAsia="仿宋"/>
                <w:sz w:val="24"/>
                <w:szCs w:val="24"/>
              </w:rPr>
              <w:t>在此</w:t>
            </w:r>
            <w:r>
              <w:rPr>
                <w:rFonts w:ascii="Times New Roman" w:hAnsi="Times New Roman" w:eastAsia="仿宋"/>
                <w:sz w:val="24"/>
                <w:szCs w:val="24"/>
              </w:rPr>
              <w:t>处</w:t>
            </w:r>
            <w:r>
              <w:rPr>
                <w:rFonts w:hint="eastAsia" w:ascii="Times New Roman" w:hAnsi="Times New Roman" w:eastAsia="仿宋"/>
                <w:sz w:val="24"/>
                <w:szCs w:val="24"/>
              </w:rPr>
              <w:t>详细</w:t>
            </w:r>
            <w:r>
              <w:rPr>
                <w:rFonts w:ascii="Times New Roman" w:hAnsi="Times New Roman" w:eastAsia="仿宋"/>
                <w:sz w:val="24"/>
                <w:szCs w:val="24"/>
              </w:rPr>
              <w:t>说明</w:t>
            </w:r>
            <w:r>
              <w:rPr>
                <w:rFonts w:hint="eastAsia" w:ascii="Times New Roman" w:hAnsi="Times New Roman" w:eastAsia="仿宋"/>
                <w:sz w:val="24"/>
                <w:szCs w:val="24"/>
              </w:rPr>
              <w:t>理由）</w:t>
            </w:r>
          </w:p>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gridSpan w:val="4"/>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股权登记日</w:t>
            </w:r>
          </w:p>
        </w:tc>
        <w:tc>
          <w:tcPr>
            <w:tcW w:w="4360" w:type="dxa"/>
            <w:gridSpan w:val="4"/>
            <w:vAlign w:val="center"/>
          </w:tcPr>
          <w:p>
            <w:pPr>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gridSpan w:val="4"/>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除权除息日</w:t>
            </w:r>
          </w:p>
        </w:tc>
        <w:tc>
          <w:tcPr>
            <w:tcW w:w="4360" w:type="dxa"/>
            <w:gridSpan w:val="4"/>
            <w:vAlign w:val="center"/>
          </w:tcPr>
          <w:p>
            <w:pPr>
              <w:jc w:val="center"/>
              <w:rPr>
                <w:rFonts w:ascii="Times New Roman" w:hAnsi="Times New Roman" w:eastAsia="仿宋"/>
                <w:sz w:val="24"/>
                <w:szCs w:val="24"/>
              </w:rPr>
            </w:pPr>
          </w:p>
        </w:tc>
      </w:tr>
    </w:tbl>
    <w:p>
      <w:pPr>
        <w:rPr>
          <w:rFonts w:ascii="Times New Roman" w:hAnsi="Times New Roman" w:eastAsia="仿宋"/>
          <w:sz w:val="24"/>
          <w:szCs w:val="24"/>
        </w:rPr>
      </w:pPr>
      <w:r>
        <w:rPr>
          <w:rFonts w:hint="eastAsia" w:ascii="Times New Roman" w:hAnsi="Times New Roman" w:eastAsia="仿宋"/>
          <w:sz w:val="24"/>
          <w:szCs w:val="24"/>
        </w:rPr>
        <w:t>注：可根据实际情况删除表格中不适用内容。</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主办券商意见</w:t>
      </w:r>
    </w:p>
    <w:p>
      <w:pPr>
        <w:ind w:firstLine="640" w:firstLineChars="200"/>
        <w:rPr>
          <w:rFonts w:ascii="Times New Roman" w:hAnsi="Times New Roman" w:eastAsia="仿宋"/>
          <w:bCs/>
          <w:sz w:val="32"/>
          <w:szCs w:val="32"/>
        </w:rPr>
      </w:pPr>
      <w:r>
        <w:rPr>
          <w:rFonts w:hint="eastAsia" w:ascii="Times New Roman" w:hAnsi="Times New Roman" w:eastAsia="仿宋"/>
          <w:bCs/>
          <w:sz w:val="32"/>
          <w:szCs w:val="32"/>
        </w:rPr>
        <w:t>1、是否</w:t>
      </w:r>
      <w:r>
        <w:rPr>
          <w:rFonts w:ascii="Times New Roman" w:hAnsi="Times New Roman" w:eastAsia="仿宋"/>
          <w:bCs/>
          <w:sz w:val="32"/>
          <w:szCs w:val="32"/>
        </w:rPr>
        <w:t>存在超额分配情形</w:t>
      </w:r>
      <w:r>
        <w:rPr>
          <w:rFonts w:hint="eastAsia" w:ascii="Times New Roman" w:hAnsi="Times New Roman" w:eastAsia="仿宋"/>
          <w:bCs/>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按照合并报表和母公司报表中可供分配利润孰低的原则）</w:t>
      </w:r>
      <w:r>
        <w:rPr>
          <w:rFonts w:hint="eastAsia" w:ascii="Times New Roman" w:hAnsi="Times New Roman" w:eastAsia="仿宋"/>
          <w:bCs/>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□不存在/□存在</w:t>
      </w:r>
      <w:r>
        <w:rPr>
          <w:rFonts w:hint="eastAsia" w:ascii="Times New Roman" w:hAnsi="Times New Roman" w:eastAsia="仿宋"/>
          <w:bCs/>
          <w:sz w:val="32"/>
          <w:szCs w:val="32"/>
        </w:rPr>
        <w:t>）</w:t>
      </w:r>
    </w:p>
    <w:p>
      <w:pPr>
        <w:ind w:firstLine="640" w:firstLineChars="200"/>
        <w:rPr>
          <w:rFonts w:ascii="Times New Roman" w:hAnsi="Times New Roman" w:eastAsia="仿宋"/>
          <w:bCs/>
          <w:sz w:val="32"/>
          <w:szCs w:val="32"/>
        </w:rPr>
      </w:pPr>
      <w:r>
        <w:rPr>
          <w:rFonts w:hint="eastAsia" w:ascii="Times New Roman" w:hAnsi="Times New Roman" w:eastAsia="仿宋"/>
          <w:bCs/>
          <w:sz w:val="32"/>
          <w:szCs w:val="32"/>
        </w:rPr>
        <w:t>2、挂牌</w:t>
      </w:r>
      <w:r>
        <w:rPr>
          <w:rFonts w:ascii="Times New Roman" w:hAnsi="Times New Roman" w:eastAsia="仿宋"/>
          <w:bCs/>
          <w:sz w:val="32"/>
          <w:szCs w:val="32"/>
        </w:rPr>
        <w:t>公司股东大会审议通过该权益分派方案前披露最新一期</w:t>
      </w:r>
      <w:r>
        <w:rPr>
          <w:rFonts w:hint="eastAsia" w:ascii="Times New Roman" w:hAnsi="Times New Roman" w:eastAsia="仿宋"/>
          <w:bCs/>
          <w:sz w:val="32"/>
          <w:szCs w:val="32"/>
        </w:rPr>
        <w:t>定期报告</w:t>
      </w:r>
      <w:r>
        <w:rPr>
          <w:rFonts w:ascii="Times New Roman" w:hAnsi="Times New Roman" w:eastAsia="仿宋"/>
          <w:bCs/>
          <w:sz w:val="32"/>
          <w:szCs w:val="32"/>
        </w:rPr>
        <w:t>的，</w:t>
      </w:r>
      <w:r>
        <w:rPr>
          <w:rFonts w:hint="eastAsia" w:ascii="Times New Roman" w:hAnsi="Times New Roman" w:eastAsia="仿宋"/>
          <w:bCs/>
          <w:sz w:val="32"/>
          <w:szCs w:val="32"/>
        </w:rPr>
        <w:t>权益分派</w:t>
      </w:r>
      <w:r>
        <w:rPr>
          <w:rFonts w:ascii="Times New Roman" w:hAnsi="Times New Roman" w:eastAsia="仿宋"/>
          <w:bCs/>
          <w:sz w:val="32"/>
          <w:szCs w:val="32"/>
        </w:rPr>
        <w:t>方案</w:t>
      </w:r>
      <w:r>
        <w:rPr>
          <w:rFonts w:hint="eastAsia" w:ascii="Times New Roman" w:hAnsi="Times New Roman" w:eastAsia="仿宋"/>
          <w:bCs/>
          <w:sz w:val="32"/>
          <w:szCs w:val="32"/>
        </w:rPr>
        <w:t>应当不超过</w:t>
      </w:r>
      <w:r>
        <w:rPr>
          <w:rFonts w:ascii="Times New Roman" w:hAnsi="Times New Roman" w:eastAsia="仿宋"/>
          <w:bCs/>
          <w:sz w:val="32"/>
          <w:szCs w:val="32"/>
        </w:rPr>
        <w:t>最新一期</w:t>
      </w:r>
      <w:r>
        <w:rPr>
          <w:rFonts w:hint="eastAsia" w:ascii="Times New Roman" w:hAnsi="Times New Roman" w:eastAsia="仿宋"/>
          <w:bCs/>
          <w:sz w:val="32"/>
          <w:szCs w:val="32"/>
        </w:rPr>
        <w:t>定期报告</w:t>
      </w:r>
      <w:r>
        <w:rPr>
          <w:rFonts w:ascii="Times New Roman" w:hAnsi="Times New Roman" w:eastAsia="仿宋"/>
          <w:bCs/>
          <w:sz w:val="32"/>
          <w:szCs w:val="32"/>
        </w:rPr>
        <w:t>可供分配利润及公积金。</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□是/□否/□不适用</w:t>
      </w:r>
      <w:r>
        <w:rPr>
          <w:rFonts w:ascii="Times New Roman" w:hAnsi="Times New Roman" w:eastAsia="仿宋" w:cs="Times New Roman"/>
          <w:bCs/>
          <w:color w:val="000000" w:themeColor="text1"/>
          <w:sz w:val="32"/>
          <w:szCs w:val="32"/>
          <w14:textFill>
            <w14:solidFill>
              <w14:schemeClr w14:val="tx1"/>
            </w14:solidFill>
          </w14:textFill>
        </w:rPr>
        <w:t>）</w:t>
      </w:r>
    </w:p>
    <w:p>
      <w:pPr>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hint="eastAsia" w:ascii="Times New Roman" w:hAnsi="Times New Roman" w:eastAsia="仿宋"/>
          <w:bCs/>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挂牌公司最近一年（期）财务会计</w:t>
      </w:r>
      <w:r>
        <w:rPr>
          <w:rFonts w:ascii="Times New Roman" w:hAnsi="Times New Roman" w:eastAsia="仿宋" w:cs="Times New Roman"/>
          <w:bCs/>
          <w:color w:val="000000" w:themeColor="text1"/>
          <w:sz w:val="32"/>
          <w:szCs w:val="32"/>
          <w14:textFill>
            <w14:solidFill>
              <w14:schemeClr w14:val="tx1"/>
            </w14:solidFill>
          </w14:textFill>
        </w:rPr>
        <w:t>报告</w:t>
      </w:r>
      <w:r>
        <w:rPr>
          <w:rFonts w:hint="eastAsia" w:ascii="Times New Roman" w:hAnsi="Times New Roman" w:eastAsia="仿宋" w:cs="Times New Roman"/>
          <w:bCs/>
          <w:color w:val="000000" w:themeColor="text1"/>
          <w:sz w:val="32"/>
          <w:szCs w:val="32"/>
          <w14:textFill>
            <w14:solidFill>
              <w14:schemeClr w14:val="tx1"/>
            </w14:solidFill>
          </w14:textFill>
        </w:rPr>
        <w:t>是否被会计师事务所出具否定意见或无法表示意见。</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□否/□是</w:t>
      </w:r>
      <w:r>
        <w:rPr>
          <w:rFonts w:ascii="Times New Roman" w:hAnsi="Times New Roman" w:eastAsia="仿宋" w:cs="Times New Roman"/>
          <w:bCs/>
          <w:color w:val="000000" w:themeColor="text1"/>
          <w:sz w:val="32"/>
          <w:szCs w:val="32"/>
          <w14:textFill>
            <w14:solidFill>
              <w14:schemeClr w14:val="tx1"/>
            </w14:solidFill>
          </w14:textFill>
        </w:rPr>
        <w:t>）</w:t>
      </w:r>
    </w:p>
    <w:p>
      <w:pPr>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bCs/>
          <w:sz w:val="32"/>
          <w:szCs w:val="32"/>
        </w:rPr>
        <w:t>4</w:t>
      </w:r>
      <w:r>
        <w:rPr>
          <w:rFonts w:hint="eastAsia" w:ascii="Times New Roman" w:hAnsi="Times New Roman" w:eastAsia="仿宋"/>
          <w:bCs/>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挂牌公司是否存在资金占用等权益被控股股东、实际控制人</w:t>
      </w:r>
      <w:r>
        <w:rPr>
          <w:rFonts w:hint="eastAsia" w:ascii="Times New Roman" w:hAnsi="Times New Roman" w:eastAsia="仿宋" w:cs="Times New Roman"/>
          <w:bCs/>
          <w:color w:val="000000" w:themeColor="text1"/>
          <w:sz w:val="32"/>
          <w:szCs w:val="32"/>
          <w:lang w:eastAsia="zh-CN"/>
          <w14:textFill>
            <w14:solidFill>
              <w14:schemeClr w14:val="tx1"/>
            </w14:solidFill>
          </w14:textFill>
        </w:rPr>
        <w:t>及其控制的企业</w:t>
      </w:r>
      <w:r>
        <w:rPr>
          <w:rFonts w:hint="eastAsia" w:ascii="Times New Roman" w:hAnsi="Times New Roman" w:eastAsia="仿宋" w:cs="Times New Roman"/>
          <w:bCs/>
          <w:color w:val="000000" w:themeColor="text1"/>
          <w:sz w:val="32"/>
          <w:szCs w:val="32"/>
          <w14:textFill>
            <w14:solidFill>
              <w14:schemeClr w14:val="tx1"/>
            </w14:solidFill>
          </w14:textFill>
        </w:rPr>
        <w:t>严重损害等情形。</w:t>
      </w:r>
      <w:r>
        <w:rPr>
          <w:rFonts w:hint="eastAsia" w:ascii="Times New Roman" w:hAnsi="Times New Roman" w:eastAsia="仿宋"/>
          <w:bCs/>
          <w:sz w:val="32"/>
          <w:szCs w:val="32"/>
        </w:rPr>
        <w:t>（</w:t>
      </w:r>
      <w:r>
        <w:rPr>
          <w:rFonts w:hint="eastAsia" w:ascii="Times New Roman" w:hAnsi="Times New Roman" w:eastAsia="仿宋" w:cs="Times New Roman"/>
          <w:bCs/>
          <w:color w:val="000000" w:themeColor="text1"/>
          <w:sz w:val="32"/>
          <w:szCs w:val="32"/>
          <w14:textFill>
            <w14:solidFill>
              <w14:schemeClr w14:val="tx1"/>
            </w14:solidFill>
          </w14:textFill>
        </w:rPr>
        <w:t>□不存在/□存在）（若存在</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应当说明相关情形是否已完成整改或责任</w:t>
      </w:r>
      <w:r>
        <w:rPr>
          <w:rFonts w:ascii="Times New Roman" w:hAnsi="Times New Roman" w:eastAsia="仿宋" w:cs="Times New Roman"/>
          <w:bCs/>
          <w:color w:val="000000" w:themeColor="text1"/>
          <w:sz w:val="32"/>
          <w:szCs w:val="32"/>
          <w14:textFill>
            <w14:solidFill>
              <w14:schemeClr w14:val="tx1"/>
            </w14:solidFill>
          </w14:textFill>
        </w:rPr>
        <w:t>主体</w:t>
      </w:r>
      <w:r>
        <w:rPr>
          <w:rFonts w:hint="eastAsia" w:ascii="Times New Roman" w:hAnsi="Times New Roman" w:eastAsia="仿宋" w:cs="Times New Roman"/>
          <w:bCs/>
          <w:color w:val="000000" w:themeColor="text1"/>
          <w:sz w:val="32"/>
          <w:szCs w:val="32"/>
          <w14:textFill>
            <w14:solidFill>
              <w14:schemeClr w14:val="tx1"/>
            </w14:solidFill>
          </w14:textFill>
        </w:rPr>
        <w:t>是否做出取得现金红利后归还占用资金的公开</w:t>
      </w:r>
      <w:r>
        <w:rPr>
          <w:rFonts w:ascii="Times New Roman" w:hAnsi="Times New Roman" w:eastAsia="仿宋" w:cs="Times New Roman"/>
          <w:bCs/>
          <w:color w:val="000000" w:themeColor="text1"/>
          <w:sz w:val="32"/>
          <w:szCs w:val="32"/>
          <w14:textFill>
            <w14:solidFill>
              <w14:schemeClr w14:val="tx1"/>
            </w14:solidFill>
          </w14:textFill>
        </w:rPr>
        <w:t>承诺</w:t>
      </w:r>
      <w:r>
        <w:rPr>
          <w:rFonts w:hint="eastAsia" w:ascii="Times New Roman" w:hAnsi="Times New Roman" w:eastAsia="仿宋" w:cs="Times New Roman"/>
          <w:bCs/>
          <w:color w:val="000000" w:themeColor="text1"/>
          <w:sz w:val="32"/>
          <w:szCs w:val="32"/>
          <w14:textFill>
            <w14:solidFill>
              <w14:schemeClr w14:val="tx1"/>
            </w14:solidFill>
          </w14:textFill>
        </w:rPr>
        <w:t>）</w:t>
      </w:r>
    </w:p>
    <w:p>
      <w:pPr>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5</w:t>
      </w:r>
      <w:r>
        <w:rPr>
          <w:rFonts w:hint="eastAsia" w:ascii="Times New Roman" w:hAnsi="Times New Roman" w:eastAsia="仿宋" w:cs="Times New Roman"/>
          <w:bCs/>
          <w:color w:val="000000" w:themeColor="text1"/>
          <w:sz w:val="32"/>
          <w:szCs w:val="32"/>
          <w14:textFill>
            <w14:solidFill>
              <w14:schemeClr w14:val="tx1"/>
            </w14:solidFill>
          </w14:textFill>
        </w:rPr>
        <w:t>、</w:t>
      </w:r>
      <w:r>
        <w:rPr>
          <w:rFonts w:ascii="Times New Roman" w:hAnsi="Times New Roman" w:eastAsia="仿宋" w:cs="Times New Roman"/>
          <w:bCs/>
          <w:color w:val="000000" w:themeColor="text1"/>
          <w:sz w:val="32"/>
          <w:szCs w:val="32"/>
          <w14:textFill>
            <w14:solidFill>
              <w14:schemeClr w14:val="tx1"/>
            </w14:solidFill>
          </w14:textFill>
        </w:rPr>
        <w:t>已提醒</w:t>
      </w:r>
      <w:r>
        <w:rPr>
          <w:rFonts w:hint="eastAsia" w:ascii="Times New Roman" w:hAnsi="Times New Roman" w:eastAsia="仿宋" w:cs="Times New Roman"/>
          <w:bCs/>
          <w:color w:val="000000" w:themeColor="text1"/>
          <w:sz w:val="32"/>
          <w:szCs w:val="32"/>
          <w14:textFill>
            <w14:solidFill>
              <w14:schemeClr w14:val="tx1"/>
            </w14:solidFill>
          </w14:textFill>
        </w:rPr>
        <w:t>挂</w:t>
      </w:r>
      <w:r>
        <w:rPr>
          <w:rFonts w:ascii="Times New Roman" w:hAnsi="Times New Roman" w:eastAsia="仿宋" w:cs="Times New Roman"/>
          <w:bCs/>
          <w:color w:val="000000" w:themeColor="text1"/>
          <w:sz w:val="32"/>
          <w:szCs w:val="32"/>
          <w14:textFill>
            <w14:solidFill>
              <w14:schemeClr w14:val="tx1"/>
            </w14:solidFill>
          </w14:textFill>
        </w:rPr>
        <w:t>牌公司</w:t>
      </w:r>
      <w:r>
        <w:rPr>
          <w:rFonts w:hint="eastAsia" w:ascii="Times New Roman" w:hAnsi="Times New Roman" w:eastAsia="仿宋" w:cs="Times New Roman"/>
          <w:bCs/>
          <w:color w:val="000000" w:themeColor="text1"/>
          <w:sz w:val="32"/>
          <w:szCs w:val="32"/>
          <w14:textFill>
            <w14:solidFill>
              <w14:schemeClr w14:val="tx1"/>
            </w14:solidFill>
          </w14:textFill>
        </w:rPr>
        <w:t>：自派股东所持股份存在质押或司法冻结股息红利情形的，应当按照相关约定或法院通知等要求派发现金红利</w:t>
      </w:r>
      <w:r>
        <w:rPr>
          <w:rFonts w:hint="eastAsia" w:ascii="Times New Roman" w:hAnsi="Times New Roman" w:eastAsia="仿宋"/>
          <w:bCs/>
          <w:sz w:val="32"/>
          <w:szCs w:val="32"/>
        </w:rPr>
        <w:t>。已</w:t>
      </w:r>
      <w:r>
        <w:rPr>
          <w:rFonts w:ascii="Times New Roman" w:hAnsi="Times New Roman" w:eastAsia="仿宋"/>
          <w:bCs/>
          <w:sz w:val="32"/>
          <w:szCs w:val="32"/>
        </w:rPr>
        <w:t>督促挂牌公司</w:t>
      </w:r>
      <w:r>
        <w:rPr>
          <w:rFonts w:ascii="Times New Roman" w:hAnsi="Times New Roman" w:eastAsia="仿宋" w:cs="Times New Roman"/>
          <w:bCs/>
          <w:color w:val="000000" w:themeColor="text1"/>
          <w:sz w:val="32"/>
          <w:szCs w:val="32"/>
          <w14:textFill>
            <w14:solidFill>
              <w14:schemeClr w14:val="tx1"/>
            </w14:solidFill>
          </w14:textFill>
        </w:rPr>
        <w:t>在除权除息日</w:t>
      </w:r>
      <w:r>
        <w:rPr>
          <w:rFonts w:hint="eastAsia" w:ascii="Times New Roman" w:hAnsi="Times New Roman" w:eastAsia="仿宋"/>
          <w:bCs/>
          <w:sz w:val="32"/>
          <w:szCs w:val="32"/>
        </w:rPr>
        <w:t>完成</w:t>
      </w:r>
      <w:r>
        <w:rPr>
          <w:rFonts w:ascii="Times New Roman" w:hAnsi="Times New Roman" w:eastAsia="仿宋"/>
          <w:bCs/>
          <w:sz w:val="32"/>
          <w:szCs w:val="32"/>
        </w:rPr>
        <w:t>对</w:t>
      </w:r>
      <w:r>
        <w:rPr>
          <w:rFonts w:hint="eastAsia" w:ascii="Times New Roman" w:hAnsi="Times New Roman" w:eastAsia="仿宋"/>
          <w:bCs/>
          <w:sz w:val="32"/>
          <w:szCs w:val="32"/>
        </w:rPr>
        <w:t>自派股</w:t>
      </w:r>
      <w:r>
        <w:rPr>
          <w:rFonts w:ascii="Times New Roman" w:hAnsi="Times New Roman" w:eastAsia="仿宋"/>
          <w:bCs/>
          <w:sz w:val="32"/>
          <w:szCs w:val="32"/>
        </w:rPr>
        <w:t>东</w:t>
      </w:r>
      <w:r>
        <w:rPr>
          <w:rFonts w:hint="eastAsia" w:ascii="Times New Roman" w:hAnsi="Times New Roman" w:eastAsia="仿宋"/>
          <w:bCs/>
          <w:sz w:val="32"/>
          <w:szCs w:val="32"/>
        </w:rPr>
        <w:t>的</w:t>
      </w:r>
      <w:r>
        <w:rPr>
          <w:rFonts w:ascii="Times New Roman" w:hAnsi="Times New Roman" w:eastAsia="仿宋"/>
          <w:bCs/>
          <w:sz w:val="32"/>
          <w:szCs w:val="32"/>
        </w:rPr>
        <w:t>现金红利</w:t>
      </w:r>
      <w:r>
        <w:rPr>
          <w:rFonts w:hint="eastAsia" w:ascii="Times New Roman" w:hAnsi="Times New Roman" w:eastAsia="仿宋"/>
          <w:bCs/>
          <w:sz w:val="32"/>
          <w:szCs w:val="32"/>
        </w:rPr>
        <w:t>派发</w:t>
      </w:r>
      <w:r>
        <w:rPr>
          <w:rFonts w:ascii="Times New Roman" w:hAnsi="Times New Roman" w:eastAsia="仿宋"/>
          <w:bCs/>
          <w:sz w:val="32"/>
          <w:szCs w:val="32"/>
        </w:rPr>
        <w:t>工作</w:t>
      </w:r>
      <w:r>
        <w:rPr>
          <w:rFonts w:hint="eastAsia" w:ascii="Times New Roman" w:hAnsi="Times New Roman" w:eastAsia="仿宋"/>
          <w:bCs/>
          <w:sz w:val="32"/>
          <w:szCs w:val="32"/>
        </w:rPr>
        <w:t>，并</w:t>
      </w:r>
      <w:r>
        <w:rPr>
          <w:rFonts w:ascii="Times New Roman" w:hAnsi="Times New Roman" w:eastAsia="仿宋"/>
          <w:bCs/>
          <w:sz w:val="32"/>
          <w:szCs w:val="32"/>
        </w:rPr>
        <w:t>在除权除息日次一交易日内</w:t>
      </w:r>
      <w:r>
        <w:rPr>
          <w:rFonts w:hint="eastAsia" w:ascii="Times New Roman" w:hAnsi="Times New Roman" w:eastAsia="仿宋"/>
          <w:bCs/>
          <w:sz w:val="32"/>
          <w:szCs w:val="32"/>
        </w:rPr>
        <w:t>向</w:t>
      </w:r>
      <w:r>
        <w:rPr>
          <w:rFonts w:ascii="Times New Roman" w:hAnsi="Times New Roman" w:eastAsia="仿宋"/>
          <w:bCs/>
          <w:sz w:val="32"/>
          <w:szCs w:val="32"/>
        </w:rPr>
        <w:t>主办券商提交</w:t>
      </w:r>
      <w:r>
        <w:rPr>
          <w:rFonts w:hint="eastAsia" w:ascii="Times New Roman" w:hAnsi="Times New Roman" w:eastAsia="仿宋"/>
          <w:bCs/>
          <w:sz w:val="32"/>
          <w:szCs w:val="32"/>
        </w:rPr>
        <w:t>已全部</w:t>
      </w:r>
      <w:r>
        <w:rPr>
          <w:rFonts w:ascii="Times New Roman" w:hAnsi="Times New Roman" w:eastAsia="仿宋"/>
          <w:bCs/>
          <w:sz w:val="32"/>
          <w:szCs w:val="32"/>
        </w:rPr>
        <w:t>派发完毕的证明材料。</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□是/□否/□不适用</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（存在自派</w:t>
      </w:r>
      <w:r>
        <w:rPr>
          <w:rFonts w:ascii="Times New Roman" w:hAnsi="Times New Roman" w:eastAsia="仿宋" w:cs="Times New Roman"/>
          <w:bCs/>
          <w:color w:val="000000" w:themeColor="text1"/>
          <w:sz w:val="32"/>
          <w:szCs w:val="32"/>
          <w14:textFill>
            <w14:solidFill>
              <w14:schemeClr w14:val="tx1"/>
            </w14:solidFill>
          </w14:textFill>
        </w:rPr>
        <w:t>情形适用</w:t>
      </w:r>
      <w:r>
        <w:rPr>
          <w:rFonts w:hint="eastAsia" w:ascii="Times New Roman" w:hAnsi="Times New Roman" w:eastAsia="仿宋" w:cs="Times New Roman"/>
          <w:bCs/>
          <w:color w:val="000000" w:themeColor="text1"/>
          <w:sz w:val="32"/>
          <w:szCs w:val="32"/>
          <w14:textFill>
            <w14:solidFill>
              <w14:schemeClr w14:val="tx1"/>
            </w14:solidFill>
          </w14:textFill>
        </w:rPr>
        <w:t>）</w:t>
      </w:r>
    </w:p>
    <w:p>
      <w:pPr>
        <w:ind w:firstLine="640" w:firstLineChars="200"/>
        <w:rPr>
          <w:rFonts w:ascii="Times New Roman" w:hAnsi="Times New Roman" w:eastAsia="仿宋"/>
          <w:sz w:val="32"/>
          <w:szCs w:val="32"/>
        </w:rPr>
      </w:pPr>
      <w:r>
        <w:rPr>
          <w:rFonts w:ascii="Times New Roman" w:hAnsi="Times New Roman" w:eastAsia="仿宋" w:cs="Times New Roman"/>
          <w:bCs/>
          <w:color w:val="000000" w:themeColor="text1"/>
          <w:sz w:val="32"/>
          <w:szCs w:val="32"/>
          <w14:textFill>
            <w14:solidFill>
              <w14:schemeClr w14:val="tx1"/>
            </w14:solidFill>
          </w14:textFill>
        </w:rPr>
        <w:t>6</w:t>
      </w:r>
      <w:r>
        <w:rPr>
          <w:rFonts w:hint="eastAsia" w:ascii="Times New Roman" w:hAnsi="Times New Roman" w:eastAsia="仿宋" w:cs="Times New Roman"/>
          <w:bCs/>
          <w:color w:val="000000" w:themeColor="text1"/>
          <w:sz w:val="32"/>
          <w:szCs w:val="32"/>
          <w14:textFill>
            <w14:solidFill>
              <w14:schemeClr w14:val="tx1"/>
            </w14:solidFill>
          </w14:textFill>
        </w:rPr>
        <w:t>、已知悉</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如挂牌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未能按照中国结算北京</w:t>
      </w:r>
      <w:r>
        <w:rPr>
          <w:rFonts w:ascii="Times New Roman" w:hAnsi="Times New Roman" w:eastAsia="仿宋" w:cs="Times New Roman"/>
          <w:bCs/>
          <w:color w:val="000000" w:themeColor="text1"/>
          <w:sz w:val="32"/>
          <w:szCs w:val="32"/>
          <w14:textFill>
            <w14:solidFill>
              <w14:schemeClr w14:val="tx1"/>
            </w14:solidFill>
          </w14:textFill>
        </w:rPr>
        <w:t>分公司</w:t>
      </w:r>
      <w:r>
        <w:rPr>
          <w:rFonts w:hint="eastAsia" w:ascii="Times New Roman" w:hAnsi="Times New Roman" w:eastAsia="仿宋" w:cs="Times New Roman"/>
          <w:bCs/>
          <w:color w:val="000000" w:themeColor="text1"/>
          <w:sz w:val="32"/>
          <w:szCs w:val="32"/>
          <w14:textFill>
            <w14:solidFill>
              <w14:schemeClr w14:val="tx1"/>
            </w14:solidFill>
          </w14:textFill>
        </w:rPr>
        <w:t>规定的时间完成相关款项的划拨或因其他合理原因决定延期实施权益分派的</w:t>
      </w:r>
      <w:r>
        <w:rPr>
          <w:rFonts w:ascii="Times New Roman" w:hAnsi="Times New Roman" w:eastAsia="仿宋"/>
          <w:sz w:val="32"/>
          <w:szCs w:val="32"/>
        </w:rPr>
        <w:t>，</w:t>
      </w:r>
      <w:r>
        <w:rPr>
          <w:rFonts w:hint="eastAsia" w:ascii="Times New Roman" w:hAnsi="Times New Roman" w:eastAsia="仿宋"/>
          <w:sz w:val="32"/>
          <w:szCs w:val="32"/>
        </w:rPr>
        <w:t>将督促挂牌公司于</w:t>
      </w:r>
      <w:r>
        <w:rPr>
          <w:rFonts w:ascii="Times New Roman" w:hAnsi="Times New Roman" w:eastAsia="仿宋"/>
          <w:sz w:val="32"/>
          <w:szCs w:val="32"/>
        </w:rPr>
        <w:t>R-1</w:t>
      </w:r>
      <w:r>
        <w:rPr>
          <w:rFonts w:hint="eastAsia" w:ascii="Times New Roman" w:hAnsi="Times New Roman" w:eastAsia="仿宋"/>
          <w:sz w:val="32"/>
          <w:szCs w:val="32"/>
        </w:rPr>
        <w:t>日</w:t>
      </w:r>
      <w:r>
        <w:rPr>
          <w:rFonts w:ascii="Times New Roman" w:hAnsi="Times New Roman" w:eastAsia="仿宋"/>
          <w:sz w:val="32"/>
          <w:szCs w:val="32"/>
        </w:rPr>
        <w:t>（</w:t>
      </w:r>
      <w:r>
        <w:rPr>
          <w:rFonts w:hint="eastAsia" w:ascii="Times New Roman" w:hAnsi="Times New Roman" w:eastAsia="仿宋"/>
          <w:sz w:val="32"/>
          <w:szCs w:val="32"/>
        </w:rPr>
        <w:t>X年X月X日</w:t>
      </w:r>
      <w:r>
        <w:rPr>
          <w:rFonts w:ascii="Times New Roman" w:hAnsi="Times New Roman" w:eastAsia="仿宋"/>
          <w:sz w:val="32"/>
          <w:szCs w:val="32"/>
        </w:rPr>
        <w:t>）</w:t>
      </w:r>
      <w:r>
        <w:rPr>
          <w:rFonts w:hint="eastAsia" w:ascii="Times New Roman" w:hAnsi="Times New Roman" w:eastAsia="仿宋"/>
          <w:sz w:val="32"/>
          <w:szCs w:val="32"/>
        </w:rPr>
        <w:t>及</w:t>
      </w:r>
      <w:r>
        <w:rPr>
          <w:rFonts w:ascii="Times New Roman" w:hAnsi="Times New Roman" w:eastAsia="仿宋"/>
          <w:sz w:val="32"/>
          <w:szCs w:val="32"/>
        </w:rPr>
        <w:t>之前</w:t>
      </w:r>
      <w:r>
        <w:rPr>
          <w:rFonts w:hint="eastAsia" w:ascii="Times New Roman" w:hAnsi="Times New Roman" w:eastAsia="仿宋"/>
          <w:sz w:val="32"/>
          <w:szCs w:val="32"/>
        </w:rPr>
        <w:t>披露</w:t>
      </w:r>
      <w:r>
        <w:rPr>
          <w:rFonts w:ascii="Times New Roman" w:hAnsi="Times New Roman" w:eastAsia="仿宋"/>
          <w:sz w:val="32"/>
          <w:szCs w:val="32"/>
        </w:rPr>
        <w:t>权益分派延期实施公告</w:t>
      </w:r>
      <w:r>
        <w:rPr>
          <w:rFonts w:hint="eastAsia" w:ascii="Times New Roman" w:hAnsi="Times New Roman" w:eastAsia="仿宋"/>
          <w:sz w:val="32"/>
          <w:szCs w:val="32"/>
        </w:rPr>
        <w:t>；</w:t>
      </w:r>
      <w:r>
        <w:rPr>
          <w:rFonts w:ascii="Times New Roman" w:hAnsi="Times New Roman" w:eastAsia="仿宋"/>
          <w:sz w:val="32"/>
          <w:szCs w:val="32"/>
        </w:rPr>
        <w:t>若</w:t>
      </w:r>
      <w:r>
        <w:rPr>
          <w:rFonts w:hint="eastAsia" w:ascii="Times New Roman" w:hAnsi="Times New Roman" w:eastAsia="仿宋"/>
          <w:sz w:val="32"/>
          <w:szCs w:val="32"/>
        </w:rPr>
        <w:t>挂牌公司</w:t>
      </w:r>
      <w:r>
        <w:rPr>
          <w:rFonts w:ascii="Times New Roman" w:hAnsi="Times New Roman" w:eastAsia="仿宋"/>
          <w:sz w:val="32"/>
          <w:szCs w:val="32"/>
        </w:rPr>
        <w:t>未能按期披露延期实施公告，</w:t>
      </w:r>
      <w:r>
        <w:rPr>
          <w:rFonts w:hint="eastAsia" w:ascii="Times New Roman" w:hAnsi="Times New Roman" w:eastAsia="仿宋"/>
          <w:sz w:val="32"/>
          <w:szCs w:val="32"/>
        </w:rPr>
        <w:t>将督促挂牌公司申请股票自R日开市起停牌。</w:t>
      </w:r>
      <w:r>
        <w:rPr>
          <w:rFonts w:ascii="Times New Roman" w:hAnsi="Times New Roman" w:eastAsia="仿宋" w:cs="Times New Roman"/>
          <w:bCs/>
          <w:color w:val="000000" w:themeColor="text1"/>
          <w:sz w:val="32"/>
          <w:szCs w:val="32"/>
          <w14:textFill>
            <w14:solidFill>
              <w14:schemeClr w14:val="tx1"/>
            </w14:solidFill>
          </w14:textFill>
        </w:rPr>
        <w:t>（</w:t>
      </w:r>
      <w:r>
        <w:rPr>
          <w:rFonts w:hint="eastAsia" w:ascii="Times New Roman" w:hAnsi="Times New Roman" w:eastAsia="仿宋" w:cs="Times New Roman"/>
          <w:bCs/>
          <w:color w:val="000000" w:themeColor="text1"/>
          <w:sz w:val="32"/>
          <w:szCs w:val="32"/>
          <w14:textFill>
            <w14:solidFill>
              <w14:schemeClr w14:val="tx1"/>
            </w14:solidFill>
          </w14:textFill>
        </w:rPr>
        <w:t>□是/□否</w:t>
      </w:r>
      <w:r>
        <w:rPr>
          <w:rFonts w:ascii="Times New Roman" w:hAnsi="Times New Roman" w:eastAsia="仿宋" w:cs="Times New Roman"/>
          <w:bCs/>
          <w:color w:val="000000" w:themeColor="text1"/>
          <w:sz w:val="32"/>
          <w:szCs w:val="32"/>
          <w14:textFill>
            <w14:solidFill>
              <w14:schemeClr w14:val="tx1"/>
            </w14:solidFill>
          </w14:textFill>
        </w:rPr>
        <w:t>）</w:t>
      </w:r>
    </w:p>
    <w:p>
      <w:pPr>
        <w:ind w:firstLine="640" w:firstLineChars="200"/>
        <w:rPr>
          <w:rFonts w:ascii="Times New Roman" w:hAnsi="Times New Roman" w:eastAsia="仿宋"/>
          <w:sz w:val="32"/>
          <w:szCs w:val="32"/>
        </w:rPr>
      </w:pPr>
    </w:p>
    <w:p>
      <w:pPr>
        <w:ind w:right="1280" w:firstLine="640" w:firstLineChars="200"/>
        <w:jc w:val="right"/>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主办券商项目组负责人签字：</w:t>
      </w:r>
    </w:p>
    <w:p>
      <w:pPr>
        <w:ind w:right="1280" w:firstLine="640" w:firstLineChars="200"/>
        <w:jc w:val="right"/>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年</w:t>
      </w: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月</w:t>
      </w: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日</w:t>
      </w:r>
    </w:p>
    <w:p>
      <w:pPr>
        <w:ind w:firstLine="642" w:firstLineChars="200"/>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br w:type="page"/>
      </w:r>
    </w:p>
    <w:p>
      <w:pPr>
        <w:rPr>
          <w:rFonts w:ascii="Times New Roman" w:hAnsi="Times New Roman" w:eastAsia="黑体"/>
          <w:sz w:val="32"/>
        </w:rPr>
      </w:pPr>
      <w:r>
        <w:rPr>
          <w:rFonts w:ascii="Times New Roman" w:hAnsi="Times New Roman" w:eastAsia="黑体"/>
          <w:sz w:val="32"/>
        </w:rPr>
        <w:t>附件2</w:t>
      </w:r>
    </w:p>
    <w:p>
      <w:pPr>
        <w:jc w:val="center"/>
        <w:rPr>
          <w:rFonts w:ascii="方正大标宋简体" w:eastAsia="方正大标宋简体"/>
          <w:sz w:val="40"/>
          <w:szCs w:val="40"/>
        </w:rPr>
      </w:pPr>
      <w:r>
        <w:rPr>
          <w:rFonts w:hint="eastAsia" w:ascii="方正大标宋简体" w:eastAsia="方正大标宋简体"/>
          <w:sz w:val="40"/>
          <w:szCs w:val="40"/>
        </w:rPr>
        <w:t>主办券商关于挂牌公司现金分红的专项意见</w:t>
      </w:r>
    </w:p>
    <w:p>
      <w:pPr>
        <w:jc w:val="center"/>
        <w:rPr>
          <w:rFonts w:ascii="Times New Roman" w:hAnsi="Times New Roman" w:eastAsia="仿宋"/>
          <w:sz w:val="28"/>
          <w:szCs w:val="28"/>
        </w:rPr>
      </w:pPr>
      <w:r>
        <w:rPr>
          <w:rFonts w:hint="eastAsia" w:ascii="Times New Roman" w:hAnsi="Times New Roman" w:eastAsia="仿宋"/>
          <w:sz w:val="28"/>
          <w:szCs w:val="28"/>
        </w:rPr>
        <w:t>（在辅且现金分红超过未分配利润5</w:t>
      </w:r>
      <w:r>
        <w:rPr>
          <w:rFonts w:ascii="Times New Roman" w:hAnsi="Times New Roman" w:eastAsia="仿宋"/>
          <w:sz w:val="28"/>
          <w:szCs w:val="28"/>
        </w:rPr>
        <w:t>0%</w:t>
      </w:r>
      <w:r>
        <w:rPr>
          <w:rFonts w:hint="eastAsia" w:ascii="Times New Roman" w:hAnsi="Times New Roman" w:eastAsia="仿宋"/>
          <w:sz w:val="28"/>
          <w:szCs w:val="28"/>
        </w:rPr>
        <w:t>公司适用）</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挂牌</w:t>
      </w:r>
      <w:r>
        <w:rPr>
          <w:rFonts w:ascii="黑体" w:hAnsi="黑体" w:eastAsia="黑体"/>
          <w:sz w:val="32"/>
          <w:szCs w:val="32"/>
        </w:rPr>
        <w:t>公司</w:t>
      </w:r>
      <w:r>
        <w:rPr>
          <w:rFonts w:hint="eastAsia" w:ascii="黑体" w:hAnsi="黑体" w:eastAsia="黑体"/>
          <w:sz w:val="32"/>
          <w:szCs w:val="32"/>
        </w:rPr>
        <w:t>现金分红方案概述</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XX公司X年度</w:t>
      </w:r>
      <w:r>
        <w:rPr>
          <w:rFonts w:ascii="Times New Roman" w:hAnsi="Times New Roman" w:eastAsia="仿宋"/>
          <w:sz w:val="32"/>
          <w:szCs w:val="32"/>
        </w:rPr>
        <w:t>/</w:t>
      </w:r>
      <w:r>
        <w:rPr>
          <w:rFonts w:hint="eastAsia" w:ascii="Times New Roman" w:hAnsi="Times New Roman" w:eastAsia="仿宋"/>
          <w:sz w:val="32"/>
          <w:szCs w:val="32"/>
        </w:rPr>
        <w:t>半年度</w:t>
      </w:r>
      <w:r>
        <w:rPr>
          <w:rFonts w:ascii="Times New Roman" w:hAnsi="Times New Roman" w:eastAsia="仿宋"/>
          <w:sz w:val="32"/>
          <w:szCs w:val="32"/>
        </w:rPr>
        <w:t>/</w:t>
      </w:r>
      <w:r>
        <w:rPr>
          <w:rFonts w:hint="eastAsia" w:ascii="Times New Roman" w:hAnsi="Times New Roman" w:eastAsia="仿宋"/>
          <w:sz w:val="32"/>
          <w:szCs w:val="32"/>
        </w:rPr>
        <w:t>季度</w:t>
      </w:r>
      <w:r>
        <w:rPr>
          <w:rFonts w:ascii="Times New Roman" w:hAnsi="Times New Roman" w:eastAsia="仿宋"/>
          <w:sz w:val="32"/>
          <w:szCs w:val="32"/>
        </w:rPr>
        <w:t>权益分派</w:t>
      </w:r>
      <w:r>
        <w:rPr>
          <w:rFonts w:hint="eastAsia" w:ascii="Times New Roman" w:hAnsi="Times New Roman" w:eastAsia="仿宋"/>
          <w:sz w:val="32"/>
          <w:szCs w:val="32"/>
        </w:rPr>
        <w:t>现金</w:t>
      </w:r>
      <w:r>
        <w:rPr>
          <w:rFonts w:ascii="Times New Roman" w:hAnsi="Times New Roman" w:eastAsia="仿宋"/>
          <w:sz w:val="32"/>
          <w:szCs w:val="32"/>
        </w:rPr>
        <w:t>分红方案</w:t>
      </w:r>
      <w:r>
        <w:rPr>
          <w:rFonts w:hint="eastAsia" w:ascii="Times New Roman" w:hAnsi="Times New Roman" w:eastAsia="仿宋"/>
          <w:sz w:val="32"/>
          <w:szCs w:val="32"/>
        </w:rPr>
        <w:t>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276"/>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总股本（股）</w:t>
            </w:r>
          </w:p>
        </w:tc>
        <w:tc>
          <w:tcPr>
            <w:tcW w:w="6173" w:type="dxa"/>
            <w:gridSpan w:val="2"/>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参与分派股数（股）</w:t>
            </w:r>
          </w:p>
        </w:tc>
        <w:tc>
          <w:tcPr>
            <w:tcW w:w="6173" w:type="dxa"/>
            <w:gridSpan w:val="2"/>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未分配利润（元）</w:t>
            </w:r>
          </w:p>
        </w:tc>
        <w:tc>
          <w:tcPr>
            <w:tcW w:w="1276"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合并报表适用</w:t>
            </w:r>
          </w:p>
        </w:tc>
        <w:tc>
          <w:tcPr>
            <w:tcW w:w="4897" w:type="dxa"/>
            <w:vAlign w:val="center"/>
          </w:tcPr>
          <w:p>
            <w:pPr>
              <w:rPr>
                <w:rFonts w:ascii="Times New Roman" w:hAnsi="Times New Roman" w:eastAsia="仿宋"/>
                <w:bCs/>
                <w:sz w:val="24"/>
                <w:szCs w:val="24"/>
              </w:rPr>
            </w:pPr>
            <w:r>
              <w:rPr>
                <w:rFonts w:hint="eastAsia" w:ascii="Times New Roman" w:hAnsi="Times New Roman" w:eastAsia="仿宋"/>
                <w:bCs/>
                <w:sz w:val="24"/>
                <w:szCs w:val="24"/>
              </w:rPr>
              <w:t>归属于母公司的未分配利润为（）元，母公司未分配利润为（）元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7" w:type="dxa"/>
            <w:vMerge w:val="continue"/>
            <w:vAlign w:val="center"/>
          </w:tcPr>
          <w:p>
            <w:pPr>
              <w:jc w:val="center"/>
              <w:rPr>
                <w:rFonts w:ascii="Times New Roman" w:hAnsi="Times New Roman" w:eastAsia="仿宋"/>
                <w:b/>
                <w:sz w:val="24"/>
                <w:szCs w:val="24"/>
              </w:rPr>
            </w:pPr>
          </w:p>
        </w:tc>
        <w:tc>
          <w:tcPr>
            <w:tcW w:w="1276"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单体报表适用</w:t>
            </w:r>
          </w:p>
        </w:tc>
        <w:tc>
          <w:tcPr>
            <w:tcW w:w="4897"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每1</w:t>
            </w:r>
            <w:r>
              <w:rPr>
                <w:rFonts w:ascii="Times New Roman" w:hAnsi="Times New Roman" w:eastAsia="仿宋"/>
                <w:b/>
                <w:sz w:val="24"/>
                <w:szCs w:val="24"/>
              </w:rPr>
              <w:t>0</w:t>
            </w:r>
            <w:r>
              <w:rPr>
                <w:rFonts w:hint="eastAsia" w:ascii="Times New Roman" w:hAnsi="Times New Roman" w:eastAsia="仿宋"/>
                <w:b/>
                <w:sz w:val="24"/>
                <w:szCs w:val="24"/>
              </w:rPr>
              <w:t>股派现金额（元）</w:t>
            </w:r>
          </w:p>
        </w:tc>
        <w:tc>
          <w:tcPr>
            <w:tcW w:w="6173" w:type="dxa"/>
            <w:gridSpan w:val="2"/>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现金分红总额（元）</w:t>
            </w:r>
          </w:p>
        </w:tc>
        <w:tc>
          <w:tcPr>
            <w:tcW w:w="6173" w:type="dxa"/>
            <w:gridSpan w:val="2"/>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现金分红总额占未分配利润（孰低）比例</w:t>
            </w:r>
          </w:p>
        </w:tc>
        <w:tc>
          <w:tcPr>
            <w:tcW w:w="6173" w:type="dxa"/>
            <w:gridSpan w:val="2"/>
            <w:vAlign w:val="center"/>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0" w:type="dxa"/>
            <w:gridSpan w:val="3"/>
            <w:vAlign w:val="center"/>
          </w:tcPr>
          <w:p>
            <w:pPr>
              <w:jc w:val="center"/>
              <w:rPr>
                <w:rFonts w:ascii="Times New Roman" w:hAnsi="Times New Roman" w:eastAsia="仿宋"/>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（未以总股本为基数实施或存在其他差异化安排的，</w:t>
            </w:r>
            <w:r>
              <w:rPr>
                <w:rFonts w:ascii="Times New Roman" w:hAnsi="Times New Roman" w:eastAsia="仿宋"/>
                <w:sz w:val="24"/>
                <w:szCs w:val="24"/>
              </w:rPr>
              <w:t>请</w:t>
            </w:r>
            <w:r>
              <w:rPr>
                <w:rFonts w:hint="eastAsia" w:ascii="Times New Roman" w:hAnsi="Times New Roman" w:eastAsia="仿宋"/>
                <w:sz w:val="24"/>
                <w:szCs w:val="24"/>
              </w:rPr>
              <w:t>在此</w:t>
            </w:r>
            <w:r>
              <w:rPr>
                <w:rFonts w:ascii="Times New Roman" w:hAnsi="Times New Roman" w:eastAsia="仿宋"/>
                <w:sz w:val="24"/>
                <w:szCs w:val="24"/>
              </w:rPr>
              <w:t>处</w:t>
            </w:r>
            <w:r>
              <w:rPr>
                <w:rFonts w:hint="eastAsia" w:ascii="Times New Roman" w:hAnsi="Times New Roman" w:eastAsia="仿宋"/>
                <w:sz w:val="24"/>
                <w:szCs w:val="24"/>
              </w:rPr>
              <w:t>详细</w:t>
            </w:r>
            <w:r>
              <w:rPr>
                <w:rFonts w:ascii="Times New Roman" w:hAnsi="Times New Roman" w:eastAsia="仿宋"/>
                <w:sz w:val="24"/>
                <w:szCs w:val="24"/>
              </w:rPr>
              <w:t>说明</w:t>
            </w:r>
            <w:r>
              <w:rPr>
                <w:rFonts w:hint="eastAsia" w:ascii="Times New Roman" w:hAnsi="Times New Roman" w:eastAsia="仿宋"/>
                <w:sz w:val="24"/>
                <w:szCs w:val="24"/>
              </w:rPr>
              <w:t>理由）</w:t>
            </w:r>
          </w:p>
          <w:p>
            <w:pPr>
              <w:jc w:val="center"/>
              <w:rPr>
                <w:rFonts w:ascii="Times New Roman" w:hAnsi="Times New Roman" w:eastAsia="仿宋"/>
                <w:b/>
                <w:sz w:val="24"/>
                <w:szCs w:val="24"/>
              </w:rPr>
            </w:pPr>
          </w:p>
        </w:tc>
      </w:tr>
    </w:tbl>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主办券商意见</w:t>
      </w:r>
    </w:p>
    <w:p>
      <w:pPr>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（若拟分派现金红利金额</w:t>
      </w:r>
      <w:r>
        <w:rPr>
          <w:rFonts w:ascii="Times New Roman" w:hAnsi="Times New Roman" w:eastAsia="仿宋" w:cs="Times New Roman"/>
          <w:bCs/>
          <w:color w:val="000000" w:themeColor="text1"/>
          <w:sz w:val="32"/>
          <w:szCs w:val="32"/>
          <w14:textFill>
            <w14:solidFill>
              <w14:schemeClr w14:val="tx1"/>
            </w14:solidFill>
          </w14:textFill>
        </w:rPr>
        <w:t>超过</w:t>
      </w:r>
      <w:r>
        <w:rPr>
          <w:rFonts w:hint="eastAsia" w:ascii="Times New Roman" w:hAnsi="Times New Roman" w:eastAsia="仿宋" w:cs="Times New Roman"/>
          <w:bCs/>
          <w:color w:val="000000" w:themeColor="text1"/>
          <w:sz w:val="32"/>
          <w:szCs w:val="32"/>
          <w14:textFill>
            <w14:solidFill>
              <w14:schemeClr w14:val="tx1"/>
            </w14:solidFill>
          </w14:textFill>
        </w:rPr>
        <w:t>所依据报告期末未分配利润的</w:t>
      </w:r>
      <w:r>
        <w:rPr>
          <w:rFonts w:ascii="Times New Roman" w:hAnsi="Times New Roman" w:eastAsia="仿宋" w:cs="Times New Roman"/>
          <w:bCs/>
          <w:color w:val="000000" w:themeColor="text1"/>
          <w:sz w:val="32"/>
          <w:szCs w:val="32"/>
          <w14:textFill>
            <w14:solidFill>
              <w14:schemeClr w14:val="tx1"/>
            </w14:solidFill>
          </w14:textFill>
        </w:rPr>
        <w:t>50%，</w:t>
      </w:r>
      <w:r>
        <w:rPr>
          <w:rFonts w:hint="eastAsia" w:ascii="Times New Roman" w:hAnsi="Times New Roman" w:eastAsia="仿宋" w:cs="Times New Roman"/>
          <w:bCs/>
          <w:color w:val="000000" w:themeColor="text1"/>
          <w:sz w:val="32"/>
          <w:szCs w:val="32"/>
          <w14:textFill>
            <w14:solidFill>
              <w14:schemeClr w14:val="tx1"/>
            </w14:solidFill>
          </w14:textFill>
        </w:rPr>
        <w:t>主办券商</w:t>
      </w:r>
      <w:r>
        <w:rPr>
          <w:rFonts w:ascii="Times New Roman" w:hAnsi="Times New Roman" w:eastAsia="仿宋" w:cs="Times New Roman"/>
          <w:bCs/>
          <w:color w:val="000000" w:themeColor="text1"/>
          <w:sz w:val="32"/>
          <w:szCs w:val="32"/>
          <w14:textFill>
            <w14:solidFill>
              <w14:schemeClr w14:val="tx1"/>
            </w14:solidFill>
          </w14:textFill>
        </w:rPr>
        <w:t>应</w:t>
      </w:r>
      <w:r>
        <w:rPr>
          <w:rFonts w:hint="eastAsia" w:ascii="Times New Roman" w:hAnsi="Times New Roman" w:eastAsia="仿宋" w:cs="Times New Roman"/>
          <w:bCs/>
          <w:color w:val="000000" w:themeColor="text1"/>
          <w:sz w:val="32"/>
          <w:szCs w:val="32"/>
          <w14:textFill>
            <w14:solidFill>
              <w14:schemeClr w14:val="tx1"/>
            </w14:solidFill>
          </w14:textFill>
        </w:rPr>
        <w:t>当结合公司生产经营计划、后续资金安排及现金分红对挂牌公司财务状况、生产运营产生的影响等，说明现金分红方案</w:t>
      </w:r>
      <w:r>
        <w:rPr>
          <w:rFonts w:ascii="Times New Roman" w:hAnsi="Times New Roman" w:eastAsia="仿宋" w:cs="Times New Roman"/>
          <w:bCs/>
          <w:color w:val="000000" w:themeColor="text1"/>
          <w:sz w:val="32"/>
          <w:szCs w:val="32"/>
          <w14:textFill>
            <w14:solidFill>
              <w14:schemeClr w14:val="tx1"/>
            </w14:solidFill>
          </w14:textFill>
        </w:rPr>
        <w:t>是否</w:t>
      </w:r>
      <w:r>
        <w:rPr>
          <w:rFonts w:hint="eastAsia" w:ascii="Times New Roman" w:hAnsi="Times New Roman" w:eastAsia="仿宋" w:cs="Times New Roman"/>
          <w:bCs/>
          <w:color w:val="000000" w:themeColor="text1"/>
          <w:sz w:val="32"/>
          <w:szCs w:val="32"/>
          <w14:textFill>
            <w14:solidFill>
              <w14:schemeClr w14:val="tx1"/>
            </w14:solidFill>
          </w14:textFill>
        </w:rPr>
        <w:t>合理平衡挂牌</w:t>
      </w:r>
      <w:r>
        <w:rPr>
          <w:rFonts w:ascii="Times New Roman" w:hAnsi="Times New Roman" w:eastAsia="仿宋" w:cs="Times New Roman"/>
          <w:bCs/>
          <w:color w:val="000000" w:themeColor="text1"/>
          <w:sz w:val="32"/>
          <w:szCs w:val="32"/>
          <w14:textFill>
            <w14:solidFill>
              <w14:schemeClr w14:val="tx1"/>
            </w14:solidFill>
          </w14:textFill>
        </w:rPr>
        <w:t>公司</w:t>
      </w:r>
      <w:r>
        <w:rPr>
          <w:rFonts w:hint="eastAsia" w:ascii="Times New Roman" w:hAnsi="Times New Roman" w:eastAsia="仿宋" w:cs="Times New Roman"/>
          <w:bCs/>
          <w:color w:val="000000" w:themeColor="text1"/>
          <w:sz w:val="32"/>
          <w:szCs w:val="32"/>
          <w14:textFill>
            <w14:solidFill>
              <w14:schemeClr w14:val="tx1"/>
            </w14:solidFill>
          </w14:textFill>
        </w:rPr>
        <w:t>发展</w:t>
      </w:r>
      <w:r>
        <w:rPr>
          <w:rFonts w:ascii="Times New Roman" w:hAnsi="Times New Roman" w:eastAsia="仿宋" w:cs="Times New Roman"/>
          <w:bCs/>
          <w:color w:val="000000" w:themeColor="text1"/>
          <w:sz w:val="32"/>
          <w:szCs w:val="32"/>
          <w14:textFill>
            <w14:solidFill>
              <w14:schemeClr w14:val="tx1"/>
            </w14:solidFill>
          </w14:textFill>
        </w:rPr>
        <w:t>需求及股东回报</w:t>
      </w:r>
      <w:r>
        <w:rPr>
          <w:rFonts w:hint="eastAsia" w:ascii="Times New Roman" w:hAnsi="Times New Roman" w:eastAsia="仿宋" w:cs="Times New Roman"/>
          <w:bCs/>
          <w:color w:val="000000" w:themeColor="text1"/>
          <w:sz w:val="32"/>
          <w:szCs w:val="32"/>
          <w14:textFill>
            <w14:solidFill>
              <w14:schemeClr w14:val="tx1"/>
            </w14:solidFill>
          </w14:textFill>
        </w:rPr>
        <w:t>）</w:t>
      </w:r>
    </w:p>
    <w:p>
      <w:pPr>
        <w:ind w:firstLine="642" w:firstLineChars="200"/>
        <w:rPr>
          <w:rFonts w:ascii="Times New Roman" w:hAnsi="Times New Roman" w:eastAsia="仿宋" w:cs="Times New Roman"/>
          <w:b/>
          <w:bCs/>
          <w:color w:val="000000" w:themeColor="text1"/>
          <w:sz w:val="32"/>
          <w:szCs w:val="32"/>
          <w14:textFill>
            <w14:solidFill>
              <w14:schemeClr w14:val="tx1"/>
            </w14:solidFill>
          </w14:textFill>
        </w:rPr>
      </w:pPr>
    </w:p>
    <w:p>
      <w:pPr>
        <w:ind w:right="1280" w:firstLine="640" w:firstLineChars="200"/>
        <w:jc w:val="right"/>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主办券商（签章）</w:t>
      </w:r>
    </w:p>
    <w:p>
      <w:pPr>
        <w:ind w:right="1280" w:firstLine="640" w:firstLineChars="200"/>
        <w:jc w:val="right"/>
        <w:rPr>
          <w:rFonts w:ascii="Times New Roman" w:hAnsi="Times New Roman" w:eastAsia="仿宋" w:cs="Times New Roman"/>
          <w:bCs/>
          <w:color w:val="000000" w:themeColor="text1"/>
          <w:sz w:val="32"/>
          <w:szCs w:val="32"/>
          <w14:textFill>
            <w14:solidFill>
              <w14:schemeClr w14:val="tx1"/>
            </w14:solidFill>
          </w14:textFill>
        </w:rPr>
      </w:pP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年</w:t>
      </w: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月</w:t>
      </w:r>
      <w:r>
        <w:rPr>
          <w:rFonts w:hint="eastAsia" w:ascii="Times New Roman" w:hAnsi="Times New Roman" w:eastAsia="仿宋" w:cs="Times New Roman"/>
          <w:bCs/>
          <w:color w:val="000000" w:themeColor="text1"/>
          <w:sz w:val="32"/>
          <w:szCs w:val="32"/>
          <w14:textFill>
            <w14:solidFill>
              <w14:schemeClr w14:val="tx1"/>
            </w14:solidFill>
          </w14:textFill>
        </w:rPr>
        <w:t>X</w:t>
      </w:r>
      <w:r>
        <w:rPr>
          <w:rFonts w:ascii="Times New Roman" w:hAnsi="Times New Roman" w:eastAsia="仿宋" w:cs="Times New Roman"/>
          <w:bCs/>
          <w:color w:val="000000" w:themeColor="text1"/>
          <w:sz w:val="32"/>
          <w:szCs w:val="32"/>
          <w14:textFill>
            <w14:solidFill>
              <w14:schemeClr w14:val="tx1"/>
            </w14:solidFill>
          </w14:textFill>
        </w:rPr>
        <w:t>日</w:t>
      </w:r>
    </w:p>
    <w:p>
      <w:pPr>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br w:type="page"/>
      </w:r>
    </w:p>
    <w:p>
      <w:pPr>
        <w:rPr>
          <w:rFonts w:ascii="Times New Roman" w:hAnsi="Times New Roman" w:eastAsia="黑体"/>
          <w:sz w:val="32"/>
        </w:rPr>
      </w:pPr>
      <w:r>
        <w:rPr>
          <w:rFonts w:ascii="Times New Roman" w:hAnsi="Times New Roman" w:eastAsia="黑体"/>
          <w:sz w:val="32"/>
        </w:rPr>
        <w:t>附件3</w:t>
      </w:r>
    </w:p>
    <w:p>
      <w:pPr>
        <w:jc w:val="center"/>
        <w:rPr>
          <w:rFonts w:ascii="方正大标宋简体" w:eastAsia="方正大标宋简体"/>
          <w:sz w:val="40"/>
          <w:szCs w:val="40"/>
        </w:rPr>
      </w:pPr>
      <w:r>
        <w:rPr>
          <w:rFonts w:hint="eastAsia" w:ascii="方正大标宋简体" w:eastAsia="方正大标宋简体"/>
          <w:sz w:val="40"/>
          <w:szCs w:val="40"/>
        </w:rPr>
        <w:t>挂牌公司自行派发现金红利的情况说明</w:t>
      </w:r>
    </w:p>
    <w:p>
      <w:pPr>
        <w:jc w:val="center"/>
        <w:rPr>
          <w:rFonts w:ascii="Times New Roman" w:hAnsi="Times New Roman" w:eastAsia="仿宋"/>
          <w:sz w:val="28"/>
          <w:szCs w:val="28"/>
        </w:rPr>
      </w:pPr>
      <w:r>
        <w:rPr>
          <w:rFonts w:hint="eastAsia" w:ascii="Times New Roman" w:hAnsi="Times New Roman" w:eastAsia="仿宋"/>
          <w:sz w:val="28"/>
          <w:szCs w:val="28"/>
        </w:rPr>
        <w:t>（仅</w:t>
      </w:r>
      <w:r>
        <w:rPr>
          <w:rFonts w:ascii="Times New Roman" w:hAnsi="Times New Roman" w:eastAsia="仿宋"/>
          <w:sz w:val="28"/>
          <w:szCs w:val="28"/>
        </w:rPr>
        <w:t>自行派发</w:t>
      </w:r>
      <w:r>
        <w:rPr>
          <w:rFonts w:hint="eastAsia" w:ascii="Times New Roman" w:hAnsi="Times New Roman" w:eastAsia="仿宋"/>
          <w:sz w:val="28"/>
          <w:szCs w:val="28"/>
        </w:rPr>
        <w:t>全部</w:t>
      </w:r>
      <w:r>
        <w:rPr>
          <w:rFonts w:ascii="Times New Roman" w:hAnsi="Times New Roman" w:eastAsia="仿宋"/>
          <w:sz w:val="28"/>
          <w:szCs w:val="28"/>
        </w:rPr>
        <w:t>现金红利</w:t>
      </w:r>
      <w:r>
        <w:rPr>
          <w:rFonts w:hint="eastAsia" w:ascii="Times New Roman" w:hAnsi="Times New Roman" w:eastAsia="仿宋"/>
          <w:sz w:val="28"/>
          <w:szCs w:val="28"/>
        </w:rPr>
        <w:t>适用）</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、权益分派方案</w:t>
      </w:r>
      <w:r>
        <w:rPr>
          <w:rFonts w:hint="eastAsia" w:ascii="黑体" w:hAnsi="黑体" w:eastAsia="黑体"/>
          <w:sz w:val="32"/>
          <w:szCs w:val="32"/>
        </w:rPr>
        <w:t>概述</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XX公司X年度</w:t>
      </w:r>
      <w:r>
        <w:rPr>
          <w:rFonts w:ascii="Times New Roman" w:hAnsi="Times New Roman" w:eastAsia="仿宋"/>
          <w:sz w:val="32"/>
          <w:szCs w:val="32"/>
        </w:rPr>
        <w:t>/</w:t>
      </w:r>
      <w:r>
        <w:rPr>
          <w:rFonts w:hint="eastAsia" w:ascii="Times New Roman" w:hAnsi="Times New Roman" w:eastAsia="仿宋"/>
          <w:sz w:val="32"/>
          <w:szCs w:val="32"/>
        </w:rPr>
        <w:t>半年度</w:t>
      </w:r>
      <w:r>
        <w:rPr>
          <w:rFonts w:ascii="Times New Roman" w:hAnsi="Times New Roman" w:eastAsia="仿宋"/>
          <w:sz w:val="32"/>
          <w:szCs w:val="32"/>
        </w:rPr>
        <w:t>/</w:t>
      </w:r>
      <w:r>
        <w:rPr>
          <w:rFonts w:hint="eastAsia" w:ascii="Times New Roman" w:hAnsi="Times New Roman" w:eastAsia="仿宋"/>
          <w:sz w:val="32"/>
          <w:szCs w:val="32"/>
        </w:rPr>
        <w:t>季度</w:t>
      </w:r>
      <w:r>
        <w:rPr>
          <w:rFonts w:ascii="Times New Roman" w:hAnsi="Times New Roman" w:eastAsia="仿宋"/>
          <w:sz w:val="32"/>
          <w:szCs w:val="32"/>
        </w:rPr>
        <w:t>权益分派方案</w:t>
      </w:r>
      <w:r>
        <w:rPr>
          <w:rFonts w:hint="eastAsia" w:ascii="Times New Roman" w:hAnsi="Times New Roman" w:eastAsia="仿宋"/>
          <w:sz w:val="32"/>
          <w:szCs w:val="32"/>
        </w:rPr>
        <w:t>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701"/>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总股本（股）</w:t>
            </w:r>
          </w:p>
        </w:tc>
        <w:tc>
          <w:tcPr>
            <w:tcW w:w="5890" w:type="dxa"/>
            <w:gridSpan w:val="2"/>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参与分派股数（股）</w:t>
            </w:r>
          </w:p>
        </w:tc>
        <w:tc>
          <w:tcPr>
            <w:tcW w:w="5890" w:type="dxa"/>
            <w:gridSpan w:val="2"/>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Merge w:val="restart"/>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未分配利润（元）</w:t>
            </w:r>
          </w:p>
        </w:tc>
        <w:tc>
          <w:tcPr>
            <w:tcW w:w="1701"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合并报表适用</w:t>
            </w:r>
          </w:p>
        </w:tc>
        <w:tc>
          <w:tcPr>
            <w:tcW w:w="4189" w:type="dxa"/>
            <w:vAlign w:val="center"/>
          </w:tcPr>
          <w:p>
            <w:pPr>
              <w:rPr>
                <w:rFonts w:ascii="Times New Roman" w:hAnsi="Times New Roman" w:eastAsia="仿宋"/>
                <w:bCs/>
                <w:sz w:val="24"/>
                <w:szCs w:val="24"/>
              </w:rPr>
            </w:pPr>
            <w:r>
              <w:rPr>
                <w:rFonts w:hint="eastAsia" w:ascii="Times New Roman" w:hAnsi="Times New Roman" w:eastAsia="仿宋"/>
                <w:bCs/>
                <w:sz w:val="24"/>
                <w:szCs w:val="24"/>
              </w:rPr>
              <w:t>归属于母公司的未分配利润为（）元，母公司未分配利润为（）元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vMerge w:val="continue"/>
            <w:vAlign w:val="center"/>
          </w:tcPr>
          <w:p>
            <w:pPr>
              <w:jc w:val="center"/>
              <w:rPr>
                <w:rFonts w:ascii="Times New Roman" w:hAnsi="Times New Roman" w:eastAsia="仿宋"/>
                <w:b/>
                <w:sz w:val="24"/>
                <w:szCs w:val="24"/>
              </w:rPr>
            </w:pPr>
          </w:p>
        </w:tc>
        <w:tc>
          <w:tcPr>
            <w:tcW w:w="1701"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单体报表适用</w:t>
            </w:r>
          </w:p>
        </w:tc>
        <w:tc>
          <w:tcPr>
            <w:tcW w:w="4189" w:type="dxa"/>
            <w:vAlign w:val="center"/>
          </w:tcPr>
          <w:p>
            <w:pPr>
              <w:jc w:val="center"/>
              <w:rPr>
                <w:rFonts w:ascii="Times New Roman" w:hAnsi="Times New Roman" w:eastAsia="仿宋"/>
                <w:bCs/>
                <w:sz w:val="24"/>
                <w:szCs w:val="24"/>
              </w:rPr>
            </w:pPr>
            <w:r>
              <w:rPr>
                <w:rFonts w:hint="eastAsia" w:ascii="Times New Roman" w:hAnsi="Times New Roman" w:eastAsia="仿宋"/>
                <w:bCs/>
                <w:sz w:val="24"/>
                <w:szCs w:val="24"/>
              </w:rPr>
              <w:t>未分配利润为（）元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3"/>
          </w:tcPr>
          <w:p>
            <w:pPr>
              <w:jc w:val="center"/>
              <w:rPr>
                <w:rFonts w:ascii="Times New Roman" w:hAnsi="Times New Roman" w:eastAsia="仿宋"/>
                <w:b/>
                <w:sz w:val="24"/>
                <w:szCs w:val="24"/>
              </w:rPr>
            </w:pPr>
            <w:r>
              <w:rPr>
                <w:rFonts w:hint="eastAsia" w:ascii="Times New Roman" w:hAnsi="Times New Roman" w:eastAsia="仿宋"/>
                <w:b/>
                <w:sz w:val="24"/>
                <w:szCs w:val="24"/>
              </w:rPr>
              <w:t>权益分派方案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每1</w:t>
            </w:r>
            <w:r>
              <w:rPr>
                <w:rFonts w:ascii="Times New Roman" w:hAnsi="Times New Roman" w:eastAsia="仿宋"/>
                <w:b/>
                <w:sz w:val="24"/>
                <w:szCs w:val="24"/>
              </w:rPr>
              <w:t>0</w:t>
            </w:r>
            <w:r>
              <w:rPr>
                <w:rFonts w:hint="eastAsia" w:ascii="Times New Roman" w:hAnsi="Times New Roman" w:eastAsia="仿宋"/>
                <w:b/>
                <w:sz w:val="24"/>
                <w:szCs w:val="24"/>
              </w:rPr>
              <w:t>股派现金额（元）</w:t>
            </w:r>
          </w:p>
        </w:tc>
        <w:tc>
          <w:tcPr>
            <w:tcW w:w="5890" w:type="dxa"/>
            <w:gridSpan w:val="2"/>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分派总额（元）</w:t>
            </w:r>
          </w:p>
        </w:tc>
        <w:tc>
          <w:tcPr>
            <w:tcW w:w="5890" w:type="dxa"/>
            <w:gridSpan w:val="2"/>
          </w:tcPr>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gridSpan w:val="3"/>
            <w:vAlign w:val="center"/>
          </w:tcPr>
          <w:p>
            <w:pPr>
              <w:jc w:val="center"/>
              <w:rPr>
                <w:rFonts w:ascii="Times New Roman" w:hAnsi="Times New Roman" w:eastAsia="仿宋"/>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（未以总股本为基数实施或存在其他差异化安排的，</w:t>
            </w:r>
            <w:r>
              <w:rPr>
                <w:rFonts w:ascii="Times New Roman" w:hAnsi="Times New Roman" w:eastAsia="仿宋"/>
                <w:sz w:val="24"/>
                <w:szCs w:val="24"/>
              </w:rPr>
              <w:t>请</w:t>
            </w:r>
            <w:r>
              <w:rPr>
                <w:rFonts w:hint="eastAsia" w:ascii="Times New Roman" w:hAnsi="Times New Roman" w:eastAsia="仿宋"/>
                <w:sz w:val="24"/>
                <w:szCs w:val="24"/>
              </w:rPr>
              <w:t>在此</w:t>
            </w:r>
            <w:r>
              <w:rPr>
                <w:rFonts w:ascii="Times New Roman" w:hAnsi="Times New Roman" w:eastAsia="仿宋"/>
                <w:sz w:val="24"/>
                <w:szCs w:val="24"/>
              </w:rPr>
              <w:t>处</w:t>
            </w:r>
            <w:r>
              <w:rPr>
                <w:rFonts w:hint="eastAsia" w:ascii="Times New Roman" w:hAnsi="Times New Roman" w:eastAsia="仿宋"/>
                <w:sz w:val="24"/>
                <w:szCs w:val="24"/>
              </w:rPr>
              <w:t>详细</w:t>
            </w:r>
            <w:r>
              <w:rPr>
                <w:rFonts w:ascii="Times New Roman" w:hAnsi="Times New Roman" w:eastAsia="仿宋"/>
                <w:sz w:val="24"/>
                <w:szCs w:val="24"/>
              </w:rPr>
              <w:t>说明</w:t>
            </w:r>
            <w:r>
              <w:rPr>
                <w:rFonts w:hint="eastAsia" w:ascii="Times New Roman" w:hAnsi="Times New Roman" w:eastAsia="仿宋"/>
                <w:sz w:val="24"/>
                <w:szCs w:val="24"/>
              </w:rPr>
              <w:t>理由）</w:t>
            </w:r>
          </w:p>
          <w:p>
            <w:pPr>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830" w:type="dxa"/>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股权登记日</w:t>
            </w:r>
          </w:p>
        </w:tc>
        <w:tc>
          <w:tcPr>
            <w:tcW w:w="5890" w:type="dxa"/>
            <w:gridSpan w:val="2"/>
            <w:vAlign w:val="center"/>
          </w:tcPr>
          <w:p>
            <w:pPr>
              <w:jc w:val="center"/>
              <w:rPr>
                <w:rFonts w:ascii="Times New Roman" w:hAnsi="Times New Roman"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830" w:type="dxa"/>
            <w:vAlign w:val="center"/>
          </w:tcPr>
          <w:p>
            <w:pPr>
              <w:jc w:val="center"/>
              <w:rPr>
                <w:rFonts w:ascii="Times New Roman" w:hAnsi="Times New Roman" w:eastAsia="仿宋"/>
                <w:b/>
                <w:bCs/>
                <w:sz w:val="24"/>
                <w:szCs w:val="24"/>
              </w:rPr>
            </w:pPr>
            <w:r>
              <w:rPr>
                <w:rFonts w:hint="eastAsia" w:ascii="Times New Roman" w:hAnsi="Times New Roman" w:eastAsia="仿宋"/>
                <w:b/>
                <w:bCs/>
                <w:sz w:val="24"/>
                <w:szCs w:val="24"/>
              </w:rPr>
              <w:t>除权除息日</w:t>
            </w:r>
          </w:p>
        </w:tc>
        <w:tc>
          <w:tcPr>
            <w:tcW w:w="5890" w:type="dxa"/>
            <w:gridSpan w:val="2"/>
            <w:vAlign w:val="center"/>
          </w:tcPr>
          <w:p>
            <w:pPr>
              <w:jc w:val="center"/>
              <w:rPr>
                <w:rFonts w:ascii="Times New Roman" w:hAnsi="Times New Roman" w:eastAsia="仿宋"/>
                <w:b/>
                <w:bCs/>
                <w:sz w:val="24"/>
                <w:szCs w:val="24"/>
              </w:rPr>
            </w:pPr>
          </w:p>
        </w:tc>
      </w:tr>
    </w:tbl>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、自行派发现金红利股东明细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18"/>
        <w:gridCol w:w="1417"/>
        <w:gridCol w:w="1701"/>
        <w:gridCol w:w="170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序号</w:t>
            </w:r>
          </w:p>
        </w:tc>
        <w:tc>
          <w:tcPr>
            <w:tcW w:w="1418"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股东</w:t>
            </w:r>
            <w:r>
              <w:rPr>
                <w:rFonts w:ascii="Times New Roman" w:hAnsi="Times New Roman" w:eastAsia="仿宋"/>
                <w:b/>
                <w:sz w:val="24"/>
                <w:szCs w:val="24"/>
              </w:rPr>
              <w:t>名称</w:t>
            </w:r>
          </w:p>
        </w:tc>
        <w:tc>
          <w:tcPr>
            <w:tcW w:w="1417"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持股</w:t>
            </w:r>
            <w:r>
              <w:rPr>
                <w:rFonts w:ascii="Times New Roman" w:hAnsi="Times New Roman" w:eastAsia="仿宋"/>
                <w:b/>
                <w:sz w:val="24"/>
                <w:szCs w:val="24"/>
              </w:rPr>
              <w:t>数量</w:t>
            </w:r>
          </w:p>
        </w:tc>
        <w:tc>
          <w:tcPr>
            <w:tcW w:w="1701"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现金分红金</w:t>
            </w:r>
            <w:r>
              <w:rPr>
                <w:rFonts w:ascii="Times New Roman" w:hAnsi="Times New Roman" w:eastAsia="仿宋"/>
                <w:b/>
                <w:sz w:val="24"/>
                <w:szCs w:val="24"/>
              </w:rPr>
              <w:t>额</w:t>
            </w:r>
            <w:r>
              <w:rPr>
                <w:rFonts w:hint="eastAsia" w:ascii="Times New Roman" w:hAnsi="Times New Roman" w:eastAsia="仿宋"/>
                <w:b/>
                <w:sz w:val="24"/>
                <w:szCs w:val="24"/>
              </w:rPr>
              <w:t>（元）</w:t>
            </w:r>
          </w:p>
        </w:tc>
        <w:tc>
          <w:tcPr>
            <w:tcW w:w="1701"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是否</w:t>
            </w:r>
            <w:r>
              <w:rPr>
                <w:rFonts w:ascii="Times New Roman" w:hAnsi="Times New Roman" w:eastAsia="仿宋"/>
                <w:b/>
                <w:sz w:val="24"/>
                <w:szCs w:val="24"/>
              </w:rPr>
              <w:t>存在质押或司法冻结</w:t>
            </w:r>
            <w:r>
              <w:rPr>
                <w:rFonts w:hint="eastAsia" w:ascii="Times New Roman" w:hAnsi="Times New Roman" w:eastAsia="仿宋"/>
                <w:b/>
                <w:sz w:val="24"/>
                <w:szCs w:val="24"/>
              </w:rPr>
              <w:t>股息红利</w:t>
            </w:r>
            <w:r>
              <w:rPr>
                <w:rFonts w:ascii="Times New Roman" w:hAnsi="Times New Roman" w:eastAsia="仿宋"/>
                <w:b/>
                <w:sz w:val="24"/>
                <w:szCs w:val="24"/>
              </w:rPr>
              <w:t>情形</w:t>
            </w:r>
            <w:r>
              <w:rPr>
                <w:rFonts w:hint="eastAsia" w:ascii="Times New Roman" w:hAnsi="Times New Roman" w:eastAsia="仿宋"/>
                <w:b/>
                <w:sz w:val="24"/>
                <w:szCs w:val="24"/>
                <w:vertAlign w:val="superscript"/>
              </w:rPr>
              <w:t>注1</w:t>
            </w:r>
          </w:p>
        </w:tc>
        <w:tc>
          <w:tcPr>
            <w:tcW w:w="1921" w:type="dxa"/>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自行</w:t>
            </w:r>
            <w:r>
              <w:rPr>
                <w:rFonts w:ascii="Times New Roman" w:hAnsi="Times New Roman" w:eastAsia="仿宋"/>
                <w:b/>
                <w:sz w:val="24"/>
                <w:szCs w:val="24"/>
              </w:rPr>
              <w:t>派发</w:t>
            </w:r>
            <w:r>
              <w:rPr>
                <w:rFonts w:hint="eastAsia" w:ascii="Times New Roman" w:hAnsi="Times New Roman" w:eastAsia="仿宋"/>
                <w:b/>
                <w:sz w:val="24"/>
                <w:szCs w:val="24"/>
              </w:rPr>
              <w:t>现金红利</w:t>
            </w:r>
            <w:r>
              <w:rPr>
                <w:rFonts w:ascii="Times New Roman" w:hAnsi="Times New Roman" w:eastAsia="仿宋"/>
                <w:b/>
                <w:sz w:val="24"/>
                <w:szCs w:val="24"/>
              </w:rPr>
              <w:t>满足条件</w:t>
            </w:r>
            <w:r>
              <w:rPr>
                <w:rFonts w:hint="eastAsia" w:ascii="Times New Roman" w:hAnsi="Times New Roman" w:eastAsia="仿宋"/>
                <w:b/>
                <w:sz w:val="24"/>
                <w:szCs w:val="24"/>
                <w:vertAlign w:val="superscript"/>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Times New Roman" w:hAnsi="Times New Roman" w:eastAsia="仿宋"/>
                <w:sz w:val="24"/>
                <w:szCs w:val="24"/>
              </w:rPr>
            </w:pPr>
          </w:p>
        </w:tc>
        <w:tc>
          <w:tcPr>
            <w:tcW w:w="1418" w:type="dxa"/>
            <w:vAlign w:val="center"/>
          </w:tcPr>
          <w:p>
            <w:pPr>
              <w:jc w:val="center"/>
              <w:rPr>
                <w:rFonts w:ascii="Times New Roman" w:hAnsi="Times New Roman" w:eastAsia="仿宋"/>
                <w:sz w:val="24"/>
                <w:szCs w:val="24"/>
              </w:rPr>
            </w:pPr>
          </w:p>
        </w:tc>
        <w:tc>
          <w:tcPr>
            <w:tcW w:w="1417" w:type="dxa"/>
            <w:vAlign w:val="center"/>
          </w:tcPr>
          <w:p>
            <w:pPr>
              <w:jc w:val="center"/>
              <w:rPr>
                <w:rFonts w:ascii="Times New Roman" w:hAnsi="Times New Roman" w:eastAsia="仿宋"/>
                <w:sz w:val="24"/>
                <w:szCs w:val="24"/>
              </w:rPr>
            </w:pPr>
          </w:p>
        </w:tc>
        <w:tc>
          <w:tcPr>
            <w:tcW w:w="1701" w:type="dxa"/>
            <w:vAlign w:val="center"/>
          </w:tcPr>
          <w:p>
            <w:pPr>
              <w:jc w:val="center"/>
              <w:rPr>
                <w:rFonts w:ascii="Times New Roman" w:hAnsi="Times New Roman" w:eastAsia="仿宋"/>
                <w:sz w:val="24"/>
                <w:szCs w:val="24"/>
              </w:rPr>
            </w:pPr>
          </w:p>
        </w:tc>
        <w:tc>
          <w:tcPr>
            <w:tcW w:w="1701" w:type="dxa"/>
            <w:vAlign w:val="center"/>
          </w:tcPr>
          <w:p>
            <w:pPr>
              <w:jc w:val="center"/>
              <w:rPr>
                <w:rFonts w:ascii="Times New Roman" w:hAnsi="Times New Roman" w:eastAsia="仿宋"/>
                <w:sz w:val="24"/>
                <w:szCs w:val="24"/>
              </w:rPr>
            </w:pPr>
            <w:r>
              <w:rPr>
                <w:rFonts w:hint="eastAsia" w:ascii="Times New Roman" w:hAnsi="Times New Roman" w:eastAsia="仿宋"/>
                <w:sz w:val="24"/>
                <w:szCs w:val="24"/>
              </w:rPr>
              <w:t>是</w:t>
            </w:r>
            <w:r>
              <w:rPr>
                <w:rFonts w:ascii="Times New Roman" w:hAnsi="Times New Roman" w:eastAsia="仿宋"/>
                <w:sz w:val="24"/>
                <w:szCs w:val="24"/>
              </w:rPr>
              <w:t>/</w:t>
            </w:r>
            <w:r>
              <w:rPr>
                <w:rFonts w:hint="eastAsia" w:ascii="Times New Roman" w:hAnsi="Times New Roman" w:eastAsia="仿宋"/>
                <w:sz w:val="24"/>
                <w:szCs w:val="24"/>
              </w:rPr>
              <w:t>否</w:t>
            </w:r>
          </w:p>
        </w:tc>
        <w:tc>
          <w:tcPr>
            <w:tcW w:w="1921" w:type="dxa"/>
          </w:tcPr>
          <w:p>
            <w:pPr>
              <w:jc w:val="center"/>
              <w:rPr>
                <w:rFonts w:ascii="Times New Roman" w:hAnsi="Times New Roman" w:eastAsia="仿宋"/>
                <w:sz w:val="24"/>
                <w:szCs w:val="24"/>
              </w:rPr>
            </w:pPr>
            <w:r>
              <w:rPr>
                <w:rFonts w:hint="eastAsia" w:ascii="Times New Roman" w:hAnsi="Times New Roman" w:eastAsia="仿宋"/>
                <w:sz w:val="24"/>
                <w:szCs w:val="24"/>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Times New Roman" w:hAnsi="Times New Roman" w:eastAsia="仿宋"/>
                <w:sz w:val="24"/>
                <w:szCs w:val="24"/>
              </w:rPr>
            </w:pPr>
          </w:p>
        </w:tc>
        <w:tc>
          <w:tcPr>
            <w:tcW w:w="1418" w:type="dxa"/>
            <w:vAlign w:val="center"/>
          </w:tcPr>
          <w:p>
            <w:pPr>
              <w:jc w:val="center"/>
              <w:rPr>
                <w:rFonts w:ascii="Times New Roman" w:hAnsi="Times New Roman" w:eastAsia="仿宋"/>
                <w:sz w:val="24"/>
                <w:szCs w:val="24"/>
              </w:rPr>
            </w:pPr>
          </w:p>
        </w:tc>
        <w:tc>
          <w:tcPr>
            <w:tcW w:w="1417" w:type="dxa"/>
            <w:vAlign w:val="center"/>
          </w:tcPr>
          <w:p>
            <w:pPr>
              <w:jc w:val="center"/>
              <w:rPr>
                <w:rFonts w:ascii="Times New Roman" w:hAnsi="Times New Roman" w:eastAsia="仿宋"/>
                <w:sz w:val="24"/>
                <w:szCs w:val="24"/>
              </w:rPr>
            </w:pPr>
          </w:p>
        </w:tc>
        <w:tc>
          <w:tcPr>
            <w:tcW w:w="1701" w:type="dxa"/>
            <w:vAlign w:val="center"/>
          </w:tcPr>
          <w:p>
            <w:pPr>
              <w:jc w:val="center"/>
              <w:rPr>
                <w:rFonts w:ascii="Times New Roman" w:hAnsi="Times New Roman" w:eastAsia="仿宋"/>
                <w:sz w:val="24"/>
                <w:szCs w:val="24"/>
              </w:rPr>
            </w:pPr>
          </w:p>
        </w:tc>
        <w:tc>
          <w:tcPr>
            <w:tcW w:w="1701" w:type="dxa"/>
            <w:vAlign w:val="center"/>
          </w:tcPr>
          <w:p>
            <w:pPr>
              <w:jc w:val="center"/>
              <w:rPr>
                <w:rFonts w:ascii="Times New Roman" w:hAnsi="Times New Roman" w:eastAsia="仿宋"/>
                <w:sz w:val="24"/>
                <w:szCs w:val="24"/>
              </w:rPr>
            </w:pPr>
            <w:r>
              <w:rPr>
                <w:rFonts w:hint="eastAsia" w:ascii="Times New Roman" w:hAnsi="Times New Roman" w:eastAsia="仿宋"/>
                <w:sz w:val="24"/>
                <w:szCs w:val="24"/>
              </w:rPr>
              <w:t>是</w:t>
            </w:r>
            <w:r>
              <w:rPr>
                <w:rFonts w:ascii="Times New Roman" w:hAnsi="Times New Roman" w:eastAsia="仿宋"/>
                <w:sz w:val="24"/>
                <w:szCs w:val="24"/>
              </w:rPr>
              <w:t>/</w:t>
            </w:r>
            <w:r>
              <w:rPr>
                <w:rFonts w:hint="eastAsia" w:ascii="Times New Roman" w:hAnsi="Times New Roman" w:eastAsia="仿宋"/>
                <w:sz w:val="24"/>
                <w:szCs w:val="24"/>
              </w:rPr>
              <w:t>否</w:t>
            </w:r>
          </w:p>
        </w:tc>
        <w:tc>
          <w:tcPr>
            <w:tcW w:w="1921" w:type="dxa"/>
          </w:tcPr>
          <w:p>
            <w:pPr>
              <w:jc w:val="center"/>
              <w:rPr>
                <w:rFonts w:ascii="Times New Roman" w:hAnsi="Times New Roman" w:eastAsia="仿宋"/>
                <w:sz w:val="24"/>
                <w:szCs w:val="24"/>
              </w:rPr>
            </w:pPr>
            <w:r>
              <w:rPr>
                <w:rFonts w:hint="eastAsia" w:ascii="Times New Roman" w:hAnsi="Times New Roman" w:eastAsia="仿宋"/>
                <w:sz w:val="24"/>
                <w:szCs w:val="24"/>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jc w:val="center"/>
              <w:rPr>
                <w:rFonts w:ascii="Times New Roman" w:hAnsi="Times New Roman" w:eastAsia="仿宋"/>
                <w:sz w:val="24"/>
                <w:szCs w:val="24"/>
              </w:rPr>
            </w:pPr>
            <w:r>
              <w:rPr>
                <w:rFonts w:hint="eastAsia" w:ascii="Times New Roman" w:hAnsi="Times New Roman" w:eastAsia="仿宋"/>
                <w:sz w:val="24"/>
                <w:szCs w:val="24"/>
              </w:rPr>
              <w:t>…</w:t>
            </w:r>
          </w:p>
        </w:tc>
        <w:tc>
          <w:tcPr>
            <w:tcW w:w="1418" w:type="dxa"/>
            <w:vAlign w:val="center"/>
          </w:tcPr>
          <w:p>
            <w:pPr>
              <w:jc w:val="center"/>
              <w:rPr>
                <w:sz w:val="24"/>
                <w:szCs w:val="24"/>
              </w:rPr>
            </w:pPr>
            <w:r>
              <w:rPr>
                <w:rFonts w:hint="eastAsia" w:ascii="Times New Roman" w:hAnsi="Times New Roman" w:eastAsia="仿宋"/>
                <w:sz w:val="24"/>
                <w:szCs w:val="24"/>
              </w:rPr>
              <w:t>…</w:t>
            </w:r>
          </w:p>
        </w:tc>
        <w:tc>
          <w:tcPr>
            <w:tcW w:w="1417" w:type="dxa"/>
            <w:vAlign w:val="center"/>
          </w:tcPr>
          <w:p>
            <w:pPr>
              <w:jc w:val="center"/>
              <w:rPr>
                <w:sz w:val="24"/>
                <w:szCs w:val="24"/>
              </w:rPr>
            </w:pPr>
            <w:r>
              <w:rPr>
                <w:rFonts w:hint="eastAsia" w:ascii="Times New Roman" w:hAnsi="Times New Roman" w:eastAsia="仿宋"/>
                <w:sz w:val="24"/>
                <w:szCs w:val="24"/>
              </w:rPr>
              <w:t>…</w:t>
            </w:r>
          </w:p>
        </w:tc>
        <w:tc>
          <w:tcPr>
            <w:tcW w:w="1701" w:type="dxa"/>
            <w:vAlign w:val="center"/>
          </w:tcPr>
          <w:p>
            <w:pPr>
              <w:jc w:val="center"/>
              <w:rPr>
                <w:sz w:val="24"/>
                <w:szCs w:val="24"/>
              </w:rPr>
            </w:pPr>
            <w:r>
              <w:rPr>
                <w:rFonts w:hint="eastAsia" w:ascii="Times New Roman" w:hAnsi="Times New Roman" w:eastAsia="仿宋"/>
                <w:sz w:val="24"/>
                <w:szCs w:val="24"/>
              </w:rPr>
              <w:t>…</w:t>
            </w:r>
          </w:p>
        </w:tc>
        <w:tc>
          <w:tcPr>
            <w:tcW w:w="1701" w:type="dxa"/>
            <w:vAlign w:val="center"/>
          </w:tcPr>
          <w:p>
            <w:pPr>
              <w:jc w:val="center"/>
              <w:rPr>
                <w:sz w:val="24"/>
                <w:szCs w:val="24"/>
              </w:rPr>
            </w:pPr>
            <w:r>
              <w:rPr>
                <w:rFonts w:hint="eastAsia" w:ascii="Times New Roman" w:hAnsi="Times New Roman" w:eastAsia="仿宋"/>
                <w:sz w:val="24"/>
                <w:szCs w:val="24"/>
              </w:rPr>
              <w:t>…</w:t>
            </w:r>
          </w:p>
        </w:tc>
        <w:tc>
          <w:tcPr>
            <w:tcW w:w="1921" w:type="dxa"/>
          </w:tcPr>
          <w:p>
            <w:pPr>
              <w:jc w:val="center"/>
              <w:rPr>
                <w:rFonts w:ascii="Times New Roman" w:hAnsi="Times New Roman" w:eastAsia="仿宋"/>
                <w:sz w:val="24"/>
                <w:szCs w:val="24"/>
              </w:rPr>
            </w:pP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pPr>
            <w:r>
              <w:rPr>
                <w:rFonts w:hint="eastAsia" w:ascii="Times New Roman" w:hAnsi="Times New Roman" w:eastAsia="仿宋"/>
                <w:sz w:val="24"/>
                <w:szCs w:val="24"/>
              </w:rPr>
              <w:t>…</w:t>
            </w:r>
          </w:p>
        </w:tc>
        <w:tc>
          <w:tcPr>
            <w:tcW w:w="1418" w:type="dxa"/>
            <w:vAlign w:val="center"/>
          </w:tcPr>
          <w:p>
            <w:pPr>
              <w:jc w:val="center"/>
            </w:pPr>
            <w:r>
              <w:rPr>
                <w:rFonts w:hint="eastAsia" w:ascii="Times New Roman" w:hAnsi="Times New Roman" w:eastAsia="仿宋"/>
                <w:sz w:val="24"/>
                <w:szCs w:val="24"/>
              </w:rPr>
              <w:t>…</w:t>
            </w:r>
          </w:p>
        </w:tc>
        <w:tc>
          <w:tcPr>
            <w:tcW w:w="1417" w:type="dxa"/>
            <w:vAlign w:val="center"/>
          </w:tcPr>
          <w:p>
            <w:pPr>
              <w:jc w:val="center"/>
            </w:pPr>
            <w:r>
              <w:rPr>
                <w:rFonts w:hint="eastAsia" w:ascii="Times New Roman" w:hAnsi="Times New Roman" w:eastAsia="仿宋"/>
                <w:sz w:val="24"/>
                <w:szCs w:val="24"/>
              </w:rPr>
              <w:t>…</w:t>
            </w:r>
          </w:p>
        </w:tc>
        <w:tc>
          <w:tcPr>
            <w:tcW w:w="1701" w:type="dxa"/>
            <w:vAlign w:val="center"/>
          </w:tcPr>
          <w:p>
            <w:pPr>
              <w:jc w:val="center"/>
            </w:pPr>
            <w:r>
              <w:rPr>
                <w:rFonts w:hint="eastAsia" w:ascii="Times New Roman" w:hAnsi="Times New Roman" w:eastAsia="仿宋"/>
                <w:sz w:val="24"/>
                <w:szCs w:val="24"/>
              </w:rPr>
              <w:t>…</w:t>
            </w:r>
          </w:p>
        </w:tc>
        <w:tc>
          <w:tcPr>
            <w:tcW w:w="1701" w:type="dxa"/>
            <w:vAlign w:val="center"/>
          </w:tcPr>
          <w:p>
            <w:pPr>
              <w:jc w:val="center"/>
            </w:pPr>
            <w:r>
              <w:rPr>
                <w:rFonts w:hint="eastAsia" w:ascii="Times New Roman" w:hAnsi="Times New Roman" w:eastAsia="仿宋"/>
                <w:sz w:val="24"/>
                <w:szCs w:val="24"/>
              </w:rPr>
              <w:t>…</w:t>
            </w:r>
          </w:p>
        </w:tc>
        <w:tc>
          <w:tcPr>
            <w:tcW w:w="1921" w:type="dxa"/>
            <w:vAlign w:val="center"/>
          </w:tcPr>
          <w:p>
            <w:pPr>
              <w:jc w:val="center"/>
            </w:pP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pPr>
            <w:r>
              <w:rPr>
                <w:rFonts w:hint="eastAsia" w:ascii="Times New Roman" w:hAnsi="Times New Roman" w:eastAsia="仿宋"/>
                <w:sz w:val="24"/>
                <w:szCs w:val="24"/>
              </w:rPr>
              <w:t>…</w:t>
            </w:r>
          </w:p>
        </w:tc>
        <w:tc>
          <w:tcPr>
            <w:tcW w:w="1418" w:type="dxa"/>
            <w:vAlign w:val="center"/>
          </w:tcPr>
          <w:p>
            <w:pPr>
              <w:jc w:val="center"/>
            </w:pPr>
            <w:r>
              <w:rPr>
                <w:rFonts w:hint="eastAsia" w:ascii="Times New Roman" w:hAnsi="Times New Roman" w:eastAsia="仿宋"/>
                <w:sz w:val="24"/>
                <w:szCs w:val="24"/>
              </w:rPr>
              <w:t>…</w:t>
            </w:r>
          </w:p>
        </w:tc>
        <w:tc>
          <w:tcPr>
            <w:tcW w:w="1417" w:type="dxa"/>
            <w:vAlign w:val="center"/>
          </w:tcPr>
          <w:p>
            <w:pPr>
              <w:jc w:val="center"/>
            </w:pPr>
            <w:r>
              <w:rPr>
                <w:rFonts w:hint="eastAsia" w:ascii="Times New Roman" w:hAnsi="Times New Roman" w:eastAsia="仿宋"/>
                <w:sz w:val="24"/>
                <w:szCs w:val="24"/>
              </w:rPr>
              <w:t>…</w:t>
            </w:r>
          </w:p>
        </w:tc>
        <w:tc>
          <w:tcPr>
            <w:tcW w:w="1701" w:type="dxa"/>
            <w:vAlign w:val="center"/>
          </w:tcPr>
          <w:p>
            <w:pPr>
              <w:jc w:val="center"/>
            </w:pPr>
            <w:r>
              <w:rPr>
                <w:rFonts w:hint="eastAsia" w:ascii="Times New Roman" w:hAnsi="Times New Roman" w:eastAsia="仿宋"/>
                <w:sz w:val="24"/>
                <w:szCs w:val="24"/>
              </w:rPr>
              <w:t>…</w:t>
            </w:r>
          </w:p>
        </w:tc>
        <w:tc>
          <w:tcPr>
            <w:tcW w:w="1701" w:type="dxa"/>
            <w:vAlign w:val="center"/>
          </w:tcPr>
          <w:p>
            <w:pPr>
              <w:jc w:val="center"/>
            </w:pPr>
            <w:r>
              <w:rPr>
                <w:rFonts w:hint="eastAsia" w:ascii="Times New Roman" w:hAnsi="Times New Roman" w:eastAsia="仿宋"/>
                <w:sz w:val="24"/>
                <w:szCs w:val="24"/>
              </w:rPr>
              <w:t>…</w:t>
            </w:r>
          </w:p>
        </w:tc>
        <w:tc>
          <w:tcPr>
            <w:tcW w:w="1921" w:type="dxa"/>
            <w:vAlign w:val="center"/>
          </w:tcPr>
          <w:p>
            <w:pPr>
              <w:jc w:val="center"/>
            </w:pP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gridSpan w:val="3"/>
            <w:vAlign w:val="center"/>
          </w:tcPr>
          <w:p>
            <w:pPr>
              <w:jc w:val="center"/>
              <w:rPr>
                <w:rFonts w:ascii="Times New Roman" w:hAnsi="Times New Roman" w:eastAsia="仿宋"/>
                <w:b/>
                <w:sz w:val="24"/>
                <w:szCs w:val="24"/>
              </w:rPr>
            </w:pPr>
            <w:r>
              <w:rPr>
                <w:rFonts w:hint="eastAsia" w:ascii="Times New Roman" w:hAnsi="Times New Roman" w:eastAsia="仿宋"/>
                <w:b/>
                <w:sz w:val="24"/>
                <w:szCs w:val="24"/>
              </w:rPr>
              <w:t>现金</w:t>
            </w:r>
            <w:r>
              <w:rPr>
                <w:rFonts w:ascii="Times New Roman" w:hAnsi="Times New Roman" w:eastAsia="仿宋"/>
                <w:b/>
                <w:sz w:val="24"/>
                <w:szCs w:val="24"/>
              </w:rPr>
              <w:t>分红</w:t>
            </w:r>
            <w:r>
              <w:rPr>
                <w:rFonts w:hint="eastAsia" w:ascii="Times New Roman" w:hAnsi="Times New Roman" w:eastAsia="仿宋"/>
                <w:b/>
                <w:sz w:val="24"/>
                <w:szCs w:val="24"/>
              </w:rPr>
              <w:t>总额</w:t>
            </w:r>
            <w:r>
              <w:rPr>
                <w:rFonts w:ascii="Times New Roman" w:hAnsi="Times New Roman" w:eastAsia="仿宋"/>
                <w:b/>
                <w:sz w:val="24"/>
                <w:szCs w:val="24"/>
              </w:rPr>
              <w:t>（</w:t>
            </w:r>
            <w:r>
              <w:rPr>
                <w:rFonts w:hint="eastAsia" w:ascii="Times New Roman" w:hAnsi="Times New Roman" w:eastAsia="仿宋"/>
                <w:b/>
                <w:sz w:val="24"/>
                <w:szCs w:val="24"/>
              </w:rPr>
              <w:t>元</w:t>
            </w:r>
            <w:r>
              <w:rPr>
                <w:rFonts w:ascii="Times New Roman" w:hAnsi="Times New Roman" w:eastAsia="仿宋"/>
                <w:b/>
                <w:sz w:val="24"/>
                <w:szCs w:val="24"/>
              </w:rPr>
              <w:t>）</w:t>
            </w:r>
          </w:p>
        </w:tc>
        <w:tc>
          <w:tcPr>
            <w:tcW w:w="5323" w:type="dxa"/>
            <w:gridSpan w:val="3"/>
            <w:vAlign w:val="center"/>
          </w:tcPr>
          <w:p>
            <w:pPr>
              <w:jc w:val="center"/>
              <w:rPr>
                <w:rFonts w:ascii="Times New Roman" w:hAnsi="Times New Roman" w:eastAsia="仿宋"/>
                <w:sz w:val="24"/>
                <w:szCs w:val="24"/>
              </w:rPr>
            </w:pPr>
          </w:p>
        </w:tc>
      </w:tr>
    </w:tbl>
    <w:p>
      <w:pPr>
        <w:rPr>
          <w:rFonts w:ascii="Times New Roman" w:hAnsi="Times New Roman" w:eastAsia="仿宋" w:cs="Times New Roman"/>
          <w:bCs/>
          <w:color w:val="000000" w:themeColor="text1"/>
          <w:sz w:val="24"/>
          <w:szCs w:val="24"/>
          <w14:textFill>
            <w14:solidFill>
              <w14:schemeClr w14:val="tx1"/>
            </w14:solidFill>
          </w14:textFill>
        </w:rPr>
      </w:pPr>
      <w:r>
        <w:rPr>
          <w:rFonts w:hint="eastAsia" w:ascii="Times New Roman" w:hAnsi="Times New Roman" w:eastAsia="仿宋"/>
          <w:sz w:val="24"/>
          <w:szCs w:val="24"/>
        </w:rPr>
        <w:t>注1：挂牌</w:t>
      </w:r>
      <w:r>
        <w:rPr>
          <w:rFonts w:ascii="Times New Roman" w:hAnsi="Times New Roman" w:eastAsia="仿宋"/>
          <w:sz w:val="24"/>
          <w:szCs w:val="24"/>
        </w:rPr>
        <w:t>公司</w:t>
      </w:r>
      <w:r>
        <w:rPr>
          <w:rFonts w:ascii="Times New Roman" w:hAnsi="Times New Roman" w:eastAsia="仿宋" w:cs="Times New Roman"/>
          <w:bCs/>
          <w:color w:val="000000" w:themeColor="text1"/>
          <w:sz w:val="24"/>
          <w:szCs w:val="24"/>
          <w14:textFill>
            <w14:solidFill>
              <w14:schemeClr w14:val="tx1"/>
            </w14:solidFill>
          </w14:textFill>
        </w:rPr>
        <w:t>股东</w:t>
      </w:r>
      <w:r>
        <w:rPr>
          <w:rFonts w:hint="eastAsia" w:ascii="Times New Roman" w:hAnsi="Times New Roman" w:eastAsia="仿宋" w:cs="Times New Roman"/>
          <w:bCs/>
          <w:color w:val="000000" w:themeColor="text1"/>
          <w:sz w:val="24"/>
          <w:szCs w:val="24"/>
          <w14:textFill>
            <w14:solidFill>
              <w14:schemeClr w14:val="tx1"/>
            </w14:solidFill>
          </w14:textFill>
        </w:rPr>
        <w:t>所持</w:t>
      </w:r>
      <w:r>
        <w:rPr>
          <w:rFonts w:ascii="Times New Roman" w:hAnsi="Times New Roman" w:eastAsia="仿宋" w:cs="Times New Roman"/>
          <w:bCs/>
          <w:color w:val="000000" w:themeColor="text1"/>
          <w:sz w:val="24"/>
          <w:szCs w:val="24"/>
          <w14:textFill>
            <w14:solidFill>
              <w14:schemeClr w14:val="tx1"/>
            </w14:solidFill>
          </w14:textFill>
        </w:rPr>
        <w:t>股份存在质押或司法冻结股息红利情形</w:t>
      </w:r>
      <w:r>
        <w:rPr>
          <w:rFonts w:hint="eastAsia" w:ascii="Times New Roman" w:hAnsi="Times New Roman" w:eastAsia="仿宋" w:cs="Times New Roman"/>
          <w:bCs/>
          <w:color w:val="000000" w:themeColor="text1"/>
          <w:sz w:val="24"/>
          <w:szCs w:val="24"/>
          <w14:textFill>
            <w14:solidFill>
              <w14:schemeClr w14:val="tx1"/>
            </w14:solidFill>
          </w14:textFill>
        </w:rPr>
        <w:t>的</w:t>
      </w:r>
      <w:r>
        <w:rPr>
          <w:rFonts w:ascii="Times New Roman" w:hAnsi="Times New Roman" w:eastAsia="仿宋" w:cs="Times New Roman"/>
          <w:bCs/>
          <w:color w:val="000000" w:themeColor="text1"/>
          <w:sz w:val="24"/>
          <w:szCs w:val="24"/>
          <w14:textFill>
            <w14:solidFill>
              <w14:schemeClr w14:val="tx1"/>
            </w14:solidFill>
          </w14:textFill>
        </w:rPr>
        <w:t>，</w:t>
      </w:r>
      <w:r>
        <w:rPr>
          <w:rFonts w:hint="eastAsia" w:ascii="Times New Roman" w:hAnsi="Times New Roman" w:eastAsia="仿宋" w:cs="Times New Roman"/>
          <w:bCs/>
          <w:color w:val="000000" w:themeColor="text1"/>
          <w:sz w:val="24"/>
          <w:szCs w:val="24"/>
          <w14:textFill>
            <w14:solidFill>
              <w14:schemeClr w14:val="tx1"/>
            </w14:solidFill>
          </w14:textFill>
        </w:rPr>
        <w:t>应当</w:t>
      </w:r>
      <w:r>
        <w:rPr>
          <w:rFonts w:ascii="Times New Roman" w:hAnsi="Times New Roman" w:eastAsia="仿宋" w:cs="Times New Roman"/>
          <w:bCs/>
          <w:color w:val="000000" w:themeColor="text1"/>
          <w:sz w:val="24"/>
          <w:szCs w:val="24"/>
          <w14:textFill>
            <w14:solidFill>
              <w14:schemeClr w14:val="tx1"/>
            </w14:solidFill>
          </w14:textFill>
        </w:rPr>
        <w:t>按照相关约定或法院通知</w:t>
      </w:r>
      <w:r>
        <w:rPr>
          <w:rFonts w:hint="eastAsia" w:ascii="Times New Roman" w:hAnsi="Times New Roman" w:eastAsia="仿宋" w:cs="Times New Roman"/>
          <w:bCs/>
          <w:color w:val="000000" w:themeColor="text1"/>
          <w:sz w:val="24"/>
          <w:szCs w:val="24"/>
          <w14:textFill>
            <w14:solidFill>
              <w14:schemeClr w14:val="tx1"/>
            </w14:solidFill>
          </w14:textFill>
        </w:rPr>
        <w:t>等</w:t>
      </w:r>
      <w:r>
        <w:rPr>
          <w:rFonts w:ascii="Times New Roman" w:hAnsi="Times New Roman" w:eastAsia="仿宋" w:cs="Times New Roman"/>
          <w:bCs/>
          <w:color w:val="000000" w:themeColor="text1"/>
          <w:sz w:val="24"/>
          <w:szCs w:val="24"/>
          <w14:textFill>
            <w14:solidFill>
              <w14:schemeClr w14:val="tx1"/>
            </w14:solidFill>
          </w14:textFill>
        </w:rPr>
        <w:t>要求</w:t>
      </w:r>
      <w:r>
        <w:rPr>
          <w:rFonts w:hint="eastAsia" w:ascii="Times New Roman" w:hAnsi="Times New Roman" w:eastAsia="仿宋" w:cs="Times New Roman"/>
          <w:bCs/>
          <w:color w:val="000000" w:themeColor="text1"/>
          <w:sz w:val="24"/>
          <w:szCs w:val="24"/>
          <w14:textFill>
            <w14:solidFill>
              <w14:schemeClr w14:val="tx1"/>
            </w14:solidFill>
          </w14:textFill>
        </w:rPr>
        <w:t>派发现金</w:t>
      </w:r>
      <w:r>
        <w:rPr>
          <w:rFonts w:ascii="Times New Roman" w:hAnsi="Times New Roman" w:eastAsia="仿宋" w:cs="Times New Roman"/>
          <w:bCs/>
          <w:color w:val="000000" w:themeColor="text1"/>
          <w:sz w:val="24"/>
          <w:szCs w:val="24"/>
          <w14:textFill>
            <w14:solidFill>
              <w14:schemeClr w14:val="tx1"/>
            </w14:solidFill>
          </w14:textFill>
        </w:rPr>
        <w:t>红利。</w:t>
      </w:r>
    </w:p>
    <w:p>
      <w:pPr>
        <w:rPr>
          <w:rFonts w:ascii="Times New Roman" w:hAnsi="Times New Roman" w:eastAsia="仿宋"/>
          <w:sz w:val="24"/>
          <w:szCs w:val="24"/>
        </w:rPr>
      </w:pPr>
      <w:r>
        <w:rPr>
          <w:rFonts w:hint="eastAsia" w:ascii="Times New Roman" w:hAnsi="Times New Roman" w:eastAsia="仿宋"/>
          <w:sz w:val="24"/>
          <w:szCs w:val="24"/>
        </w:rPr>
        <w:t>注2</w:t>
      </w:r>
      <w:r>
        <w:rPr>
          <w:rFonts w:ascii="Times New Roman" w:hAnsi="Times New Roman" w:eastAsia="仿宋"/>
          <w:sz w:val="24"/>
          <w:szCs w:val="24"/>
        </w:rPr>
        <w:t>：</w:t>
      </w:r>
      <w:r>
        <w:rPr>
          <w:rFonts w:hint="eastAsia" w:ascii="Times New Roman" w:hAnsi="Times New Roman" w:eastAsia="仿宋"/>
          <w:sz w:val="24"/>
          <w:szCs w:val="24"/>
        </w:rPr>
        <w:t>自行</w:t>
      </w:r>
      <w:r>
        <w:rPr>
          <w:rFonts w:ascii="Times New Roman" w:hAnsi="Times New Roman" w:eastAsia="仿宋"/>
          <w:sz w:val="24"/>
          <w:szCs w:val="24"/>
        </w:rPr>
        <w:t>派发</w:t>
      </w:r>
      <w:r>
        <w:rPr>
          <w:rFonts w:hint="eastAsia" w:ascii="Times New Roman" w:hAnsi="Times New Roman" w:eastAsia="仿宋"/>
          <w:sz w:val="24"/>
          <w:szCs w:val="24"/>
        </w:rPr>
        <w:t>现金</w:t>
      </w:r>
      <w:r>
        <w:rPr>
          <w:rFonts w:ascii="Times New Roman" w:hAnsi="Times New Roman" w:eastAsia="仿宋"/>
          <w:sz w:val="24"/>
          <w:szCs w:val="24"/>
        </w:rPr>
        <w:t>红利满足条件</w:t>
      </w:r>
      <w:r>
        <w:rPr>
          <w:rFonts w:hint="eastAsia" w:ascii="Times New Roman" w:hAnsi="Times New Roman" w:eastAsia="仿宋"/>
          <w:sz w:val="24"/>
          <w:szCs w:val="24"/>
        </w:rPr>
        <w:t>情形</w:t>
      </w:r>
      <w:r>
        <w:rPr>
          <w:rFonts w:ascii="Times New Roman" w:hAnsi="Times New Roman" w:eastAsia="仿宋"/>
          <w:sz w:val="24"/>
          <w:szCs w:val="24"/>
        </w:rPr>
        <w:t>如下：</w:t>
      </w:r>
    </w:p>
    <w:p>
      <w:pPr>
        <w:rPr>
          <w:rFonts w:hint="eastAsia" w:ascii="Times New Roman" w:hAnsi="Times New Roman" w:eastAsia="仿宋"/>
          <w:sz w:val="24"/>
          <w:szCs w:val="24"/>
          <w:lang w:eastAsia="zh-CN"/>
        </w:rPr>
      </w:pPr>
      <w:r>
        <w:rPr>
          <w:rFonts w:hint="eastAsia" w:ascii="Times New Roman" w:hAnsi="Times New Roman" w:eastAsia="仿宋"/>
          <w:sz w:val="24"/>
          <w:szCs w:val="24"/>
        </w:rPr>
        <w:t>①</w:t>
      </w:r>
      <w:r>
        <w:rPr>
          <w:rFonts w:hint="eastAsia" w:ascii="Times New Roman" w:hAnsi="Times New Roman" w:eastAsia="仿宋" w:cs="Times New Roman"/>
          <w:bCs/>
          <w:color w:val="000000" w:themeColor="text1"/>
          <w:sz w:val="24"/>
          <w:szCs w:val="24"/>
          <w14:textFill>
            <w14:solidFill>
              <w14:schemeClr w14:val="tx1"/>
            </w14:solidFill>
          </w14:textFill>
        </w:rPr>
        <w:t>个人</w:t>
      </w:r>
      <w:r>
        <w:rPr>
          <w:rFonts w:ascii="Times New Roman" w:hAnsi="Times New Roman" w:eastAsia="仿宋" w:cs="Times New Roman"/>
          <w:bCs/>
          <w:color w:val="000000" w:themeColor="text1"/>
          <w:sz w:val="24"/>
          <w:szCs w:val="24"/>
          <w14:textFill>
            <w14:solidFill>
              <w14:schemeClr w14:val="tx1"/>
            </w14:solidFill>
          </w14:textFill>
        </w:rPr>
        <w:t>、证券投资基金股东持股超过</w:t>
      </w:r>
      <w:r>
        <w:rPr>
          <w:rFonts w:hint="eastAsia" w:ascii="Times New Roman" w:hAnsi="Times New Roman" w:eastAsia="仿宋" w:cs="Times New Roman"/>
          <w:bCs/>
          <w:color w:val="000000" w:themeColor="text1"/>
          <w:sz w:val="24"/>
          <w:szCs w:val="24"/>
          <w14:textFill>
            <w14:solidFill>
              <w14:schemeClr w14:val="tx1"/>
            </w14:solidFill>
          </w14:textFill>
        </w:rPr>
        <w:t>1年</w:t>
      </w:r>
      <w:r>
        <w:rPr>
          <w:rFonts w:ascii="Times New Roman" w:hAnsi="Times New Roman" w:eastAsia="仿宋" w:cs="Times New Roman"/>
          <w:bCs/>
          <w:color w:val="000000" w:themeColor="text1"/>
          <w:sz w:val="24"/>
          <w:szCs w:val="24"/>
          <w14:textFill>
            <w14:solidFill>
              <w14:schemeClr w14:val="tx1"/>
            </w14:solidFill>
          </w14:textFill>
        </w:rPr>
        <w:t>且所持股份在权益分派期间不发生变</w:t>
      </w:r>
      <w:r>
        <w:rPr>
          <w:rFonts w:hint="eastAsia" w:ascii="Times New Roman" w:hAnsi="Times New Roman" w:eastAsia="仿宋" w:cs="Times New Roman"/>
          <w:bCs/>
          <w:color w:val="000000" w:themeColor="text1"/>
          <w:sz w:val="24"/>
          <w:szCs w:val="24"/>
          <w14:textFill>
            <w14:solidFill>
              <w14:schemeClr w14:val="tx1"/>
            </w14:solidFill>
          </w14:textFill>
        </w:rPr>
        <w:t>动</w:t>
      </w:r>
      <w:r>
        <w:rPr>
          <w:rFonts w:hint="eastAsia" w:ascii="Times New Roman" w:hAnsi="Times New Roman" w:eastAsia="仿宋" w:cs="Times New Roman"/>
          <w:bCs/>
          <w:color w:val="000000" w:themeColor="text1"/>
          <w:sz w:val="24"/>
          <w:szCs w:val="24"/>
          <w:lang w:eastAsia="zh-CN"/>
          <w14:textFill>
            <w14:solidFill>
              <w14:schemeClr w14:val="tx1"/>
            </w14:solidFill>
          </w14:textFill>
        </w:rPr>
        <w:t>；</w:t>
      </w:r>
    </w:p>
    <w:p>
      <w:pPr>
        <w:rPr>
          <w:rFonts w:hint="eastAsia" w:ascii="Times New Roman" w:hAnsi="Times New Roman" w:eastAsia="仿宋" w:cs="Times New Roman"/>
          <w:bCs/>
          <w:color w:val="000000" w:themeColor="text1"/>
          <w:sz w:val="24"/>
          <w:szCs w:val="24"/>
          <w:lang w:eastAsia="zh-CN"/>
          <w14:textFill>
            <w14:solidFill>
              <w14:schemeClr w14:val="tx1"/>
            </w14:solidFill>
          </w14:textFill>
        </w:rPr>
      </w:pPr>
      <w:r>
        <w:rPr>
          <w:rFonts w:hint="eastAsia" w:ascii="Times New Roman" w:hAnsi="Times New Roman" w:eastAsia="仿宋"/>
          <w:sz w:val="24"/>
          <w:szCs w:val="24"/>
        </w:rPr>
        <w:t>②</w:t>
      </w:r>
      <w:r>
        <w:rPr>
          <w:rFonts w:hint="eastAsia" w:ascii="Times New Roman" w:hAnsi="Times New Roman" w:eastAsia="仿宋" w:cs="Times New Roman"/>
          <w:bCs/>
          <w:color w:val="000000" w:themeColor="text1"/>
          <w:sz w:val="24"/>
          <w:szCs w:val="24"/>
          <w14:textFill>
            <w14:solidFill>
              <w14:schemeClr w14:val="tx1"/>
            </w14:solidFill>
          </w14:textFill>
        </w:rPr>
        <w:t>机构</w:t>
      </w:r>
      <w:r>
        <w:rPr>
          <w:rFonts w:ascii="Times New Roman" w:hAnsi="Times New Roman" w:eastAsia="仿宋" w:cs="Times New Roman"/>
          <w:bCs/>
          <w:color w:val="000000" w:themeColor="text1"/>
          <w:sz w:val="24"/>
          <w:szCs w:val="24"/>
          <w14:textFill>
            <w14:solidFill>
              <w14:schemeClr w14:val="tx1"/>
            </w14:solidFill>
          </w14:textFill>
        </w:rPr>
        <w:t>股东所持股份在权益分派期间</w:t>
      </w:r>
      <w:r>
        <w:rPr>
          <w:rFonts w:hint="eastAsia" w:ascii="Times New Roman" w:hAnsi="Times New Roman" w:eastAsia="仿宋" w:cs="Times New Roman"/>
          <w:bCs/>
          <w:color w:val="000000" w:themeColor="text1"/>
          <w:sz w:val="24"/>
          <w:szCs w:val="24"/>
          <w14:textFill>
            <w14:solidFill>
              <w14:schemeClr w14:val="tx1"/>
            </w14:solidFill>
          </w14:textFill>
        </w:rPr>
        <w:t>不发生</w:t>
      </w:r>
      <w:r>
        <w:rPr>
          <w:rFonts w:ascii="Times New Roman" w:hAnsi="Times New Roman" w:eastAsia="仿宋" w:cs="Times New Roman"/>
          <w:bCs/>
          <w:color w:val="000000" w:themeColor="text1"/>
          <w:sz w:val="24"/>
          <w:szCs w:val="24"/>
          <w14:textFill>
            <w14:solidFill>
              <w14:schemeClr w14:val="tx1"/>
            </w14:solidFill>
          </w14:textFill>
        </w:rPr>
        <w:t>变动</w:t>
      </w:r>
      <w:r>
        <w:rPr>
          <w:rFonts w:hint="eastAsia" w:ascii="Times New Roman" w:hAnsi="Times New Roman" w:eastAsia="仿宋" w:cs="Times New Roman"/>
          <w:bCs/>
          <w:color w:val="000000" w:themeColor="text1"/>
          <w:sz w:val="24"/>
          <w:szCs w:val="24"/>
          <w:lang w:eastAsia="zh-CN"/>
          <w14:textFill>
            <w14:solidFill>
              <w14:schemeClr w14:val="tx1"/>
            </w14:solidFill>
          </w14:textFill>
        </w:rPr>
        <w:t>。</w:t>
      </w:r>
    </w:p>
    <w:p>
      <w:pPr>
        <w:rPr>
          <w:rFonts w:ascii="Times New Roman" w:hAnsi="Times New Roman" w:eastAsia="仿宋" w:cs="Times New Roman"/>
          <w:bCs/>
          <w:color w:val="000000" w:themeColor="text1"/>
          <w:sz w:val="24"/>
          <w:szCs w:val="24"/>
          <w14:textFill>
            <w14:solidFill>
              <w14:schemeClr w14:val="tx1"/>
            </w14:solidFill>
          </w14:textFill>
        </w:rPr>
      </w:pPr>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承诺</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XX公司</w:t>
      </w:r>
      <w:r>
        <w:rPr>
          <w:rFonts w:ascii="Times New Roman" w:hAnsi="Times New Roman" w:eastAsia="仿宋"/>
          <w:sz w:val="32"/>
          <w:szCs w:val="32"/>
        </w:rPr>
        <w:t>承诺：本公司将</w:t>
      </w:r>
      <w:r>
        <w:rPr>
          <w:rFonts w:hint="eastAsia" w:ascii="Times New Roman" w:hAnsi="Times New Roman" w:eastAsia="仿宋"/>
          <w:sz w:val="32"/>
          <w:szCs w:val="32"/>
        </w:rPr>
        <w:t>于</w:t>
      </w:r>
      <w:r>
        <w:rPr>
          <w:rFonts w:ascii="Times New Roman" w:hAnsi="Times New Roman" w:eastAsia="仿宋"/>
          <w:sz w:val="32"/>
          <w:szCs w:val="32"/>
        </w:rPr>
        <w:t>除权除息日（</w:t>
      </w:r>
      <w:r>
        <w:rPr>
          <w:rFonts w:hint="eastAsia" w:ascii="Times New Roman" w:hAnsi="Times New Roman" w:eastAsia="仿宋"/>
          <w:sz w:val="32"/>
          <w:szCs w:val="32"/>
        </w:rPr>
        <w:t>X年X月X日</w:t>
      </w:r>
      <w:r>
        <w:rPr>
          <w:rFonts w:ascii="Times New Roman" w:hAnsi="Times New Roman" w:eastAsia="仿宋"/>
          <w:sz w:val="32"/>
          <w:szCs w:val="32"/>
        </w:rPr>
        <w:t>）</w:t>
      </w:r>
      <w:r>
        <w:rPr>
          <w:rFonts w:hint="eastAsia" w:ascii="Times New Roman" w:hAnsi="Times New Roman" w:eastAsia="仿宋"/>
          <w:sz w:val="32"/>
          <w:szCs w:val="32"/>
        </w:rPr>
        <w:t>完成</w:t>
      </w:r>
      <w:r>
        <w:rPr>
          <w:rFonts w:ascii="Times New Roman" w:hAnsi="Times New Roman" w:eastAsia="仿宋"/>
          <w:sz w:val="32"/>
          <w:szCs w:val="32"/>
        </w:rPr>
        <w:t>对</w:t>
      </w:r>
      <w:r>
        <w:rPr>
          <w:rFonts w:hint="eastAsia" w:ascii="Times New Roman" w:hAnsi="Times New Roman" w:eastAsia="仿宋"/>
          <w:sz w:val="32"/>
          <w:szCs w:val="32"/>
        </w:rPr>
        <w:t>上述</w:t>
      </w:r>
      <w:r>
        <w:rPr>
          <w:rFonts w:ascii="Times New Roman" w:hAnsi="Times New Roman" w:eastAsia="仿宋"/>
          <w:sz w:val="32"/>
          <w:szCs w:val="32"/>
        </w:rPr>
        <w:t>所有</w:t>
      </w:r>
      <w:r>
        <w:rPr>
          <w:rFonts w:hint="eastAsia" w:ascii="Times New Roman" w:hAnsi="Times New Roman" w:eastAsia="仿宋"/>
          <w:sz w:val="32"/>
          <w:szCs w:val="32"/>
        </w:rPr>
        <w:t>自派</w:t>
      </w:r>
      <w:r>
        <w:rPr>
          <w:rFonts w:ascii="Times New Roman" w:hAnsi="Times New Roman" w:eastAsia="仿宋"/>
          <w:sz w:val="32"/>
          <w:szCs w:val="32"/>
        </w:rPr>
        <w:t>股东的现金红利派发工作。</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如预计</w:t>
      </w:r>
      <w:r>
        <w:rPr>
          <w:rFonts w:ascii="Times New Roman" w:hAnsi="Times New Roman" w:eastAsia="仿宋"/>
          <w:sz w:val="32"/>
          <w:szCs w:val="32"/>
        </w:rPr>
        <w:t>不能</w:t>
      </w:r>
      <w:r>
        <w:rPr>
          <w:rFonts w:hint="eastAsia" w:ascii="Times New Roman" w:hAnsi="Times New Roman" w:eastAsia="仿宋"/>
          <w:sz w:val="32"/>
          <w:szCs w:val="32"/>
        </w:rPr>
        <w:t>在</w:t>
      </w:r>
      <w:r>
        <w:rPr>
          <w:rFonts w:ascii="Times New Roman" w:hAnsi="Times New Roman" w:eastAsia="仿宋"/>
          <w:sz w:val="32"/>
          <w:szCs w:val="32"/>
        </w:rPr>
        <w:t>除权除息日完成派发，本公司</w:t>
      </w:r>
      <w:r>
        <w:rPr>
          <w:rFonts w:hint="eastAsia" w:ascii="Times New Roman" w:hAnsi="Times New Roman" w:eastAsia="仿宋"/>
          <w:sz w:val="32"/>
          <w:szCs w:val="32"/>
        </w:rPr>
        <w:t>承诺</w:t>
      </w:r>
      <w:r>
        <w:rPr>
          <w:rFonts w:ascii="Times New Roman" w:hAnsi="Times New Roman" w:eastAsia="仿宋"/>
          <w:sz w:val="32"/>
          <w:szCs w:val="32"/>
        </w:rPr>
        <w:t>于R-1</w:t>
      </w:r>
      <w:r>
        <w:rPr>
          <w:rFonts w:hint="eastAsia" w:ascii="Times New Roman" w:hAnsi="Times New Roman" w:eastAsia="仿宋"/>
          <w:sz w:val="32"/>
          <w:szCs w:val="32"/>
        </w:rPr>
        <w:t>日</w:t>
      </w:r>
      <w:r>
        <w:rPr>
          <w:rFonts w:ascii="Times New Roman" w:hAnsi="Times New Roman" w:eastAsia="仿宋"/>
          <w:sz w:val="32"/>
          <w:szCs w:val="32"/>
        </w:rPr>
        <w:t>（</w:t>
      </w:r>
      <w:r>
        <w:rPr>
          <w:rFonts w:hint="eastAsia" w:ascii="Times New Roman" w:hAnsi="Times New Roman" w:eastAsia="仿宋"/>
          <w:sz w:val="32"/>
          <w:szCs w:val="32"/>
        </w:rPr>
        <w:t>X年X月X日</w:t>
      </w:r>
      <w:r>
        <w:rPr>
          <w:rFonts w:ascii="Times New Roman" w:hAnsi="Times New Roman" w:eastAsia="仿宋"/>
          <w:sz w:val="32"/>
          <w:szCs w:val="32"/>
        </w:rPr>
        <w:t>）</w:t>
      </w:r>
      <w:r>
        <w:rPr>
          <w:rFonts w:hint="eastAsia" w:ascii="Times New Roman" w:hAnsi="Times New Roman" w:eastAsia="仿宋"/>
          <w:sz w:val="32"/>
          <w:szCs w:val="32"/>
        </w:rPr>
        <w:t>及</w:t>
      </w:r>
      <w:r>
        <w:rPr>
          <w:rFonts w:ascii="Times New Roman" w:hAnsi="Times New Roman" w:eastAsia="仿宋"/>
          <w:sz w:val="32"/>
          <w:szCs w:val="32"/>
        </w:rPr>
        <w:t>之前</w:t>
      </w:r>
      <w:r>
        <w:rPr>
          <w:rFonts w:hint="eastAsia" w:ascii="Times New Roman" w:hAnsi="Times New Roman" w:eastAsia="仿宋"/>
          <w:sz w:val="32"/>
          <w:szCs w:val="32"/>
        </w:rPr>
        <w:t>披露</w:t>
      </w:r>
      <w:r>
        <w:rPr>
          <w:rFonts w:ascii="Times New Roman" w:hAnsi="Times New Roman" w:eastAsia="仿宋"/>
          <w:sz w:val="32"/>
          <w:szCs w:val="32"/>
        </w:rPr>
        <w:t>权益分派延期实施公告</w:t>
      </w:r>
      <w:r>
        <w:rPr>
          <w:rFonts w:hint="eastAsia" w:ascii="Times New Roman" w:hAnsi="Times New Roman" w:eastAsia="仿宋"/>
          <w:sz w:val="32"/>
          <w:szCs w:val="32"/>
        </w:rPr>
        <w:t>；</w:t>
      </w:r>
      <w:r>
        <w:rPr>
          <w:rFonts w:ascii="Times New Roman" w:hAnsi="Times New Roman" w:eastAsia="仿宋"/>
          <w:sz w:val="32"/>
          <w:szCs w:val="32"/>
        </w:rPr>
        <w:t>若未能按期披露延期实施公告，</w:t>
      </w:r>
      <w:r>
        <w:rPr>
          <w:rFonts w:hint="eastAsia" w:ascii="Times New Roman" w:hAnsi="Times New Roman" w:eastAsia="仿宋"/>
          <w:sz w:val="32"/>
          <w:szCs w:val="32"/>
        </w:rPr>
        <w:t>本公司将申请股票自R日开市起停牌。</w:t>
      </w:r>
    </w:p>
    <w:p>
      <w:pPr>
        <w:ind w:firstLine="640" w:firstLineChars="200"/>
        <w:rPr>
          <w:rFonts w:ascii="Times New Roman" w:hAnsi="Times New Roman" w:eastAsia="仿宋"/>
          <w:sz w:val="32"/>
          <w:szCs w:val="32"/>
        </w:rPr>
      </w:pPr>
    </w:p>
    <w:p>
      <w:pPr>
        <w:ind w:right="640" w:firstLine="640" w:firstLineChars="200"/>
        <w:jc w:val="right"/>
        <w:rPr>
          <w:rFonts w:ascii="Times New Roman" w:hAnsi="Times New Roman" w:eastAsia="仿宋"/>
          <w:sz w:val="32"/>
          <w:szCs w:val="32"/>
        </w:rPr>
      </w:pPr>
      <w:r>
        <w:rPr>
          <w:rFonts w:hint="eastAsia" w:ascii="Times New Roman" w:hAnsi="Times New Roman" w:eastAsia="仿宋"/>
          <w:sz w:val="32"/>
          <w:szCs w:val="32"/>
        </w:rPr>
        <w:t>XX公司</w:t>
      </w:r>
      <w:r>
        <w:rPr>
          <w:rFonts w:ascii="Times New Roman" w:hAnsi="Times New Roman" w:eastAsia="仿宋"/>
          <w:sz w:val="32"/>
          <w:szCs w:val="32"/>
        </w:rPr>
        <w:t>（</w:t>
      </w:r>
      <w:r>
        <w:rPr>
          <w:rFonts w:hint="eastAsia" w:ascii="Times New Roman" w:hAnsi="Times New Roman" w:eastAsia="仿宋"/>
          <w:sz w:val="32"/>
          <w:szCs w:val="32"/>
        </w:rPr>
        <w:t>签章</w:t>
      </w:r>
      <w:r>
        <w:rPr>
          <w:rFonts w:ascii="Times New Roman" w:hAnsi="Times New Roman" w:eastAsia="仿宋"/>
          <w:sz w:val="32"/>
          <w:szCs w:val="32"/>
        </w:rPr>
        <w:t>）</w:t>
      </w:r>
    </w:p>
    <w:p>
      <w:pPr>
        <w:ind w:right="640" w:firstLine="640" w:firstLineChars="200"/>
        <w:jc w:val="right"/>
        <w:rPr>
          <w:rFonts w:ascii="Times New Roman" w:hAnsi="Times New Roman" w:eastAsia="仿宋"/>
          <w:sz w:val="32"/>
          <w:szCs w:val="32"/>
        </w:rPr>
      </w:pPr>
      <w:r>
        <w:rPr>
          <w:rFonts w:hint="eastAsia" w:ascii="Times New Roman" w:hAnsi="Times New Roman" w:eastAsia="仿宋"/>
          <w:sz w:val="32"/>
          <w:szCs w:val="32"/>
        </w:rPr>
        <w:t>X年X月X日</w:t>
      </w:r>
    </w:p>
    <w:p>
      <w:pPr>
        <w:spacing w:line="600" w:lineRule="exact"/>
        <w:ind w:firstLine="640" w:firstLineChars="200"/>
        <w:rPr>
          <w:rFonts w:ascii="Times New Roman" w:hAnsi="Times New Roman" w:eastAsia="仿宋"/>
          <w:sz w:val="32"/>
          <w:szCs w:val="32"/>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p>
      <w:pPr>
        <w:spacing w:line="280" w:lineRule="exact"/>
        <w:rPr>
          <w:rFonts w:ascii="Times New Roman" w:hAnsi="Times New Roman" w:eastAsia="方正仿宋简体"/>
          <w:sz w:val="30"/>
          <w:szCs w:val="30"/>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27BAB"/>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632F5"/>
    <w:rsid w:val="00065547"/>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721"/>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15B"/>
    <w:rsid w:val="00154EFD"/>
    <w:rsid w:val="00155052"/>
    <w:rsid w:val="001559C9"/>
    <w:rsid w:val="0016074F"/>
    <w:rsid w:val="001608C8"/>
    <w:rsid w:val="00160BF3"/>
    <w:rsid w:val="00165E5A"/>
    <w:rsid w:val="00170F03"/>
    <w:rsid w:val="001732C7"/>
    <w:rsid w:val="001751C9"/>
    <w:rsid w:val="00177DEB"/>
    <w:rsid w:val="00182027"/>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111E"/>
    <w:rsid w:val="001B2675"/>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4510"/>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EE"/>
    <w:rsid w:val="002566F5"/>
    <w:rsid w:val="00256738"/>
    <w:rsid w:val="0025678A"/>
    <w:rsid w:val="00256A8B"/>
    <w:rsid w:val="00257483"/>
    <w:rsid w:val="00260853"/>
    <w:rsid w:val="00264360"/>
    <w:rsid w:val="00267C14"/>
    <w:rsid w:val="00271211"/>
    <w:rsid w:val="002730B4"/>
    <w:rsid w:val="002735E0"/>
    <w:rsid w:val="00280A80"/>
    <w:rsid w:val="0028118C"/>
    <w:rsid w:val="00283F11"/>
    <w:rsid w:val="002942FD"/>
    <w:rsid w:val="00295F6A"/>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44F6"/>
    <w:rsid w:val="00305814"/>
    <w:rsid w:val="00306CA9"/>
    <w:rsid w:val="0031218F"/>
    <w:rsid w:val="00312E97"/>
    <w:rsid w:val="00313721"/>
    <w:rsid w:val="003138A7"/>
    <w:rsid w:val="0032130E"/>
    <w:rsid w:val="003217D5"/>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461E"/>
    <w:rsid w:val="00356570"/>
    <w:rsid w:val="00362652"/>
    <w:rsid w:val="00365AE1"/>
    <w:rsid w:val="00365CEC"/>
    <w:rsid w:val="0037331F"/>
    <w:rsid w:val="00373B5F"/>
    <w:rsid w:val="003810B0"/>
    <w:rsid w:val="00383400"/>
    <w:rsid w:val="00390555"/>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6E6"/>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5B0C"/>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B1BD5"/>
    <w:rsid w:val="005B7562"/>
    <w:rsid w:val="005C235F"/>
    <w:rsid w:val="005C3297"/>
    <w:rsid w:val="005C3D38"/>
    <w:rsid w:val="005C4C02"/>
    <w:rsid w:val="005C7B94"/>
    <w:rsid w:val="005D0783"/>
    <w:rsid w:val="005D14A4"/>
    <w:rsid w:val="005D5157"/>
    <w:rsid w:val="005D5E84"/>
    <w:rsid w:val="005E5FC8"/>
    <w:rsid w:val="005E7889"/>
    <w:rsid w:val="005F65B0"/>
    <w:rsid w:val="005F77E3"/>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3D96"/>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300E"/>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1A8E"/>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1CE2"/>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31FE"/>
    <w:rsid w:val="008855E7"/>
    <w:rsid w:val="00885B5F"/>
    <w:rsid w:val="00885F71"/>
    <w:rsid w:val="00886C8F"/>
    <w:rsid w:val="00893150"/>
    <w:rsid w:val="00893929"/>
    <w:rsid w:val="00894FFB"/>
    <w:rsid w:val="00896F9A"/>
    <w:rsid w:val="008973DA"/>
    <w:rsid w:val="008A0792"/>
    <w:rsid w:val="008A0BC2"/>
    <w:rsid w:val="008A48B5"/>
    <w:rsid w:val="008A53CF"/>
    <w:rsid w:val="008B2857"/>
    <w:rsid w:val="008B3A38"/>
    <w:rsid w:val="008B7174"/>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0BD3"/>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7FB"/>
    <w:rsid w:val="00975561"/>
    <w:rsid w:val="00976386"/>
    <w:rsid w:val="00976507"/>
    <w:rsid w:val="0097736B"/>
    <w:rsid w:val="00980D21"/>
    <w:rsid w:val="00983F9F"/>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4A80"/>
    <w:rsid w:val="00AA510C"/>
    <w:rsid w:val="00AA6D90"/>
    <w:rsid w:val="00AA721E"/>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2871"/>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243F"/>
    <w:rsid w:val="00C36930"/>
    <w:rsid w:val="00C36E96"/>
    <w:rsid w:val="00C4120A"/>
    <w:rsid w:val="00C473FD"/>
    <w:rsid w:val="00C47F38"/>
    <w:rsid w:val="00C50547"/>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931BA"/>
    <w:rsid w:val="00C94279"/>
    <w:rsid w:val="00CA6562"/>
    <w:rsid w:val="00CB2104"/>
    <w:rsid w:val="00CB29C3"/>
    <w:rsid w:val="00CB2C39"/>
    <w:rsid w:val="00CB2D41"/>
    <w:rsid w:val="00CB7268"/>
    <w:rsid w:val="00CC66AC"/>
    <w:rsid w:val="00CD060D"/>
    <w:rsid w:val="00CD2057"/>
    <w:rsid w:val="00CD3B61"/>
    <w:rsid w:val="00CD49B7"/>
    <w:rsid w:val="00CE4F04"/>
    <w:rsid w:val="00CF23F7"/>
    <w:rsid w:val="00CF3B95"/>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251E"/>
    <w:rsid w:val="00D63B60"/>
    <w:rsid w:val="00D641FD"/>
    <w:rsid w:val="00D65F3D"/>
    <w:rsid w:val="00D72982"/>
    <w:rsid w:val="00D81454"/>
    <w:rsid w:val="00D82381"/>
    <w:rsid w:val="00D861D2"/>
    <w:rsid w:val="00D91A18"/>
    <w:rsid w:val="00D939F4"/>
    <w:rsid w:val="00D94107"/>
    <w:rsid w:val="00D950F4"/>
    <w:rsid w:val="00D96603"/>
    <w:rsid w:val="00D97FC6"/>
    <w:rsid w:val="00DA1CE9"/>
    <w:rsid w:val="00DA76EB"/>
    <w:rsid w:val="00DA7FAE"/>
    <w:rsid w:val="00DB229E"/>
    <w:rsid w:val="00DB538D"/>
    <w:rsid w:val="00DB5FCC"/>
    <w:rsid w:val="00DC5B69"/>
    <w:rsid w:val="00DC5BA4"/>
    <w:rsid w:val="00DC6B41"/>
    <w:rsid w:val="00DC75AD"/>
    <w:rsid w:val="00DD05EE"/>
    <w:rsid w:val="00DD26E8"/>
    <w:rsid w:val="00DD4203"/>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E22"/>
    <w:rsid w:val="00EC6D2E"/>
    <w:rsid w:val="00ED1939"/>
    <w:rsid w:val="00ED5E9D"/>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3CB7"/>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73B9F"/>
    <w:rsid w:val="00F742B3"/>
    <w:rsid w:val="00F85D0F"/>
    <w:rsid w:val="00F864FE"/>
    <w:rsid w:val="00F878AF"/>
    <w:rsid w:val="00F90E9E"/>
    <w:rsid w:val="00F950BF"/>
    <w:rsid w:val="00F96369"/>
    <w:rsid w:val="00F979D5"/>
    <w:rsid w:val="00FA0AC6"/>
    <w:rsid w:val="00FA35A4"/>
    <w:rsid w:val="00FA5ADF"/>
    <w:rsid w:val="00FB3248"/>
    <w:rsid w:val="00FE028E"/>
    <w:rsid w:val="00FE4655"/>
    <w:rsid w:val="00FE7164"/>
    <w:rsid w:val="00FF0DAD"/>
    <w:rsid w:val="00FF29D2"/>
    <w:rsid w:val="2F797DD3"/>
    <w:rsid w:val="37FD589A"/>
    <w:rsid w:val="6FF951FF"/>
    <w:rsid w:val="75DF374E"/>
    <w:rsid w:val="77B37DEA"/>
    <w:rsid w:val="7DFF9E88"/>
    <w:rsid w:val="7FDF5F58"/>
    <w:rsid w:val="913D4FD8"/>
    <w:rsid w:val="FBEFD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3438</Words>
  <Characters>3534</Characters>
  <Lines>26</Lines>
  <Paragraphs>7</Paragraphs>
  <TotalTime>0</TotalTime>
  <ScaleCrop>false</ScaleCrop>
  <LinksUpToDate>false</LinksUpToDate>
  <CharactersWithSpaces>3545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2023-12-23T06:06:00Z</dcterms:created>
  <dc:creator>nuecc</dc:creator>
  <cp:lastModifiedBy>gaoduo</cp:lastModifiedBy>
  <cp:lastPrinted>2022-07-22T15:41:00Z</cp:lastPrinted>
  <dcterms:modified xsi:type="dcterms:W3CDTF">2023-12-22T17:57:07Z</dcterms:modified>
  <dc:title>全国股转公司文件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