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Lines="0" w:line="600" w:lineRule="exact"/>
        <w:ind w:firstLine="0" w:firstLineChars="0"/>
        <w:jc w:val="center"/>
        <w:rPr>
          <w:rFonts w:eastAsia="方正大标宋简体"/>
          <w:sz w:val="42"/>
          <w:szCs w:val="42"/>
        </w:rPr>
      </w:pPr>
      <w:bookmarkStart w:id="0" w:name="_GoBack"/>
      <w:bookmarkEnd w:id="0"/>
    </w:p>
    <w:p>
      <w:pPr>
        <w:pStyle w:val="3"/>
        <w:spacing w:afterLines="0" w:line="600" w:lineRule="exact"/>
        <w:ind w:firstLine="0" w:firstLineChars="0"/>
        <w:jc w:val="center"/>
        <w:rPr>
          <w:rFonts w:eastAsia="方正大标宋简体"/>
          <w:sz w:val="42"/>
          <w:szCs w:val="42"/>
        </w:rPr>
      </w:pPr>
      <w:r>
        <w:rPr>
          <w:rFonts w:hint="eastAsia" w:eastAsia="方正大标宋简体"/>
          <w:sz w:val="42"/>
          <w:szCs w:val="42"/>
        </w:rPr>
        <w:t>北京证券交易所公司债券（含企业债券）现券</w:t>
      </w:r>
    </w:p>
    <w:p>
      <w:pPr>
        <w:pStyle w:val="3"/>
        <w:spacing w:afterLines="0" w:line="600" w:lineRule="exact"/>
        <w:ind w:firstLine="0" w:firstLineChars="0"/>
        <w:jc w:val="center"/>
        <w:rPr>
          <w:rFonts w:eastAsia="方正大标宋简体"/>
          <w:sz w:val="42"/>
          <w:szCs w:val="42"/>
        </w:rPr>
      </w:pPr>
      <w:r>
        <w:rPr>
          <w:rFonts w:hint="eastAsia" w:eastAsia="方正大标宋简体"/>
          <w:sz w:val="42"/>
          <w:szCs w:val="42"/>
        </w:rPr>
        <w:t>交易业务第四次全网</w:t>
      </w:r>
      <w:r>
        <w:rPr>
          <w:rFonts w:hint="eastAsia" w:eastAsia="方正大标宋简体"/>
          <w:color w:val="000000" w:themeColor="text1"/>
          <w:sz w:val="42"/>
          <w:szCs w:val="42"/>
          <w14:textFill>
            <w14:solidFill>
              <w14:schemeClr w14:val="tx1"/>
            </w14:solidFill>
          </w14:textFill>
        </w:rPr>
        <w:t>测试</w:t>
      </w:r>
      <w:r>
        <w:rPr>
          <w:rFonts w:eastAsia="方正大标宋简体"/>
          <w:sz w:val="42"/>
          <w:szCs w:val="42"/>
        </w:rPr>
        <w:t>反馈报告</w:t>
      </w:r>
    </w:p>
    <w:tbl>
      <w:tblPr>
        <w:tblStyle w:val="9"/>
        <w:tblW w:w="9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9022" w:type="dxa"/>
            <w:vAlign w:val="center"/>
          </w:tcPr>
          <w:p>
            <w:pPr>
              <w:pStyle w:val="13"/>
              <w:spacing w:before="60" w:after="60" w:line="0" w:lineRule="atLeast"/>
              <w:ind w:firstLine="0" w:firstLineChars="0"/>
              <w:rPr>
                <w:rFonts w:ascii="Times New Roman" w:hAnsi="Times New Roman" w:cs="Times New Roman"/>
                <w:b/>
                <w:color w:val="000000"/>
                <w:szCs w:val="24"/>
              </w:rPr>
            </w:pPr>
            <w:r>
              <w:rPr>
                <w:rFonts w:hint="eastAsia" w:ascii="Times New Roman" w:hAnsi="Times New Roman" w:eastAsia="黑体" w:cs="Arial"/>
                <w:sz w:val="28"/>
                <w:szCs w:val="28"/>
              </w:rPr>
              <w:t>一、</w:t>
            </w:r>
            <w:r>
              <w:rPr>
                <w:rFonts w:ascii="Times New Roman" w:hAnsi="Times New Roman" w:eastAsia="黑体" w:cs="Arial"/>
                <w:sz w:val="28"/>
                <w:szCs w:val="28"/>
              </w:rPr>
              <w:t>参测机构名称：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022" w:type="dxa"/>
            <w:tcBorders>
              <w:bottom w:val="single" w:color="auto" w:sz="4" w:space="0"/>
            </w:tcBorders>
            <w:vAlign w:val="center"/>
          </w:tcPr>
          <w:p>
            <w:pPr>
              <w:pStyle w:val="13"/>
              <w:spacing w:line="400" w:lineRule="exact"/>
              <w:ind w:firstLine="0" w:firstLineChars="0"/>
              <w:rPr>
                <w:rFonts w:ascii="Times New Roman" w:hAnsi="Times New Roman" w:eastAsia="黑体" w:cs="Arial"/>
                <w:sz w:val="28"/>
                <w:szCs w:val="28"/>
              </w:rPr>
            </w:pPr>
            <w:r>
              <w:rPr>
                <w:rFonts w:hint="eastAsia" w:ascii="Times New Roman" w:hAnsi="Times New Roman" w:eastAsia="黑体" w:cs="Arial"/>
                <w:sz w:val="28"/>
                <w:szCs w:val="28"/>
              </w:rPr>
              <w:t>二、</w:t>
            </w:r>
            <w:r>
              <w:rPr>
                <w:rFonts w:ascii="Times New Roman" w:hAnsi="Times New Roman" w:eastAsia="黑体" w:cs="Arial"/>
                <w:sz w:val="28"/>
                <w:szCs w:val="28"/>
              </w:rPr>
              <w:t>测试时间</w:t>
            </w:r>
            <w:r>
              <w:rPr>
                <w:rFonts w:hint="eastAsia" w:ascii="Times New Roman" w:hAnsi="Times New Roman" w:eastAsia="黑体" w:cs="Arial"/>
                <w:sz w:val="28"/>
                <w:szCs w:val="28"/>
              </w:rPr>
              <w:t>：</w:t>
            </w:r>
            <w:r>
              <w:rPr>
                <w:rFonts w:hint="eastAsia" w:ascii="Times New Roman" w:hAnsi="Times New Roman" w:eastAsia="仿宋" w:cs="Times New Roman"/>
                <w:sz w:val="28"/>
                <w:szCs w:val="28"/>
              </w:rPr>
              <w:t>第四次全网测试（</w:t>
            </w:r>
            <w:r>
              <w:rPr>
                <w:rFonts w:ascii="Times New Roman" w:hAnsi="Times New Roman" w:eastAsia="仿宋" w:cs="Times New Roman"/>
                <w:sz w:val="28"/>
                <w:szCs w:val="28"/>
              </w:rPr>
              <w:t>2023</w:t>
            </w:r>
            <w:r>
              <w:rPr>
                <w:rFonts w:hint="eastAsia" w:ascii="Times New Roman" w:hAnsi="Times New Roman" w:eastAsia="仿宋" w:cs="Times New Roman"/>
                <w:sz w:val="28"/>
                <w:szCs w:val="28"/>
              </w:rPr>
              <w:t>年12月23日）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2" w:type="dxa"/>
            <w:tcBorders>
              <w:top w:val="single" w:color="auto" w:sz="4" w:space="0"/>
            </w:tcBorders>
            <w:vAlign w:val="center"/>
          </w:tcPr>
          <w:p>
            <w:pPr>
              <w:pStyle w:val="13"/>
              <w:spacing w:before="60" w:after="60" w:line="0" w:lineRule="atLeast"/>
              <w:ind w:firstLine="0" w:firstLineChars="0"/>
              <w:rPr>
                <w:rFonts w:ascii="Times New Roman" w:hAnsi="Times New Roman" w:eastAsia="黑体" w:cs="Arial"/>
                <w:sz w:val="28"/>
                <w:szCs w:val="28"/>
              </w:rPr>
            </w:pPr>
            <w:r>
              <w:rPr>
                <w:rFonts w:hint="eastAsia" w:ascii="Times New Roman" w:hAnsi="Times New Roman" w:eastAsia="黑体" w:cs="Arial"/>
                <w:sz w:val="28"/>
                <w:szCs w:val="28"/>
              </w:rPr>
              <w:t>三、测试整体内容</w:t>
            </w:r>
          </w:p>
          <w:p>
            <w:pPr>
              <w:widowControl w:val="0"/>
              <w:numPr>
                <w:ilvl w:val="0"/>
                <w:numId w:val="1"/>
              </w:numPr>
              <w:spacing w:before="60" w:after="60" w:line="0" w:lineRule="atLeast"/>
              <w:jc w:val="both"/>
              <w:rPr>
                <w:rFonts w:ascii="Times New Roman" w:hAnsi="Times New Roman" w:eastAsia="仿宋" w:cs="Times New Roman"/>
                <w:sz w:val="28"/>
                <w:szCs w:val="28"/>
              </w:rPr>
            </w:pPr>
            <w:r>
              <w:rPr>
                <w:rFonts w:hint="eastAsia" w:ascii="Times New Roman" w:hAnsi="Times New Roman" w:eastAsia="仿宋" w:cs="Times New Roman"/>
                <w:sz w:val="28"/>
                <w:szCs w:val="28"/>
                <w:lang w:val="zh-CN"/>
              </w:rPr>
              <w:t>是否能够通过交易网关正常进行交易申报、接收成交回报。</w:t>
            </w:r>
          </w:p>
          <w:p>
            <w:pPr>
              <w:widowControl w:val="0"/>
              <w:spacing w:before="60" w:after="60" w:line="0" w:lineRule="atLeast"/>
              <w:jc w:val="both"/>
              <w:rPr>
                <w:rFonts w:ascii="Times New Roman" w:hAnsi="Times New Roman" w:eastAsia="仿宋" w:cs="Times New Roman"/>
                <w:sz w:val="28"/>
                <w:szCs w:val="28"/>
              </w:rPr>
            </w:pPr>
            <w:r>
              <w:rPr>
                <w:rFonts w:hint="eastAsia" w:ascii="Times New Roman" w:hAnsi="Times New Roman" w:eastAsia="仿宋" w:cs="Times New Roman"/>
                <w:sz w:val="28"/>
                <w:szCs w:val="28"/>
                <w:lang w:val="zh-CN"/>
              </w:rPr>
              <w:t>是□</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否□</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不涉及□</w:t>
            </w:r>
          </w:p>
          <w:p>
            <w:pPr>
              <w:widowControl w:val="0"/>
              <w:numPr>
                <w:ilvl w:val="0"/>
                <w:numId w:val="1"/>
              </w:numPr>
              <w:spacing w:before="60" w:after="60" w:line="0" w:lineRule="atLeast"/>
              <w:jc w:val="both"/>
              <w:rPr>
                <w:rFonts w:ascii="Times New Roman" w:hAnsi="Times New Roman" w:eastAsia="仿宋" w:cs="Times New Roman"/>
                <w:sz w:val="28"/>
                <w:szCs w:val="28"/>
              </w:rPr>
            </w:pPr>
            <w:r>
              <w:rPr>
                <w:rFonts w:hint="eastAsia" w:ascii="Times New Roman" w:hAnsi="Times New Roman" w:eastAsia="仿宋" w:cs="Times New Roman"/>
                <w:sz w:val="28"/>
                <w:szCs w:val="28"/>
              </w:rPr>
              <w:t>是否能够</w:t>
            </w:r>
            <w:r>
              <w:rPr>
                <w:rFonts w:ascii="Times New Roman" w:hAnsi="Times New Roman" w:eastAsia="仿宋" w:cs="Times New Roman"/>
                <w:sz w:val="28"/>
                <w:szCs w:val="28"/>
              </w:rPr>
              <w:t>通过成交汇总网关接收成交数据。</w:t>
            </w:r>
          </w:p>
          <w:p>
            <w:pPr>
              <w:widowControl w:val="0"/>
              <w:spacing w:before="60" w:after="60" w:line="0" w:lineRule="atLeast"/>
              <w:jc w:val="both"/>
              <w:rPr>
                <w:rFonts w:ascii="Times New Roman" w:hAnsi="Times New Roman" w:eastAsia="仿宋" w:cs="Times New Roman"/>
                <w:sz w:val="28"/>
                <w:szCs w:val="28"/>
              </w:rPr>
            </w:pPr>
            <w:r>
              <w:rPr>
                <w:rFonts w:hint="eastAsia" w:ascii="Times New Roman" w:hAnsi="Times New Roman" w:eastAsia="仿宋" w:cs="Times New Roman"/>
                <w:sz w:val="28"/>
                <w:szCs w:val="28"/>
                <w:lang w:val="zh-CN"/>
              </w:rPr>
              <w:t>是□</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否□</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不涉及□</w:t>
            </w:r>
          </w:p>
          <w:p>
            <w:pPr>
              <w:widowControl w:val="0"/>
              <w:numPr>
                <w:ilvl w:val="0"/>
                <w:numId w:val="1"/>
              </w:numPr>
              <w:spacing w:before="60" w:after="60" w:line="0" w:lineRule="atLeast"/>
              <w:jc w:val="both"/>
              <w:rPr>
                <w:rFonts w:ascii="Times New Roman" w:hAnsi="Times New Roman" w:eastAsia="仿宋" w:cs="Times New Roman"/>
                <w:sz w:val="28"/>
                <w:szCs w:val="28"/>
              </w:rPr>
            </w:pPr>
            <w:r>
              <w:rPr>
                <w:rFonts w:hint="eastAsia" w:ascii="Times New Roman" w:hAnsi="Times New Roman" w:eastAsia="仿宋" w:cs="Times New Roman"/>
                <w:sz w:val="28"/>
                <w:szCs w:val="28"/>
              </w:rPr>
              <w:t>是否</w:t>
            </w:r>
            <w:r>
              <w:rPr>
                <w:rFonts w:ascii="Times New Roman" w:hAnsi="Times New Roman" w:eastAsia="仿宋" w:cs="Times New Roman"/>
                <w:sz w:val="28"/>
                <w:szCs w:val="28"/>
              </w:rPr>
              <w:t>能够正常</w:t>
            </w:r>
            <w:r>
              <w:rPr>
                <w:rFonts w:hint="eastAsia" w:ascii="Times New Roman" w:hAnsi="Times New Roman" w:eastAsia="仿宋" w:cs="Times New Roman"/>
                <w:sz w:val="28"/>
                <w:szCs w:val="28"/>
                <w:lang w:val="zh-CN"/>
              </w:rPr>
              <w:t>进行资金和持仓控制。</w:t>
            </w:r>
          </w:p>
          <w:p>
            <w:pPr>
              <w:widowControl w:val="0"/>
              <w:spacing w:before="60" w:after="60" w:line="0" w:lineRule="atLeast"/>
              <w:jc w:val="both"/>
              <w:rPr>
                <w:rFonts w:ascii="Times New Roman" w:hAnsi="Times New Roman" w:eastAsia="仿宋" w:cs="Times New Roman"/>
                <w:sz w:val="28"/>
                <w:szCs w:val="28"/>
              </w:rPr>
            </w:pPr>
            <w:r>
              <w:rPr>
                <w:rFonts w:hint="eastAsia" w:ascii="Times New Roman" w:hAnsi="Times New Roman" w:eastAsia="仿宋" w:cs="Times New Roman"/>
                <w:sz w:val="28"/>
                <w:szCs w:val="28"/>
                <w:lang w:val="zh-CN"/>
              </w:rPr>
              <w:t>是□</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否□</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不涉及□</w:t>
            </w:r>
          </w:p>
          <w:p>
            <w:pPr>
              <w:widowControl w:val="0"/>
              <w:numPr>
                <w:ilvl w:val="0"/>
                <w:numId w:val="1"/>
              </w:numPr>
              <w:spacing w:before="60" w:after="60" w:line="0" w:lineRule="atLeast"/>
              <w:jc w:val="both"/>
              <w:rPr>
                <w:rFonts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是否能够通过行情网关接收快照行情、逐笔行情和公告并正确、及时更新证券信息、停复牌状态等行情。</w:t>
            </w:r>
          </w:p>
          <w:p>
            <w:pPr>
              <w:widowControl w:val="0"/>
              <w:spacing w:before="60" w:after="60" w:line="0" w:lineRule="atLeast"/>
              <w:jc w:val="both"/>
              <w:rPr>
                <w:rFonts w:ascii="Times New Roman" w:hAnsi="Times New Roman" w:eastAsia="仿宋" w:cs="Times New Roman"/>
                <w:sz w:val="28"/>
                <w:szCs w:val="28"/>
              </w:rPr>
            </w:pPr>
            <w:r>
              <w:rPr>
                <w:rFonts w:hint="eastAsia" w:ascii="Times New Roman" w:hAnsi="Times New Roman" w:eastAsia="仿宋" w:cs="Times New Roman"/>
                <w:sz w:val="28"/>
                <w:szCs w:val="28"/>
                <w:lang w:val="zh-CN"/>
              </w:rPr>
              <w:t>是□</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否□</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不涉及□</w:t>
            </w:r>
          </w:p>
          <w:p>
            <w:pPr>
              <w:widowControl w:val="0"/>
              <w:numPr>
                <w:ilvl w:val="0"/>
                <w:numId w:val="1"/>
              </w:numPr>
              <w:spacing w:before="60" w:after="60" w:line="0" w:lineRule="atLeast"/>
              <w:jc w:val="both"/>
              <w:rPr>
                <w:rFonts w:ascii="Times New Roman" w:hAnsi="Times New Roman" w:eastAsia="仿宋" w:cs="Times New Roman"/>
                <w:sz w:val="28"/>
                <w:szCs w:val="28"/>
                <w:lang w:val="zh-CN"/>
              </w:rPr>
            </w:pPr>
            <w:r>
              <w:rPr>
                <w:rFonts w:ascii="Times New Roman" w:hAnsi="Times New Roman" w:eastAsia="仿宋" w:cs="Times New Roman"/>
                <w:sz w:val="28"/>
                <w:szCs w:val="28"/>
                <w:lang w:val="zh-CN"/>
              </w:rPr>
              <w:t>逐笔行情</w:t>
            </w:r>
            <w:r>
              <w:rPr>
                <w:rFonts w:hint="eastAsia" w:ascii="Times New Roman" w:hAnsi="Times New Roman" w:eastAsia="仿宋" w:cs="Times New Roman"/>
                <w:sz w:val="28"/>
                <w:szCs w:val="28"/>
                <w:lang w:val="zh-CN"/>
              </w:rPr>
              <w:t>、</w:t>
            </w:r>
            <w:r>
              <w:rPr>
                <w:rFonts w:ascii="Times New Roman" w:hAnsi="Times New Roman" w:eastAsia="仿宋" w:cs="Times New Roman"/>
                <w:sz w:val="28"/>
                <w:szCs w:val="28"/>
                <w:lang w:val="zh-CN"/>
              </w:rPr>
              <w:t>公告</w:t>
            </w:r>
            <w:r>
              <w:rPr>
                <w:rFonts w:hint="eastAsia" w:ascii="Times New Roman" w:hAnsi="Times New Roman" w:eastAsia="仿宋" w:cs="Times New Roman"/>
                <w:sz w:val="28"/>
                <w:szCs w:val="28"/>
                <w:lang w:val="zh-CN"/>
              </w:rPr>
              <w:t>、</w:t>
            </w:r>
            <w:r>
              <w:rPr>
                <w:rFonts w:ascii="Times New Roman" w:hAnsi="Times New Roman" w:eastAsia="仿宋" w:cs="Times New Roman"/>
                <w:sz w:val="28"/>
                <w:szCs w:val="28"/>
                <w:lang w:val="zh-CN"/>
              </w:rPr>
              <w:t>成交重传功能及行情数据组播协议接收是否正常</w:t>
            </w:r>
            <w:r>
              <w:rPr>
                <w:rFonts w:hint="eastAsia" w:ascii="Times New Roman" w:hAnsi="Times New Roman" w:eastAsia="仿宋" w:cs="Times New Roman"/>
                <w:sz w:val="28"/>
                <w:szCs w:val="28"/>
                <w:lang w:val="zh-CN"/>
              </w:rPr>
              <w:t>。</w:t>
            </w:r>
          </w:p>
          <w:p>
            <w:pPr>
              <w:widowControl w:val="0"/>
              <w:spacing w:before="60" w:after="60" w:line="0" w:lineRule="atLeast"/>
              <w:jc w:val="both"/>
              <w:rPr>
                <w:rFonts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是□</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否□</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不涉及□</w:t>
            </w:r>
          </w:p>
          <w:p>
            <w:pPr>
              <w:widowControl w:val="0"/>
              <w:numPr>
                <w:ilvl w:val="0"/>
                <w:numId w:val="1"/>
              </w:numPr>
              <w:spacing w:before="60" w:after="60" w:line="0" w:lineRule="atLeast"/>
              <w:jc w:val="both"/>
              <w:rPr>
                <w:rFonts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是否能够正确报送投资者适当性管理、交易员信息，并接收交易所下发的</w:t>
            </w:r>
            <w:r>
              <w:rPr>
                <w:rFonts w:ascii="Times New Roman" w:hAnsi="Times New Roman" w:eastAsia="仿宋" w:cs="Times New Roman"/>
                <w:sz w:val="28"/>
                <w:szCs w:val="28"/>
                <w:lang w:val="zh-CN"/>
              </w:rPr>
              <w:t>静态交易参考、收盘行情等</w:t>
            </w:r>
            <w:r>
              <w:rPr>
                <w:rFonts w:hint="eastAsia" w:ascii="Times New Roman" w:hAnsi="Times New Roman" w:eastAsia="仿宋" w:cs="Times New Roman"/>
                <w:sz w:val="28"/>
                <w:szCs w:val="28"/>
                <w:lang w:val="zh-CN"/>
              </w:rPr>
              <w:t>文件。</w:t>
            </w:r>
          </w:p>
          <w:p>
            <w:pPr>
              <w:widowControl w:val="0"/>
              <w:spacing w:before="60" w:after="60" w:line="0" w:lineRule="atLeast"/>
              <w:jc w:val="both"/>
              <w:rPr>
                <w:rFonts w:ascii="Times New Roman" w:hAnsi="Times New Roman" w:eastAsia="仿宋" w:cs="Times New Roman"/>
                <w:sz w:val="28"/>
                <w:szCs w:val="28"/>
              </w:rPr>
            </w:pPr>
            <w:r>
              <w:rPr>
                <w:rFonts w:hint="eastAsia" w:ascii="Times New Roman" w:hAnsi="Times New Roman" w:eastAsia="仿宋" w:cs="Times New Roman"/>
                <w:sz w:val="28"/>
                <w:szCs w:val="28"/>
                <w:lang w:val="zh-CN"/>
              </w:rPr>
              <w:t>是□</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否□  不涉及□</w:t>
            </w:r>
          </w:p>
          <w:p>
            <w:pPr>
              <w:widowControl w:val="0"/>
              <w:numPr>
                <w:ilvl w:val="0"/>
                <w:numId w:val="1"/>
              </w:numPr>
              <w:spacing w:before="60" w:after="60" w:line="0" w:lineRule="atLeast"/>
              <w:jc w:val="both"/>
              <w:rPr>
                <w:rFonts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是否能够根据适当性</w:t>
            </w:r>
            <w:r>
              <w:rPr>
                <w:rFonts w:ascii="Times New Roman" w:hAnsi="Times New Roman" w:eastAsia="仿宋" w:cs="Times New Roman"/>
                <w:sz w:val="28"/>
                <w:szCs w:val="28"/>
                <w:lang w:val="zh-CN"/>
              </w:rPr>
              <w:t>信息</w:t>
            </w:r>
            <w:r>
              <w:rPr>
                <w:rFonts w:hint="eastAsia" w:ascii="Times New Roman" w:hAnsi="Times New Roman" w:eastAsia="仿宋" w:cs="Times New Roman"/>
                <w:sz w:val="28"/>
                <w:szCs w:val="28"/>
                <w:lang w:val="zh-CN"/>
              </w:rPr>
              <w:t>控制投资者的相关业务。</w:t>
            </w:r>
          </w:p>
          <w:p>
            <w:pPr>
              <w:widowControl w:val="0"/>
              <w:spacing w:before="60" w:after="60" w:line="0" w:lineRule="atLeast"/>
              <w:jc w:val="both"/>
              <w:rPr>
                <w:rFonts w:ascii="Times New Roman" w:hAnsi="Times New Roman" w:eastAsia="仿宋" w:cs="Times New Roman"/>
                <w:sz w:val="28"/>
                <w:szCs w:val="28"/>
              </w:rPr>
            </w:pPr>
            <w:r>
              <w:rPr>
                <w:rFonts w:hint="eastAsia" w:ascii="Times New Roman" w:hAnsi="Times New Roman" w:eastAsia="仿宋" w:cs="Times New Roman"/>
                <w:sz w:val="28"/>
                <w:szCs w:val="28"/>
                <w:lang w:val="zh-CN"/>
              </w:rPr>
              <w:t>是□</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否□  不涉及□</w:t>
            </w:r>
          </w:p>
          <w:p>
            <w:pPr>
              <w:widowControl w:val="0"/>
              <w:numPr>
                <w:ilvl w:val="0"/>
                <w:numId w:val="1"/>
              </w:numPr>
              <w:spacing w:before="60" w:after="60" w:line="0" w:lineRule="atLeast"/>
              <w:jc w:val="both"/>
              <w:rPr>
                <w:rFonts w:ascii="Times New Roman" w:hAnsi="Times New Roman" w:eastAsia="仿宋" w:cs="Times New Roman"/>
                <w:sz w:val="28"/>
                <w:szCs w:val="28"/>
              </w:rPr>
            </w:pPr>
            <w:r>
              <w:rPr>
                <w:rFonts w:hint="eastAsia" w:ascii="Times New Roman" w:hAnsi="Times New Roman" w:eastAsia="仿宋" w:cs="Times New Roman"/>
                <w:sz w:val="28"/>
                <w:szCs w:val="28"/>
                <w:lang w:val="zh-CN"/>
              </w:rPr>
              <w:t>是否能根据中国结算日终数据完成清算交收。</w:t>
            </w:r>
          </w:p>
          <w:p>
            <w:pPr>
              <w:widowControl w:val="0"/>
              <w:spacing w:before="60" w:after="60" w:line="0" w:lineRule="atLeast"/>
              <w:jc w:val="both"/>
              <w:rPr>
                <w:rFonts w:ascii="Times New Roman" w:hAnsi="Times New Roman" w:eastAsia="仿宋" w:cs="Times New Roman"/>
                <w:sz w:val="28"/>
                <w:szCs w:val="28"/>
              </w:rPr>
            </w:pPr>
            <w:r>
              <w:rPr>
                <w:rFonts w:hint="eastAsia" w:ascii="Times New Roman" w:hAnsi="Times New Roman" w:eastAsia="仿宋" w:cs="Times New Roman"/>
                <w:sz w:val="28"/>
                <w:szCs w:val="28"/>
                <w:lang w:val="zh-CN"/>
              </w:rPr>
              <w:t>是□</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否□</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不涉及□</w:t>
            </w:r>
          </w:p>
          <w:p>
            <w:pPr>
              <w:widowControl w:val="0"/>
              <w:numPr>
                <w:ilvl w:val="0"/>
                <w:numId w:val="1"/>
              </w:numPr>
              <w:spacing w:before="60" w:after="60" w:line="0" w:lineRule="atLeast"/>
              <w:jc w:val="both"/>
              <w:rPr>
                <w:rFonts w:ascii="Times New Roman" w:hAnsi="Times New Roman" w:eastAsia="仿宋" w:cs="Times New Roman"/>
                <w:sz w:val="28"/>
                <w:szCs w:val="28"/>
              </w:rPr>
            </w:pPr>
            <w:r>
              <w:rPr>
                <w:rFonts w:hint="eastAsia" w:ascii="Times New Roman" w:hAnsi="Times New Roman" w:eastAsia="仿宋" w:cs="Times New Roman"/>
                <w:sz w:val="28"/>
                <w:szCs w:val="28"/>
                <w:lang w:val="zh-CN"/>
              </w:rPr>
              <w:t>公司债券纳入融资融券担保物相关功能是否正常。</w:t>
            </w:r>
          </w:p>
          <w:p>
            <w:pPr>
              <w:widowControl w:val="0"/>
              <w:spacing w:before="60" w:after="60" w:line="0" w:lineRule="atLeast"/>
              <w:jc w:val="both"/>
              <w:rPr>
                <w:rFonts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是□</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否□</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不涉及□</w:t>
            </w:r>
          </w:p>
          <w:p>
            <w:pPr>
              <w:widowControl w:val="0"/>
              <w:numPr>
                <w:ilvl w:val="0"/>
                <w:numId w:val="1"/>
              </w:numPr>
              <w:spacing w:before="60" w:after="60" w:line="0" w:lineRule="atLeast"/>
              <w:jc w:val="both"/>
              <w:rPr>
                <w:rFonts w:ascii="Times New Roman" w:hAnsi="Times New Roman" w:eastAsia="仿宋" w:cs="Times New Roman"/>
                <w:color w:val="FF0000"/>
                <w:sz w:val="28"/>
                <w:szCs w:val="28"/>
              </w:rPr>
            </w:pPr>
            <w:r>
              <w:rPr>
                <w:rFonts w:hint="eastAsia" w:ascii="Times New Roman" w:hAnsi="Times New Roman" w:eastAsia="仿宋" w:cs="Times New Roman"/>
                <w:sz w:val="28"/>
                <w:szCs w:val="28"/>
                <w:lang w:val="zh-CN"/>
              </w:rPr>
              <w:t>股票等现有证券品种交易</w:t>
            </w:r>
            <w:r>
              <w:rPr>
                <w:rFonts w:hint="eastAsia" w:ascii="Times New Roman" w:hAnsi="Times New Roman" w:eastAsia="仿宋" w:cs="Times New Roman"/>
                <w:sz w:val="28"/>
                <w:szCs w:val="28"/>
              </w:rPr>
              <w:t>业务是否正常</w:t>
            </w:r>
            <w:r>
              <w:rPr>
                <w:rFonts w:hint="eastAsia" w:ascii="Times New Roman" w:hAnsi="Times New Roman" w:eastAsia="仿宋" w:cs="Times New Roman"/>
                <w:sz w:val="28"/>
                <w:szCs w:val="28"/>
                <w:lang w:val="zh-CN"/>
              </w:rPr>
              <w:t>。</w:t>
            </w:r>
          </w:p>
          <w:p>
            <w:pPr>
              <w:widowControl w:val="0"/>
              <w:spacing w:before="60" w:after="60" w:line="0" w:lineRule="atLeast"/>
              <w:jc w:val="both"/>
              <w:rPr>
                <w:rFonts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是□</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否□</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9022" w:type="dxa"/>
            <w:vAlign w:val="center"/>
          </w:tcPr>
          <w:p>
            <w:pPr>
              <w:pStyle w:val="13"/>
              <w:spacing w:before="60" w:after="60" w:line="0" w:lineRule="atLeast"/>
              <w:ind w:firstLine="0" w:firstLineChars="0"/>
              <w:rPr>
                <w:rFonts w:ascii="Times New Roman" w:hAnsi="Times New Roman" w:eastAsia="黑体" w:cs="Arial"/>
                <w:sz w:val="28"/>
                <w:szCs w:val="28"/>
              </w:rPr>
            </w:pPr>
            <w:r>
              <w:rPr>
                <w:rFonts w:hint="eastAsia" w:ascii="Times New Roman" w:hAnsi="Times New Roman" w:eastAsia="黑体" w:cs="Arial"/>
                <w:sz w:val="28"/>
                <w:szCs w:val="28"/>
              </w:rPr>
              <w:t>四、交易规则</w:t>
            </w:r>
            <w:r>
              <w:rPr>
                <w:rFonts w:ascii="Times New Roman" w:hAnsi="Times New Roman" w:eastAsia="黑体" w:cs="Arial"/>
                <w:sz w:val="28"/>
                <w:szCs w:val="28"/>
              </w:rPr>
              <w:t>验证</w:t>
            </w:r>
          </w:p>
          <w:p>
            <w:pPr>
              <w:adjustRightInd w:val="0"/>
              <w:snapToGrid w:val="0"/>
              <w:jc w:val="both"/>
              <w:rPr>
                <w:rFonts w:ascii="Times New Roman" w:hAnsi="Times New Roman" w:cs="Times New Roman"/>
                <w:b/>
                <w:color w:val="000000"/>
                <w:szCs w:val="24"/>
              </w:rPr>
            </w:pPr>
          </w:p>
          <w:tbl>
            <w:tblPr>
              <w:tblStyle w:val="20"/>
              <w:tblW w:w="50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3402"/>
              <w:gridCol w:w="2838"/>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37" w:type="pct"/>
                  <w:tcBorders>
                    <w:top w:val="single" w:color="auto" w:sz="4" w:space="0"/>
                    <w:bottom w:val="single" w:color="auto" w:sz="4" w:space="0"/>
                    <w:right w:val="single" w:color="auto" w:sz="4" w:space="0"/>
                  </w:tcBorders>
                  <w:vAlign w:val="center"/>
                </w:tcPr>
                <w:p>
                  <w:pPr>
                    <w:jc w:val="center"/>
                    <w:rPr>
                      <w:rFonts w:ascii="Times New Roman" w:hAnsi="Times New Roman" w:eastAsia="仿宋"/>
                      <w:b/>
                      <w:bCs/>
                      <w:szCs w:val="24"/>
                    </w:rPr>
                  </w:pPr>
                  <w:r>
                    <w:rPr>
                      <w:rFonts w:hint="eastAsia" w:ascii="Times New Roman" w:hAnsi="Times New Roman" w:eastAsia="仿宋"/>
                      <w:b/>
                      <w:bCs/>
                      <w:szCs w:val="24"/>
                    </w:rPr>
                    <w:t>交易方式</w:t>
                  </w:r>
                </w:p>
              </w:tc>
              <w:tc>
                <w:tcPr>
                  <w:tcW w:w="19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b/>
                      <w:bCs/>
                      <w:szCs w:val="24"/>
                    </w:rPr>
                    <w:t>匹配成交</w:t>
                  </w:r>
                </w:p>
              </w:tc>
              <w:tc>
                <w:tcPr>
                  <w:tcW w:w="16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b/>
                      <w:bCs/>
                      <w:szCs w:val="24"/>
                    </w:rPr>
                    <w:t>协商成交</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4"/>
                    </w:rPr>
                  </w:pPr>
                  <w:r>
                    <w:rPr>
                      <w:rFonts w:hint="eastAsia" w:ascii="Times New Roman" w:hAnsi="Times New Roman" w:eastAsia="仿宋"/>
                      <w:b/>
                      <w:bCs/>
                      <w:szCs w:val="24"/>
                    </w:rPr>
                    <w:t>是否验证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b/>
                      <w:bCs/>
                      <w:szCs w:val="24"/>
                    </w:rPr>
                    <w:t>交易时间</w:t>
                  </w:r>
                </w:p>
              </w:tc>
              <w:tc>
                <w:tcPr>
                  <w:tcW w:w="19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ascii="Times New Roman" w:hAnsi="Times New Roman" w:eastAsia="仿宋"/>
                      <w:szCs w:val="24"/>
                    </w:rPr>
                    <w:t>09:15-09:25</w:t>
                  </w:r>
                  <w:r>
                    <w:rPr>
                      <w:rFonts w:hint="eastAsia" w:ascii="Times New Roman" w:hAnsi="Times New Roman" w:eastAsia="仿宋"/>
                      <w:szCs w:val="24"/>
                    </w:rPr>
                    <w:t>（开盘集合匹配</w:t>
                  </w:r>
                  <w:r>
                    <w:rPr>
                      <w:rFonts w:ascii="Times New Roman" w:hAnsi="Times New Roman" w:eastAsia="仿宋"/>
                      <w:szCs w:val="24"/>
                    </w:rPr>
                    <w:t>）</w:t>
                  </w:r>
                </w:p>
                <w:p>
                  <w:pPr>
                    <w:jc w:val="center"/>
                    <w:rPr>
                      <w:rFonts w:ascii="Times New Roman" w:hAnsi="Times New Roman" w:eastAsia="仿宋"/>
                      <w:szCs w:val="24"/>
                    </w:rPr>
                  </w:pPr>
                  <w:r>
                    <w:rPr>
                      <w:rFonts w:ascii="Times New Roman" w:hAnsi="Times New Roman" w:eastAsia="仿宋"/>
                      <w:szCs w:val="24"/>
                    </w:rPr>
                    <w:t>09:30-11:30</w:t>
                  </w:r>
                  <w:r>
                    <w:rPr>
                      <w:rFonts w:hint="eastAsia" w:ascii="Times New Roman" w:hAnsi="Times New Roman" w:eastAsia="仿宋"/>
                      <w:szCs w:val="24"/>
                    </w:rPr>
                    <w:t>（连续匹配</w:t>
                  </w:r>
                  <w:r>
                    <w:rPr>
                      <w:rFonts w:ascii="Times New Roman" w:hAnsi="Times New Roman" w:eastAsia="仿宋"/>
                      <w:szCs w:val="24"/>
                    </w:rPr>
                    <w:t>）</w:t>
                  </w:r>
                </w:p>
                <w:p>
                  <w:pPr>
                    <w:jc w:val="center"/>
                    <w:rPr>
                      <w:rFonts w:ascii="Times New Roman" w:hAnsi="Times New Roman" w:eastAsia="仿宋"/>
                      <w:bCs/>
                      <w:szCs w:val="24"/>
                    </w:rPr>
                  </w:pPr>
                  <w:r>
                    <w:rPr>
                      <w:rFonts w:ascii="Times New Roman" w:hAnsi="Times New Roman" w:eastAsia="仿宋"/>
                      <w:szCs w:val="24"/>
                    </w:rPr>
                    <w:t>13:00-</w:t>
                  </w:r>
                  <w:r>
                    <w:rPr>
                      <w:rFonts w:ascii="Times New Roman" w:hAnsi="Times New Roman" w:eastAsia="仿宋"/>
                      <w:bCs/>
                      <w:szCs w:val="24"/>
                    </w:rPr>
                    <w:t>15:30</w:t>
                  </w:r>
                  <w:r>
                    <w:rPr>
                      <w:rFonts w:hint="eastAsia" w:ascii="Times New Roman" w:hAnsi="Times New Roman" w:eastAsia="仿宋"/>
                      <w:bCs/>
                      <w:szCs w:val="24"/>
                    </w:rPr>
                    <w:t>（</w:t>
                  </w:r>
                  <w:r>
                    <w:rPr>
                      <w:rFonts w:hint="eastAsia" w:ascii="Times New Roman" w:hAnsi="Times New Roman" w:eastAsia="仿宋"/>
                      <w:szCs w:val="24"/>
                    </w:rPr>
                    <w:t>连续匹配</w:t>
                  </w:r>
                  <w:r>
                    <w:rPr>
                      <w:rFonts w:ascii="Times New Roman" w:hAnsi="Times New Roman" w:eastAsia="仿宋"/>
                      <w:bCs/>
                      <w:szCs w:val="24"/>
                    </w:rPr>
                    <w:t>）</w:t>
                  </w:r>
                </w:p>
              </w:tc>
              <w:tc>
                <w:tcPr>
                  <w:tcW w:w="16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ascii="Times New Roman" w:hAnsi="Times New Roman" w:eastAsia="仿宋"/>
                      <w:bCs/>
                      <w:szCs w:val="24"/>
                    </w:rPr>
                    <w:t>09:00</w:t>
                  </w:r>
                  <w:r>
                    <w:rPr>
                      <w:rFonts w:ascii="Times New Roman" w:hAnsi="Times New Roman" w:eastAsia="仿宋"/>
                      <w:szCs w:val="24"/>
                    </w:rPr>
                    <w:t>-11:30</w:t>
                  </w:r>
                </w:p>
                <w:p>
                  <w:pPr>
                    <w:jc w:val="center"/>
                    <w:rPr>
                      <w:rFonts w:ascii="Times New Roman" w:hAnsi="Times New Roman" w:eastAsia="仿宋"/>
                      <w:szCs w:val="24"/>
                    </w:rPr>
                  </w:pPr>
                  <w:r>
                    <w:rPr>
                      <w:rFonts w:ascii="Times New Roman" w:hAnsi="Times New Roman" w:eastAsia="仿宋"/>
                      <w:szCs w:val="24"/>
                    </w:rPr>
                    <w:t>13:00</w:t>
                  </w:r>
                  <w:r>
                    <w:rPr>
                      <w:rFonts w:ascii="Times New Roman" w:hAnsi="Times New Roman" w:eastAsia="仿宋"/>
                      <w:bCs/>
                      <w:szCs w:val="24"/>
                    </w:rPr>
                    <w:t>-</w:t>
                  </w:r>
                  <w:r>
                    <w:rPr>
                      <w:rFonts w:hint="eastAsia" w:ascii="Times New Roman" w:hAnsi="Times New Roman" w:eastAsia="仿宋"/>
                      <w:bCs/>
                      <w:szCs w:val="24"/>
                    </w:rPr>
                    <w:t>15</w:t>
                  </w:r>
                  <w:r>
                    <w:rPr>
                      <w:rFonts w:ascii="Times New Roman" w:hAnsi="Times New Roman" w:eastAsia="仿宋"/>
                      <w:bCs/>
                      <w:szCs w:val="24"/>
                    </w:rPr>
                    <w:t>:</w:t>
                  </w:r>
                  <w:r>
                    <w:rPr>
                      <w:rFonts w:hint="eastAsia" w:ascii="Times New Roman" w:hAnsi="Times New Roman" w:eastAsia="仿宋"/>
                      <w:bCs/>
                      <w:szCs w:val="24"/>
                    </w:rPr>
                    <w:t>30</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color w:val="000000"/>
                      <w:szCs w:val="24"/>
                    </w:rPr>
                  </w:pPr>
                  <w:r>
                    <w:rPr>
                      <w:rFonts w:hint="eastAsia" w:ascii="Times New Roman" w:hAnsi="Times New Roman" w:eastAsia="仿宋"/>
                      <w:b/>
                      <w:bCs/>
                      <w:color w:val="000000"/>
                      <w:szCs w:val="24"/>
                    </w:rPr>
                    <w:t>交易品种</w:t>
                  </w:r>
                </w:p>
              </w:tc>
              <w:tc>
                <w:tcPr>
                  <w:tcW w:w="19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000000"/>
                      <w:szCs w:val="24"/>
                    </w:rPr>
                  </w:pPr>
                  <w:r>
                    <w:rPr>
                      <w:rFonts w:hint="eastAsia" w:ascii="Times New Roman" w:hAnsi="Times New Roman" w:eastAsia="仿宋"/>
                      <w:color w:val="000000"/>
                      <w:szCs w:val="24"/>
                    </w:rPr>
                    <w:t>公开发行公司债券（含企业债券）</w:t>
                  </w:r>
                </w:p>
              </w:tc>
              <w:tc>
                <w:tcPr>
                  <w:tcW w:w="16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000000"/>
                      <w:szCs w:val="24"/>
                    </w:rPr>
                  </w:pPr>
                  <w:r>
                    <w:rPr>
                      <w:rFonts w:hint="eastAsia" w:ascii="Times New Roman" w:hAnsi="Times New Roman" w:eastAsia="仿宋"/>
                      <w:color w:val="000000"/>
                      <w:szCs w:val="24"/>
                    </w:rPr>
                    <w:t>公开发行公司债券（含企业债券）</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000000"/>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color w:val="000000"/>
                      <w:szCs w:val="24"/>
                    </w:rPr>
                  </w:pPr>
                  <w:r>
                    <w:rPr>
                      <w:rFonts w:hint="eastAsia" w:ascii="Times New Roman" w:hAnsi="Times New Roman" w:eastAsia="仿宋"/>
                      <w:b/>
                      <w:bCs/>
                      <w:color w:val="000000"/>
                      <w:szCs w:val="24"/>
                    </w:rPr>
                    <w:t>结算方式</w:t>
                  </w:r>
                </w:p>
              </w:tc>
              <w:tc>
                <w:tcPr>
                  <w:tcW w:w="19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多边净额结算</w:t>
                  </w:r>
                </w:p>
                <w:p>
                  <w:pPr>
                    <w:jc w:val="center"/>
                    <w:rPr>
                      <w:rFonts w:ascii="Times New Roman" w:hAnsi="Times New Roman" w:eastAsia="仿宋"/>
                      <w:color w:val="000000"/>
                      <w:szCs w:val="24"/>
                    </w:rPr>
                  </w:pPr>
                  <w:r>
                    <w:rPr>
                      <w:rFonts w:hint="eastAsia" w:ascii="Times New Roman" w:hAnsi="Times New Roman" w:eastAsia="仿宋"/>
                      <w:szCs w:val="24"/>
                    </w:rPr>
                    <w:t>（担保）</w:t>
                  </w:r>
                </w:p>
              </w:tc>
              <w:tc>
                <w:tcPr>
                  <w:tcW w:w="16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多边净额结算</w:t>
                  </w:r>
                </w:p>
                <w:p>
                  <w:pPr>
                    <w:jc w:val="center"/>
                    <w:rPr>
                      <w:rFonts w:ascii="Times New Roman" w:hAnsi="Times New Roman" w:eastAsia="仿宋"/>
                      <w:color w:val="000000"/>
                      <w:szCs w:val="24"/>
                    </w:rPr>
                  </w:pPr>
                  <w:r>
                    <w:rPr>
                      <w:rFonts w:hint="eastAsia" w:ascii="Times New Roman" w:hAnsi="Times New Roman" w:eastAsia="仿宋"/>
                      <w:szCs w:val="24"/>
                    </w:rPr>
                    <w:t>（担保）</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b/>
                      <w:bCs/>
                      <w:szCs w:val="24"/>
                    </w:rPr>
                    <w:t>现券申报数量</w:t>
                  </w:r>
                </w:p>
              </w:tc>
              <w:tc>
                <w:tcPr>
                  <w:tcW w:w="193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Cs w:val="24"/>
                    </w:rPr>
                  </w:pPr>
                  <w:r>
                    <w:rPr>
                      <w:rFonts w:ascii="Times New Roman" w:hAnsi="Times New Roman" w:eastAsia="仿宋"/>
                      <w:szCs w:val="24"/>
                    </w:rPr>
                    <w:t>10万元面额或</w:t>
                  </w:r>
                  <w:r>
                    <w:rPr>
                      <w:rFonts w:hint="eastAsia" w:ascii="Times New Roman" w:hAnsi="Times New Roman" w:eastAsia="仿宋"/>
                      <w:szCs w:val="24"/>
                    </w:rPr>
                    <w:t>者</w:t>
                  </w:r>
                  <w:r>
                    <w:rPr>
                      <w:rFonts w:ascii="Times New Roman" w:hAnsi="Times New Roman" w:eastAsia="仿宋"/>
                      <w:szCs w:val="24"/>
                    </w:rPr>
                    <w:t>其整数</w:t>
                  </w:r>
                  <w:r>
                    <w:rPr>
                      <w:rFonts w:hint="eastAsia" w:ascii="Times New Roman" w:hAnsi="Times New Roman" w:eastAsia="仿宋"/>
                      <w:szCs w:val="24"/>
                    </w:rPr>
                    <w:t>倍，卖出余额不足</w:t>
                  </w:r>
                  <w:r>
                    <w:rPr>
                      <w:rFonts w:ascii="Times New Roman" w:hAnsi="Times New Roman" w:eastAsia="仿宋"/>
                      <w:szCs w:val="24"/>
                    </w:rPr>
                    <w:t>10万元面额的应一次性申报卖出</w:t>
                  </w:r>
                </w:p>
              </w:tc>
              <w:tc>
                <w:tcPr>
                  <w:tcW w:w="161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Cs w:val="24"/>
                    </w:rPr>
                  </w:pPr>
                  <w:r>
                    <w:rPr>
                      <w:rFonts w:hint="eastAsia" w:ascii="Times New Roman" w:hAnsi="Times New Roman" w:eastAsia="仿宋"/>
                      <w:szCs w:val="24"/>
                    </w:rPr>
                    <w:t>不低于</w:t>
                  </w:r>
                  <w:r>
                    <w:rPr>
                      <w:rFonts w:ascii="Times New Roman" w:hAnsi="Times New Roman" w:eastAsia="仿宋"/>
                      <w:szCs w:val="24"/>
                    </w:rPr>
                    <w:t>1</w:t>
                  </w:r>
                  <w:r>
                    <w:rPr>
                      <w:rFonts w:hint="eastAsia" w:ascii="Times New Roman" w:hAnsi="Times New Roman" w:eastAsia="仿宋"/>
                      <w:szCs w:val="24"/>
                    </w:rPr>
                    <w:t>,</w:t>
                  </w:r>
                  <w:r>
                    <w:rPr>
                      <w:rFonts w:ascii="Times New Roman" w:hAnsi="Times New Roman" w:eastAsia="仿宋"/>
                      <w:szCs w:val="24"/>
                    </w:rPr>
                    <w:t>000元面额</w:t>
                  </w:r>
                  <w:r>
                    <w:rPr>
                      <w:rFonts w:hint="eastAsia" w:ascii="Times New Roman" w:hAnsi="Times New Roman" w:eastAsia="仿宋"/>
                      <w:szCs w:val="24"/>
                    </w:rPr>
                    <w:t>，且为</w:t>
                  </w:r>
                  <w:r>
                    <w:rPr>
                      <w:rFonts w:ascii="Times New Roman" w:hAnsi="Times New Roman" w:eastAsia="仿宋"/>
                      <w:szCs w:val="24"/>
                    </w:rPr>
                    <w:t>100元面额整数</w:t>
                  </w:r>
                  <w:r>
                    <w:rPr>
                      <w:rFonts w:hint="eastAsia" w:ascii="Times New Roman" w:hAnsi="Times New Roman" w:eastAsia="仿宋"/>
                      <w:szCs w:val="24"/>
                    </w:rPr>
                    <w:t>倍</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4"/>
                    </w:rPr>
                  </w:pPr>
                  <w:r>
                    <w:rPr>
                      <w:rFonts w:hint="eastAsia" w:ascii="Times New Roman" w:hAnsi="Times New Roman" w:eastAsia="仿宋"/>
                      <w:b/>
                      <w:bCs/>
                      <w:szCs w:val="24"/>
                    </w:rPr>
                    <w:t>价格最小变动单位</w:t>
                  </w:r>
                </w:p>
              </w:tc>
              <w:tc>
                <w:tcPr>
                  <w:tcW w:w="19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ascii="Times New Roman" w:hAnsi="Times New Roman" w:eastAsia="仿宋"/>
                      <w:szCs w:val="24"/>
                    </w:rPr>
                    <w:t>0.001元</w:t>
                  </w:r>
                </w:p>
              </w:tc>
              <w:tc>
                <w:tcPr>
                  <w:tcW w:w="16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ascii="Times New Roman" w:hAnsi="Times New Roman" w:eastAsia="仿宋"/>
                      <w:szCs w:val="24"/>
                    </w:rPr>
                    <w:t>0.0001元</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szCs w:val="24"/>
                    </w:rPr>
                  </w:pPr>
                  <w:r>
                    <w:rPr>
                      <w:rFonts w:hint="eastAsia" w:ascii="Times New Roman" w:hAnsi="Times New Roman" w:eastAsia="仿宋"/>
                      <w:b/>
                      <w:bCs/>
                      <w:szCs w:val="24"/>
                    </w:rPr>
                    <w:t>单笔最大申报数量</w:t>
                  </w:r>
                </w:p>
              </w:tc>
              <w:tc>
                <w:tcPr>
                  <w:tcW w:w="19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不超过</w:t>
                  </w:r>
                  <w:r>
                    <w:rPr>
                      <w:rFonts w:ascii="Times New Roman" w:hAnsi="Times New Roman" w:eastAsia="仿宋"/>
                      <w:szCs w:val="24"/>
                    </w:rPr>
                    <w:t>100亿元面额</w:t>
                  </w:r>
                </w:p>
              </w:tc>
              <w:tc>
                <w:tcPr>
                  <w:tcW w:w="16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szCs w:val="24"/>
                    </w:rPr>
                  </w:pPr>
                  <w:r>
                    <w:rPr>
                      <w:rFonts w:hint="eastAsia" w:ascii="Times New Roman" w:hAnsi="Times New Roman" w:eastAsia="仿宋"/>
                      <w:szCs w:val="24"/>
                    </w:rPr>
                    <w:t>不超过</w:t>
                  </w:r>
                  <w:r>
                    <w:rPr>
                      <w:rFonts w:ascii="Times New Roman" w:hAnsi="Times New Roman" w:eastAsia="仿宋"/>
                      <w:szCs w:val="24"/>
                    </w:rPr>
                    <w:t>100亿元面额</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4"/>
                    </w:rPr>
                  </w:pPr>
                  <w:r>
                    <w:rPr>
                      <w:rFonts w:hint="eastAsia" w:ascii="Times New Roman" w:hAnsi="Times New Roman" w:eastAsia="仿宋"/>
                      <w:b/>
                      <w:bCs/>
                      <w:szCs w:val="24"/>
                    </w:rPr>
                    <w:t>申报类型</w:t>
                  </w:r>
                </w:p>
              </w:tc>
              <w:tc>
                <w:tcPr>
                  <w:tcW w:w="19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限价申报</w:t>
                  </w:r>
                </w:p>
              </w:tc>
              <w:tc>
                <w:tcPr>
                  <w:tcW w:w="16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协议配对（约定号）</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b/>
                      <w:bCs/>
                      <w:szCs w:val="24"/>
                    </w:rPr>
                    <w:t>显名/匿名申报</w:t>
                  </w:r>
                </w:p>
              </w:tc>
              <w:tc>
                <w:tcPr>
                  <w:tcW w:w="19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匿名</w:t>
                  </w:r>
                </w:p>
              </w:tc>
              <w:tc>
                <w:tcPr>
                  <w:tcW w:w="16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显名</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4"/>
                    </w:rPr>
                  </w:pPr>
                  <w:r>
                    <w:rPr>
                      <w:rFonts w:hint="eastAsia" w:ascii="Times New Roman" w:hAnsi="Times New Roman" w:eastAsia="仿宋"/>
                      <w:b/>
                      <w:bCs/>
                      <w:szCs w:val="24"/>
                    </w:rPr>
                    <w:t>发送范围</w:t>
                  </w:r>
                </w:p>
              </w:tc>
              <w:tc>
                <w:tcPr>
                  <w:tcW w:w="19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全市场</w:t>
                  </w:r>
                </w:p>
              </w:tc>
              <w:tc>
                <w:tcPr>
                  <w:tcW w:w="16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指定对手方</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4"/>
                    </w:rPr>
                  </w:pPr>
                  <w:r>
                    <w:rPr>
                      <w:rFonts w:hint="eastAsia" w:ascii="Times New Roman" w:hAnsi="Times New Roman" w:eastAsia="仿宋"/>
                      <w:b/>
                      <w:bCs/>
                      <w:szCs w:val="24"/>
                    </w:rPr>
                    <w:t>约定号重复检查（约定号相同场景）</w:t>
                  </w:r>
                </w:p>
              </w:tc>
              <w:tc>
                <w:tcPr>
                  <w:tcW w:w="19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w:t>
                  </w:r>
                </w:p>
              </w:tc>
              <w:tc>
                <w:tcPr>
                  <w:tcW w:w="1610" w:type="pct"/>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eastAsia="仿宋"/>
                      <w:szCs w:val="24"/>
                      <w:lang w:val="en"/>
                    </w:rPr>
                  </w:pPr>
                  <w:r>
                    <w:rPr>
                      <w:rFonts w:hint="eastAsia" w:ascii="Times New Roman" w:hAnsi="Times New Roman" w:eastAsia="仿宋"/>
                      <w:szCs w:val="24"/>
                    </w:rPr>
                    <w:t>1.【重复申报】</w:t>
                  </w:r>
                  <w:r>
                    <w:rPr>
                      <w:rFonts w:hint="eastAsia" w:ascii="Times New Roman" w:hAnsi="Times New Roman" w:eastAsia="仿宋"/>
                      <w:szCs w:val="24"/>
                      <w:lang w:val="en"/>
                    </w:rPr>
                    <w:t>两笔申报，如果证券代码、本方交易商、本方交易员、对手方交易商、对手方交易员要素各自相同情况下，如果约定号重复，则只保留第一笔，后续委托按订单拒绝处理，报约定号重复错误；</w:t>
                  </w:r>
                </w:p>
                <w:p>
                  <w:pPr>
                    <w:jc w:val="both"/>
                    <w:rPr>
                      <w:rFonts w:ascii="Times New Roman" w:hAnsi="Times New Roman" w:eastAsia="仿宋"/>
                      <w:szCs w:val="24"/>
                      <w:lang w:val="en"/>
                    </w:rPr>
                  </w:pPr>
                  <w:r>
                    <w:rPr>
                      <w:rFonts w:hint="eastAsia" w:ascii="Times New Roman" w:hAnsi="Times New Roman" w:eastAsia="仿宋"/>
                      <w:szCs w:val="24"/>
                    </w:rPr>
                    <w:t>2.【匹配失败】</w:t>
                  </w:r>
                  <w:r>
                    <w:rPr>
                      <w:rFonts w:hint="eastAsia" w:ascii="Times New Roman" w:hAnsi="Times New Roman" w:eastAsia="仿宋"/>
                      <w:szCs w:val="24"/>
                      <w:lang w:val="en"/>
                    </w:rPr>
                    <w:t>两笔申报，如果证券代码相同，本方交易商、本方交易员与对手方交易商、对手方交易员可匹配，则会将两笔委托进行要素检查，如果要素不一致、匹配失败，两笔申报均被拒绝，报配对失败错误。</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4"/>
                    </w:rPr>
                  </w:pPr>
                  <w:r>
                    <w:rPr>
                      <w:rFonts w:hint="eastAsia" w:ascii="Times New Roman" w:hAnsi="Times New Roman" w:eastAsia="仿宋"/>
                      <w:b/>
                      <w:bCs/>
                      <w:szCs w:val="24"/>
                    </w:rPr>
                    <w:t>盘中临时停牌</w:t>
                  </w:r>
                </w:p>
              </w:tc>
              <w:tc>
                <w:tcPr>
                  <w:tcW w:w="193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Cs w:val="24"/>
                    </w:rPr>
                  </w:pPr>
                  <w:r>
                    <w:rPr>
                      <w:rFonts w:hint="eastAsia" w:ascii="Times New Roman" w:hAnsi="Times New Roman" w:eastAsia="仿宋"/>
                      <w:szCs w:val="24"/>
                    </w:rPr>
                    <w:t>1.信用债等其他债券盘中成交价格较前收盘价首次上涨或下跌达到或超过20%的，临时停牌持续时间为30分钟，临时停牌时间跨越15:27的，于当日15:27复牌；</w:t>
                  </w:r>
                </w:p>
                <w:p>
                  <w:pPr>
                    <w:rPr>
                      <w:rFonts w:ascii="Times New Roman" w:hAnsi="Times New Roman" w:eastAsia="仿宋"/>
                      <w:szCs w:val="24"/>
                    </w:rPr>
                  </w:pPr>
                  <w:r>
                    <w:rPr>
                      <w:rFonts w:hint="eastAsia" w:ascii="Times New Roman" w:hAnsi="Times New Roman" w:eastAsia="仿宋"/>
                      <w:szCs w:val="24"/>
                    </w:rPr>
                    <w:t>2.较前收盘价首次上涨或下跌达到或超过30%的，临时停牌时间持续至当日15:27；</w:t>
                  </w:r>
                </w:p>
                <w:p>
                  <w:pPr>
                    <w:rPr>
                      <w:rFonts w:ascii="Times New Roman" w:hAnsi="Times New Roman" w:eastAsia="仿宋"/>
                      <w:szCs w:val="24"/>
                    </w:rPr>
                  </w:pPr>
                  <w:r>
                    <w:rPr>
                      <w:rFonts w:hint="eastAsia" w:ascii="Times New Roman" w:hAnsi="Times New Roman" w:eastAsia="仿宋"/>
                      <w:szCs w:val="24"/>
                    </w:rPr>
                    <w:t>3.15:27之后不再触发临时停牌；</w:t>
                  </w:r>
                </w:p>
                <w:p>
                  <w:pPr>
                    <w:rPr>
                      <w:rFonts w:ascii="Times New Roman" w:hAnsi="Times New Roman" w:eastAsia="仿宋"/>
                      <w:szCs w:val="24"/>
                    </w:rPr>
                  </w:pPr>
                  <w:r>
                    <w:rPr>
                      <w:rFonts w:hint="eastAsia" w:ascii="Times New Roman" w:hAnsi="Times New Roman" w:eastAsia="仿宋"/>
                      <w:szCs w:val="24"/>
                    </w:rPr>
                    <w:t>4.触发临时</w:t>
                  </w:r>
                  <w:r>
                    <w:rPr>
                      <w:rFonts w:ascii="Times New Roman" w:hAnsi="Times New Roman" w:eastAsia="仿宋"/>
                      <w:szCs w:val="24"/>
                    </w:rPr>
                    <w:t>停牌时</w:t>
                  </w:r>
                  <w:r>
                    <w:rPr>
                      <w:rFonts w:hint="eastAsia" w:ascii="Times New Roman" w:hAnsi="Times New Roman" w:eastAsia="仿宋"/>
                      <w:szCs w:val="24"/>
                    </w:rPr>
                    <w:t>，行情网关发布临停公告信息。</w:t>
                  </w:r>
                </w:p>
              </w:tc>
              <w:tc>
                <w:tcPr>
                  <w:tcW w:w="1610" w:type="pct"/>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eastAsia="仿宋"/>
                      <w:b/>
                      <w:bCs/>
                      <w:szCs w:val="24"/>
                    </w:rPr>
                  </w:pPr>
                  <w:r>
                    <w:rPr>
                      <w:rFonts w:hint="eastAsia" w:ascii="Times New Roman" w:hAnsi="Times New Roman" w:eastAsia="仿宋"/>
                      <w:szCs w:val="24"/>
                    </w:rPr>
                    <w:t>匹配成交方式临时停牌期间，协商成交方式可正常交易</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4"/>
                    </w:rPr>
                  </w:pPr>
                  <w:r>
                    <w:rPr>
                      <w:rFonts w:hint="eastAsia" w:ascii="Times New Roman" w:hAnsi="Times New Roman" w:eastAsia="仿宋"/>
                      <w:b/>
                      <w:bCs/>
                      <w:szCs w:val="24"/>
                    </w:rPr>
                    <w:t>停牌情形处理</w:t>
                  </w:r>
                </w:p>
              </w:tc>
              <w:tc>
                <w:tcPr>
                  <w:tcW w:w="193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Cs w:val="24"/>
                    </w:rPr>
                  </w:pPr>
                  <w:r>
                    <w:rPr>
                      <w:rFonts w:hint="eastAsia" w:ascii="Times New Roman" w:hAnsi="Times New Roman" w:eastAsia="仿宋"/>
                      <w:b/>
                      <w:bCs/>
                      <w:szCs w:val="24"/>
                    </w:rPr>
                    <w:t>全天停牌：</w:t>
                  </w:r>
                  <w:r>
                    <w:rPr>
                      <w:rFonts w:hint="eastAsia" w:ascii="Times New Roman" w:hAnsi="Times New Roman" w:eastAsia="仿宋"/>
                      <w:szCs w:val="24"/>
                    </w:rPr>
                    <w:t>不接受交易申报；</w:t>
                  </w:r>
                </w:p>
                <w:p>
                  <w:pPr>
                    <w:rPr>
                      <w:rFonts w:ascii="Times New Roman" w:hAnsi="Times New Roman" w:eastAsia="仿宋"/>
                      <w:szCs w:val="24"/>
                    </w:rPr>
                  </w:pPr>
                  <w:r>
                    <w:rPr>
                      <w:rFonts w:ascii="Times New Roman" w:hAnsi="Times New Roman" w:eastAsia="仿宋"/>
                      <w:szCs w:val="24"/>
                    </w:rPr>
                    <w:t>盘中紧急停牌</w:t>
                  </w:r>
                  <w:r>
                    <w:rPr>
                      <w:rFonts w:hint="eastAsia" w:ascii="Times New Roman" w:hAnsi="Times New Roman" w:eastAsia="仿宋"/>
                      <w:szCs w:val="24"/>
                    </w:rPr>
                    <w:t>：不接受交易申报，可接受撤销申报；</w:t>
                  </w:r>
                </w:p>
                <w:p>
                  <w:pPr>
                    <w:rPr>
                      <w:rFonts w:ascii="Times New Roman" w:hAnsi="Times New Roman" w:eastAsia="仿宋"/>
                      <w:szCs w:val="24"/>
                    </w:rPr>
                  </w:pPr>
                  <w:r>
                    <w:rPr>
                      <w:rFonts w:hint="eastAsia" w:ascii="Times New Roman" w:hAnsi="Times New Roman" w:eastAsia="仿宋"/>
                      <w:b/>
                      <w:bCs/>
                      <w:szCs w:val="24"/>
                    </w:rPr>
                    <w:t>盘中临时停牌：</w:t>
                  </w:r>
                  <w:r>
                    <w:rPr>
                      <w:rFonts w:hint="eastAsia" w:ascii="Times New Roman" w:hAnsi="Times New Roman" w:eastAsia="仿宋"/>
                      <w:szCs w:val="24"/>
                    </w:rPr>
                    <w:t>可以申报或撤销申报；</w:t>
                  </w:r>
                </w:p>
              </w:tc>
              <w:tc>
                <w:tcPr>
                  <w:tcW w:w="161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b/>
                      <w:bCs/>
                      <w:szCs w:val="24"/>
                    </w:rPr>
                  </w:pPr>
                  <w:r>
                    <w:rPr>
                      <w:rFonts w:hint="eastAsia" w:ascii="Times New Roman" w:hAnsi="Times New Roman" w:eastAsia="仿宋"/>
                      <w:b/>
                      <w:bCs/>
                      <w:szCs w:val="24"/>
                    </w:rPr>
                    <w:t>全天停牌：</w:t>
                  </w:r>
                  <w:r>
                    <w:rPr>
                      <w:rFonts w:hint="eastAsia" w:ascii="Times New Roman" w:hAnsi="Times New Roman" w:eastAsia="仿宋"/>
                      <w:szCs w:val="24"/>
                    </w:rPr>
                    <w:t>不接受交易申报</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b/>
                      <w:bCs/>
                      <w:szCs w:val="24"/>
                    </w:rPr>
                    <w:t>有效申报价格范围</w:t>
                  </w:r>
                </w:p>
              </w:tc>
              <w:tc>
                <w:tcPr>
                  <w:tcW w:w="193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bCs/>
                      <w:szCs w:val="24"/>
                    </w:rPr>
                  </w:pPr>
                  <w:r>
                    <w:rPr>
                      <w:rFonts w:hint="eastAsia" w:ascii="Times New Roman" w:hAnsi="Times New Roman" w:eastAsia="仿宋"/>
                      <w:b/>
                      <w:szCs w:val="24"/>
                    </w:rPr>
                    <w:t>开盘集合匹配：</w:t>
                  </w:r>
                  <w:r>
                    <w:rPr>
                      <w:rFonts w:hint="eastAsia" w:ascii="Times New Roman" w:hAnsi="Times New Roman" w:eastAsia="仿宋"/>
                      <w:szCs w:val="24"/>
                    </w:rPr>
                    <w:t>前收盘价上下</w:t>
                  </w:r>
                  <w:r>
                    <w:rPr>
                      <w:rFonts w:ascii="Times New Roman" w:hAnsi="Times New Roman" w:eastAsia="仿宋"/>
                      <w:bCs/>
                      <w:szCs w:val="24"/>
                    </w:rPr>
                    <w:t>30%；</w:t>
                  </w:r>
                </w:p>
                <w:p>
                  <w:pPr>
                    <w:rPr>
                      <w:rFonts w:ascii="Times New Roman" w:hAnsi="Times New Roman" w:eastAsia="仿宋"/>
                      <w:szCs w:val="24"/>
                    </w:rPr>
                  </w:pPr>
                  <w:r>
                    <w:rPr>
                      <w:rFonts w:hint="eastAsia" w:ascii="Times New Roman" w:hAnsi="Times New Roman" w:eastAsia="仿宋"/>
                      <w:b/>
                      <w:bCs/>
                      <w:szCs w:val="24"/>
                    </w:rPr>
                    <w:t>连续匹配、盘中临时停牌复牌集合匹配</w:t>
                  </w:r>
                  <w:r>
                    <w:rPr>
                      <w:rFonts w:hint="eastAsia" w:ascii="Times New Roman" w:hAnsi="Times New Roman" w:eastAsia="仿宋"/>
                      <w:bCs/>
                      <w:szCs w:val="24"/>
                    </w:rPr>
                    <w:t>：信用债等</w:t>
                  </w:r>
                  <w:r>
                    <w:rPr>
                      <w:rFonts w:ascii="Times New Roman" w:hAnsi="Times New Roman" w:eastAsia="仿宋"/>
                      <w:szCs w:val="24"/>
                    </w:rPr>
                    <w:t>其他债券为匹配成交最近成交价上下20%</w:t>
                  </w:r>
                  <w:r>
                    <w:rPr>
                      <w:rFonts w:hint="eastAsia" w:ascii="Times New Roman" w:hAnsi="Times New Roman" w:eastAsia="仿宋"/>
                      <w:szCs w:val="24"/>
                    </w:rPr>
                    <w:t>；</w:t>
                  </w:r>
                </w:p>
                <w:p>
                  <w:pPr>
                    <w:rPr>
                      <w:rFonts w:ascii="Times New Roman" w:hAnsi="Times New Roman" w:eastAsia="仿宋"/>
                      <w:szCs w:val="24"/>
                    </w:rPr>
                  </w:pPr>
                  <w:r>
                    <w:rPr>
                      <w:rFonts w:hint="eastAsia" w:ascii="Times New Roman" w:hAnsi="Times New Roman" w:eastAsia="仿宋"/>
                      <w:szCs w:val="24"/>
                    </w:rPr>
                    <w:t>当日无交易的，以前收盘价作为最近成交价</w:t>
                  </w:r>
                  <w:r>
                    <w:rPr>
                      <w:rFonts w:ascii="Times New Roman" w:hAnsi="Times New Roman" w:eastAsia="仿宋"/>
                      <w:bCs/>
                      <w:szCs w:val="24"/>
                    </w:rPr>
                    <w:t>；</w:t>
                  </w:r>
                </w:p>
                <w:p>
                  <w:pPr>
                    <w:rPr>
                      <w:rFonts w:ascii="Times New Roman" w:hAnsi="Times New Roman" w:eastAsia="仿宋"/>
                      <w:szCs w:val="24"/>
                    </w:rPr>
                  </w:pPr>
                  <w:r>
                    <w:rPr>
                      <w:rFonts w:hint="eastAsia" w:ascii="Times New Roman" w:hAnsi="Times New Roman" w:eastAsia="仿宋"/>
                      <w:szCs w:val="24"/>
                    </w:rPr>
                    <w:t>超过有效申报价格范围的申报为无效申报。</w:t>
                  </w:r>
                </w:p>
              </w:tc>
              <w:tc>
                <w:tcPr>
                  <w:tcW w:w="161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Cs w:val="24"/>
                    </w:rPr>
                  </w:pPr>
                  <w:r>
                    <w:rPr>
                      <w:rFonts w:hint="eastAsia" w:ascii="Times New Roman" w:hAnsi="Times New Roman" w:eastAsia="仿宋"/>
                      <w:szCs w:val="24"/>
                    </w:rPr>
                    <w:t>不设置有效申报价格范围</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4"/>
                    </w:rPr>
                  </w:pPr>
                  <w:r>
                    <w:rPr>
                      <w:rFonts w:hint="eastAsia" w:ascii="Times New Roman" w:hAnsi="Times New Roman" w:eastAsia="仿宋"/>
                      <w:b/>
                      <w:bCs/>
                      <w:szCs w:val="24"/>
                    </w:rPr>
                    <w:t>有效申报价格范围的自动调整</w:t>
                  </w:r>
                </w:p>
              </w:tc>
              <w:tc>
                <w:tcPr>
                  <w:tcW w:w="193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b/>
                      <w:bCs/>
                      <w:szCs w:val="24"/>
                    </w:rPr>
                  </w:pPr>
                  <w:r>
                    <w:rPr>
                      <w:rFonts w:hint="eastAsia" w:ascii="Times New Roman" w:hAnsi="Times New Roman" w:eastAsia="仿宋"/>
                      <w:szCs w:val="24"/>
                    </w:rPr>
                    <w:t>债券在集合匹配阶段没有达成成交的，继续交易时，按照下列方式调整有效申报价格范围：最高买入申报价格高于前收盘价或者匹配成交最近成交价的，以最高买入申报价格为基准调整有效申报价格范围；最低卖出申报价格低于前收盘价或者匹配成交最近成交价的，以最低卖出申报价格为基准调整有效申报价格范围。</w:t>
                  </w:r>
                </w:p>
              </w:tc>
              <w:tc>
                <w:tcPr>
                  <w:tcW w:w="16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4"/>
                      <w:lang w:val="en"/>
                    </w:rPr>
                  </w:pPr>
                  <w:r>
                    <w:rPr>
                      <w:rFonts w:hint="eastAsia" w:ascii="Times New Roman" w:hAnsi="Times New Roman" w:eastAsia="仿宋"/>
                      <w:b/>
                      <w:bCs/>
                      <w:szCs w:val="24"/>
                      <w:lang w:val="en"/>
                    </w:rPr>
                    <w:t>撤单</w:t>
                  </w:r>
                </w:p>
              </w:tc>
              <w:tc>
                <w:tcPr>
                  <w:tcW w:w="193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Cs w:val="24"/>
                    </w:rPr>
                  </w:pPr>
                  <w:r>
                    <w:rPr>
                      <w:rFonts w:hint="eastAsia" w:ascii="Times New Roman" w:hAnsi="Times New Roman" w:eastAsia="仿宋"/>
                      <w:szCs w:val="24"/>
                    </w:rPr>
                    <w:t>除</w:t>
                  </w:r>
                  <w:r>
                    <w:rPr>
                      <w:rFonts w:ascii="Times New Roman" w:hAnsi="Times New Roman" w:eastAsia="仿宋"/>
                      <w:szCs w:val="24"/>
                    </w:rPr>
                    <w:t>09:</w:t>
                  </w:r>
                  <w:r>
                    <w:rPr>
                      <w:rFonts w:hint="eastAsia" w:ascii="Times New Roman" w:hAnsi="Times New Roman" w:eastAsia="仿宋"/>
                      <w:szCs w:val="24"/>
                    </w:rPr>
                    <w:t>20</w:t>
                  </w:r>
                  <w:r>
                    <w:rPr>
                      <w:rFonts w:ascii="Times New Roman" w:hAnsi="Times New Roman" w:eastAsia="仿宋"/>
                      <w:szCs w:val="24"/>
                    </w:rPr>
                    <w:t>-09:25</w:t>
                  </w:r>
                  <w:r>
                    <w:rPr>
                      <w:rFonts w:hint="eastAsia" w:ascii="Times New Roman" w:hAnsi="Times New Roman" w:eastAsia="仿宋"/>
                      <w:szCs w:val="24"/>
                    </w:rPr>
                    <w:t>的开盘集合匹配阶段不接受撤销申报外，接受申报时间内未成交的申报可以撤销；部分成交的，未成交部分可以撤销；</w:t>
                  </w:r>
                </w:p>
                <w:p>
                  <w:pPr>
                    <w:rPr>
                      <w:rFonts w:ascii="Times New Roman" w:hAnsi="Times New Roman" w:eastAsia="仿宋"/>
                      <w:b/>
                      <w:bCs/>
                      <w:szCs w:val="24"/>
                    </w:rPr>
                  </w:pPr>
                  <w:r>
                    <w:rPr>
                      <w:rFonts w:hint="eastAsia" w:ascii="Times New Roman" w:hAnsi="Times New Roman" w:eastAsia="仿宋"/>
                      <w:szCs w:val="24"/>
                    </w:rPr>
                    <w:t>若原申报订单已经撤销成功，则撤销申报作废；若原订单也是撤销申报，则撤销申报作废。</w:t>
                  </w:r>
                </w:p>
              </w:tc>
              <w:tc>
                <w:tcPr>
                  <w:tcW w:w="161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Cs w:val="24"/>
                    </w:rPr>
                  </w:pPr>
                  <w:r>
                    <w:rPr>
                      <w:rFonts w:hint="eastAsia" w:ascii="Times New Roman" w:hAnsi="Times New Roman" w:eastAsia="仿宋"/>
                      <w:szCs w:val="24"/>
                    </w:rPr>
                    <w:t>接受申报时间内，未成交的申报可以撤销；</w:t>
                  </w:r>
                </w:p>
                <w:p>
                  <w:pPr>
                    <w:rPr>
                      <w:rFonts w:ascii="Times New Roman" w:hAnsi="Times New Roman" w:eastAsia="仿宋"/>
                      <w:szCs w:val="24"/>
                    </w:rPr>
                  </w:pPr>
                  <w:r>
                    <w:rPr>
                      <w:rFonts w:hint="eastAsia" w:ascii="Times New Roman" w:hAnsi="Times New Roman" w:eastAsia="仿宋"/>
                      <w:szCs w:val="24"/>
                    </w:rPr>
                    <w:t>若原申报订单已经撤销成功，则撤销申报作废；若原订单也是撤销申报，则撤销申报作废。</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4"/>
                      <w:lang w:val="en"/>
                    </w:rPr>
                  </w:pPr>
                  <w:r>
                    <w:rPr>
                      <w:rFonts w:hint="eastAsia" w:ascii="Times New Roman" w:hAnsi="Times New Roman" w:eastAsia="仿宋"/>
                      <w:b/>
                      <w:bCs/>
                      <w:szCs w:val="24"/>
                      <w:lang w:val="en"/>
                    </w:rPr>
                    <w:t>回转交易</w:t>
                  </w:r>
                </w:p>
              </w:tc>
              <w:tc>
                <w:tcPr>
                  <w:tcW w:w="193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Cs w:val="24"/>
                    </w:rPr>
                  </w:pPr>
                  <w:r>
                    <w:rPr>
                      <w:rFonts w:hint="eastAsia" w:ascii="Times New Roman" w:hAnsi="Times New Roman" w:eastAsia="仿宋"/>
                      <w:szCs w:val="24"/>
                    </w:rPr>
                    <w:t>当日回转交易，当日买入的债券可以在当日卖出。</w:t>
                  </w:r>
                </w:p>
              </w:tc>
              <w:tc>
                <w:tcPr>
                  <w:tcW w:w="16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当日回转交易，当日买入的债券可以在当日卖出。</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4"/>
                      <w:lang w:val="en"/>
                    </w:rPr>
                  </w:pPr>
                  <w:r>
                    <w:rPr>
                      <w:rFonts w:hint="eastAsia" w:ascii="Times New Roman" w:hAnsi="Times New Roman" w:eastAsia="仿宋"/>
                      <w:b/>
                      <w:bCs/>
                      <w:szCs w:val="24"/>
                      <w:lang w:val="en"/>
                    </w:rPr>
                    <w:t>持仓前端控制</w:t>
                  </w:r>
                </w:p>
              </w:tc>
              <w:tc>
                <w:tcPr>
                  <w:tcW w:w="193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Cs w:val="24"/>
                    </w:rPr>
                  </w:pPr>
                  <w:r>
                    <w:rPr>
                      <w:rFonts w:hint="eastAsia" w:ascii="Times New Roman" w:hAnsi="Times New Roman" w:eastAsia="仿宋"/>
                      <w:szCs w:val="24"/>
                    </w:rPr>
                    <w:t>持仓前端控制。债券申报卖出时，不得超过证券账户持仓，申报成功后，申报数量被预冻结（申报撤销后予以解冻）；</w:t>
                  </w:r>
                </w:p>
                <w:p>
                  <w:pPr>
                    <w:rPr>
                      <w:rFonts w:ascii="Times New Roman" w:hAnsi="Times New Roman" w:eastAsia="仿宋"/>
                      <w:szCs w:val="24"/>
                    </w:rPr>
                  </w:pPr>
                  <w:r>
                    <w:rPr>
                      <w:rFonts w:hint="eastAsia" w:ascii="Times New Roman" w:hAnsi="Times New Roman" w:eastAsia="仿宋"/>
                      <w:szCs w:val="24"/>
                    </w:rPr>
                    <w:t>交易达成后，卖出方证券账户实时扣减持仓，买入方所在证券账户实时增加持仓。</w:t>
                  </w:r>
                </w:p>
              </w:tc>
              <w:tc>
                <w:tcPr>
                  <w:tcW w:w="161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Cs w:val="24"/>
                    </w:rPr>
                  </w:pPr>
                  <w:r>
                    <w:rPr>
                      <w:rFonts w:hint="eastAsia" w:ascii="Times New Roman" w:hAnsi="Times New Roman" w:eastAsia="仿宋"/>
                      <w:szCs w:val="24"/>
                    </w:rPr>
                    <w:t>持仓前端控制。债券申报卖出时，不得超过证券账户持仓，申报成功后，申报数量被预冻结（申报撤销后予以解冻）。</w:t>
                  </w:r>
                </w:p>
                <w:p>
                  <w:pPr>
                    <w:rPr>
                      <w:rFonts w:ascii="Times New Roman" w:hAnsi="Times New Roman" w:eastAsia="仿宋"/>
                      <w:szCs w:val="24"/>
                    </w:rPr>
                  </w:pPr>
                  <w:r>
                    <w:rPr>
                      <w:rFonts w:hint="eastAsia" w:ascii="Times New Roman" w:hAnsi="Times New Roman" w:eastAsia="仿宋"/>
                      <w:szCs w:val="24"/>
                    </w:rPr>
                    <w:t>交易达成后，卖出方证券账户实时扣减持仓，买入方所在证券账户实时增加持仓。</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4"/>
                    </w:rPr>
                  </w:pPr>
                  <w:r>
                    <w:rPr>
                      <w:rFonts w:hint="eastAsia" w:ascii="Times New Roman" w:hAnsi="Times New Roman" w:eastAsia="仿宋"/>
                      <w:b/>
                      <w:bCs/>
                      <w:szCs w:val="24"/>
                    </w:rPr>
                    <w:t>计价方式</w:t>
                  </w:r>
                </w:p>
              </w:tc>
              <w:tc>
                <w:tcPr>
                  <w:tcW w:w="19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债券现券交易均采用净价价格进行申报。</w:t>
                  </w:r>
                </w:p>
              </w:tc>
              <w:tc>
                <w:tcPr>
                  <w:tcW w:w="16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szCs w:val="24"/>
                    </w:rPr>
                  </w:pPr>
                  <w:r>
                    <w:rPr>
                      <w:rFonts w:hint="eastAsia" w:ascii="Times New Roman" w:hAnsi="Times New Roman" w:eastAsia="仿宋"/>
                      <w:szCs w:val="24"/>
                    </w:rPr>
                    <w:t>债券现券交易均采用净价价格进行申报。</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4"/>
                    </w:rPr>
                  </w:pPr>
                  <w:r>
                    <w:rPr>
                      <w:rFonts w:hint="eastAsia" w:ascii="Times New Roman" w:hAnsi="Times New Roman" w:eastAsia="仿宋"/>
                      <w:b/>
                      <w:bCs/>
                      <w:szCs w:val="24"/>
                    </w:rPr>
                    <w:t>申报效力</w:t>
                  </w:r>
                </w:p>
              </w:tc>
              <w:tc>
                <w:tcPr>
                  <w:tcW w:w="193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Cs w:val="24"/>
                    </w:rPr>
                  </w:pPr>
                  <w:r>
                    <w:rPr>
                      <w:rFonts w:hint="eastAsia" w:ascii="Times New Roman" w:hAnsi="Times New Roman" w:eastAsia="仿宋"/>
                      <w:bCs/>
                      <w:szCs w:val="24"/>
                      <w:lang w:val="en"/>
                    </w:rPr>
                    <w:t>当日提交的申报当日有效；</w:t>
                  </w:r>
                </w:p>
                <w:p>
                  <w:r>
                    <w:rPr>
                      <w:rFonts w:hint="eastAsia" w:ascii="Times New Roman" w:hAnsi="Times New Roman" w:eastAsia="仿宋"/>
                      <w:szCs w:val="24"/>
                    </w:rPr>
                    <w:t>集合匹配期间未成交的交易申报，自动进入连续匹配；</w:t>
                  </w:r>
                </w:p>
                <w:p>
                  <w:pPr>
                    <w:rPr>
                      <w:rFonts w:ascii="Times New Roman" w:hAnsi="Times New Roman" w:eastAsia="仿宋"/>
                      <w:szCs w:val="24"/>
                    </w:rPr>
                  </w:pPr>
                  <w:r>
                    <w:rPr>
                      <w:rFonts w:hint="eastAsia" w:ascii="Times New Roman" w:hAnsi="Times New Roman" w:eastAsia="仿宋"/>
                      <w:szCs w:val="24"/>
                      <w:lang w:bidi="ar"/>
                    </w:rPr>
                    <w:t>债券交易申报不能一次全部成交时，未成交部分当日继续有效。</w:t>
                  </w:r>
                </w:p>
              </w:tc>
              <w:tc>
                <w:tcPr>
                  <w:tcW w:w="161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Cs w:val="24"/>
                    </w:rPr>
                  </w:pPr>
                  <w:r>
                    <w:rPr>
                      <w:rFonts w:hint="eastAsia" w:ascii="Times New Roman" w:hAnsi="Times New Roman" w:eastAsia="仿宋"/>
                      <w:bCs/>
                      <w:szCs w:val="24"/>
                      <w:lang w:val="en"/>
                    </w:rPr>
                    <w:t>当日提交的申报当日有效。</w:t>
                  </w:r>
                </w:p>
                <w:p>
                  <w:pPr>
                    <w:rPr>
                      <w:rFonts w:ascii="Times New Roman" w:hAnsi="Times New Roman" w:eastAsia="仿宋"/>
                      <w:szCs w:val="24"/>
                    </w:rPr>
                  </w:pP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4"/>
                    </w:rPr>
                  </w:pPr>
                  <w:r>
                    <w:rPr>
                      <w:rFonts w:hint="eastAsia" w:ascii="Times New Roman" w:hAnsi="Times New Roman" w:eastAsia="仿宋"/>
                      <w:b/>
                      <w:bCs/>
                      <w:szCs w:val="24"/>
                    </w:rPr>
                    <w:t>交易申报信息披露</w:t>
                  </w:r>
                </w:p>
              </w:tc>
              <w:tc>
                <w:tcPr>
                  <w:tcW w:w="1930" w:type="pct"/>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eastAsia="仿宋"/>
                      <w:szCs w:val="24"/>
                    </w:rPr>
                  </w:pPr>
                  <w:r>
                    <w:rPr>
                      <w:rFonts w:hint="eastAsia" w:ascii="Times New Roman" w:hAnsi="Times New Roman" w:eastAsia="仿宋"/>
                      <w:b/>
                      <w:bCs/>
                      <w:szCs w:val="24"/>
                    </w:rPr>
                    <w:t>开盘集合匹配：</w:t>
                  </w:r>
                  <w:r>
                    <w:rPr>
                      <w:rFonts w:hint="eastAsia" w:ascii="Times New Roman" w:hAnsi="Times New Roman" w:eastAsia="仿宋"/>
                      <w:szCs w:val="24"/>
                    </w:rPr>
                    <w:t>发布参考价格、匹配量、未匹配量等；若未产生集合匹配参考价的，则发布实时最优一档买卖申报价格、数量；</w:t>
                  </w:r>
                </w:p>
                <w:p>
                  <w:pPr>
                    <w:rPr>
                      <w:rFonts w:ascii="Times New Roman" w:hAnsi="Times New Roman" w:eastAsia="仿宋"/>
                      <w:szCs w:val="24"/>
                      <w:lang w:val="en"/>
                    </w:rPr>
                  </w:pPr>
                  <w:r>
                    <w:rPr>
                      <w:rFonts w:hint="eastAsia" w:ascii="Times New Roman" w:hAnsi="Times New Roman" w:eastAsia="仿宋"/>
                      <w:b/>
                      <w:bCs/>
                      <w:szCs w:val="24"/>
                    </w:rPr>
                    <w:t>连续匹配：</w:t>
                  </w:r>
                  <w:r>
                    <w:rPr>
                      <w:rFonts w:hint="eastAsia" w:ascii="Times New Roman" w:hAnsi="Times New Roman" w:eastAsia="仿宋"/>
                      <w:szCs w:val="24"/>
                    </w:rPr>
                    <w:t>最优五档买卖申报价格、数量等；</w:t>
                  </w:r>
                </w:p>
                <w:p>
                  <w:pPr>
                    <w:rPr>
                      <w:rFonts w:ascii="Times New Roman" w:hAnsi="Times New Roman" w:eastAsia="仿宋"/>
                      <w:szCs w:val="24"/>
                    </w:rPr>
                  </w:pPr>
                  <w:r>
                    <w:rPr>
                      <w:rFonts w:hint="eastAsia" w:ascii="Times New Roman" w:hAnsi="Times New Roman" w:eastAsia="仿宋"/>
                      <w:szCs w:val="24"/>
                    </w:rPr>
                    <w:t>申报数量</w:t>
                  </w:r>
                  <w:r>
                    <w:rPr>
                      <w:rFonts w:ascii="Times New Roman" w:hAnsi="Times New Roman" w:eastAsia="仿宋"/>
                      <w:szCs w:val="24"/>
                    </w:rPr>
                    <w:t>100</w:t>
                  </w:r>
                  <w:r>
                    <w:rPr>
                      <w:rFonts w:hint="eastAsia" w:ascii="Times New Roman" w:hAnsi="Times New Roman" w:eastAsia="仿宋"/>
                      <w:szCs w:val="24"/>
                    </w:rPr>
                    <w:t>万元面额及以上的逐笔交易申报信息；</w:t>
                  </w:r>
                </w:p>
                <w:p>
                  <w:pPr>
                    <w:rPr>
                      <w:rFonts w:ascii="Times New Roman" w:hAnsi="Times New Roman" w:eastAsia="仿宋"/>
                      <w:szCs w:val="24"/>
                    </w:rPr>
                  </w:pPr>
                  <w:r>
                    <w:rPr>
                      <w:rFonts w:hint="eastAsia" w:ascii="Times New Roman" w:hAnsi="Times New Roman" w:eastAsia="仿宋"/>
                      <w:szCs w:val="24"/>
                    </w:rPr>
                    <w:t>债券临时停牌期间不揭示集合匹配参考价、匹配量和未匹配量。</w:t>
                  </w:r>
                </w:p>
              </w:tc>
              <w:tc>
                <w:tcPr>
                  <w:tcW w:w="16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ascii="Times New Roman" w:hAnsi="Times New Roman" w:eastAsia="仿宋"/>
                      <w:szCs w:val="24"/>
                    </w:rPr>
                    <w:t>/</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ascii="Times New Roman" w:hAnsi="Times New Roman" w:eastAsia="仿宋" w:cs="Times New Roman"/>
                      <w:szCs w:val="24"/>
                    </w:rPr>
                    <w:t xml:space="preserve">  </w:t>
                  </w:r>
                  <w:r>
                    <w:rPr>
                      <w:rFonts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4"/>
                    </w:rPr>
                  </w:pPr>
                  <w:r>
                    <w:rPr>
                      <w:rFonts w:hint="eastAsia" w:ascii="Times New Roman" w:hAnsi="Times New Roman" w:eastAsia="仿宋"/>
                      <w:b/>
                      <w:bCs/>
                      <w:szCs w:val="24"/>
                    </w:rPr>
                    <w:t>成交信息披露</w:t>
                  </w:r>
                </w:p>
              </w:tc>
              <w:tc>
                <w:tcPr>
                  <w:tcW w:w="1930" w:type="pct"/>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eastAsia="仿宋"/>
                      <w:szCs w:val="24"/>
                    </w:rPr>
                  </w:pPr>
                  <w:r>
                    <w:rPr>
                      <w:rFonts w:hint="eastAsia" w:ascii="Times New Roman" w:hAnsi="Times New Roman" w:eastAsia="仿宋"/>
                      <w:szCs w:val="24"/>
                    </w:rPr>
                    <w:t>即时成交行情、单笔成交数量为</w:t>
                  </w:r>
                  <w:r>
                    <w:rPr>
                      <w:rFonts w:ascii="Times New Roman" w:hAnsi="Times New Roman" w:eastAsia="仿宋"/>
                      <w:szCs w:val="24"/>
                    </w:rPr>
                    <w:t>100</w:t>
                  </w:r>
                  <w:r>
                    <w:rPr>
                      <w:rFonts w:hint="eastAsia" w:ascii="Times New Roman" w:hAnsi="Times New Roman" w:eastAsia="仿宋"/>
                      <w:szCs w:val="24"/>
                    </w:rPr>
                    <w:t>万元面额及以上的逐笔成交信息；</w:t>
                  </w:r>
                </w:p>
                <w:p>
                  <w:pPr>
                    <w:jc w:val="both"/>
                    <w:rPr>
                      <w:rFonts w:ascii="Times New Roman" w:hAnsi="Times New Roman" w:eastAsia="仿宋"/>
                      <w:szCs w:val="24"/>
                    </w:rPr>
                  </w:pPr>
                  <w:r>
                    <w:rPr>
                      <w:rFonts w:hint="eastAsia" w:ascii="Times New Roman" w:hAnsi="Times New Roman" w:eastAsia="仿宋"/>
                      <w:szCs w:val="24"/>
                    </w:rPr>
                    <w:t>已揭示大额申报如被撤单，将通过逐笔成交行情接口发布撤单信息。</w:t>
                  </w:r>
                </w:p>
              </w:tc>
              <w:tc>
                <w:tcPr>
                  <w:tcW w:w="16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即时成交行情、逐笔成交行情。</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ascii="Times New Roman" w:hAnsi="Times New Roman" w:eastAsia="仿宋" w:cs="Times New Roman"/>
                      <w:szCs w:val="24"/>
                    </w:rPr>
                    <w:t xml:space="preserve">  </w:t>
                  </w:r>
                  <w:r>
                    <w:rPr>
                      <w:rFonts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4"/>
                    </w:rPr>
                  </w:pPr>
                  <w:r>
                    <w:rPr>
                      <w:rFonts w:hint="eastAsia" w:ascii="Times New Roman" w:hAnsi="Times New Roman" w:eastAsia="仿宋"/>
                      <w:b/>
                      <w:bCs/>
                      <w:szCs w:val="24"/>
                    </w:rPr>
                    <w:t>收盘价</w:t>
                  </w:r>
                </w:p>
              </w:tc>
              <w:tc>
                <w:tcPr>
                  <w:tcW w:w="193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Cs w:val="24"/>
                    </w:rPr>
                  </w:pPr>
                  <w:r>
                    <w:rPr>
                      <w:rFonts w:hint="eastAsia" w:ascii="Times New Roman" w:hAnsi="Times New Roman" w:eastAsia="仿宋"/>
                      <w:szCs w:val="24"/>
                    </w:rPr>
                    <w:t>债券上市首日以该债券的发行价格作为前收盘价；</w:t>
                  </w:r>
                </w:p>
                <w:p>
                  <w:pPr>
                    <w:rPr>
                      <w:rFonts w:ascii="Times New Roman" w:hAnsi="Times New Roman" w:eastAsia="仿宋"/>
                      <w:szCs w:val="24"/>
                    </w:rPr>
                  </w:pPr>
                  <w:r>
                    <w:rPr>
                      <w:rFonts w:hint="eastAsia" w:ascii="Times New Roman" w:hAnsi="Times New Roman" w:eastAsia="仿宋"/>
                      <w:szCs w:val="24"/>
                    </w:rPr>
                    <w:t>当日无成交的，以前收盘价为当日收盘价。</w:t>
                  </w:r>
                </w:p>
              </w:tc>
              <w:tc>
                <w:tcPr>
                  <w:tcW w:w="161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Cs w:val="24"/>
                    </w:rPr>
                  </w:pPr>
                  <w:r>
                    <w:rPr>
                      <w:rFonts w:hint="eastAsia" w:ascii="Times New Roman" w:hAnsi="Times New Roman" w:eastAsia="仿宋"/>
                      <w:szCs w:val="24"/>
                    </w:rPr>
                    <w:t>债券上市首日以该债券的发行价格作为前收盘价；</w:t>
                  </w:r>
                </w:p>
                <w:p>
                  <w:pPr>
                    <w:rPr>
                      <w:rFonts w:ascii="Times New Roman" w:hAnsi="Times New Roman" w:eastAsia="仿宋"/>
                      <w:szCs w:val="24"/>
                    </w:rPr>
                  </w:pPr>
                  <w:r>
                    <w:rPr>
                      <w:rFonts w:hint="eastAsia" w:ascii="Times New Roman" w:hAnsi="Times New Roman" w:eastAsia="仿宋"/>
                      <w:szCs w:val="24"/>
                    </w:rPr>
                    <w:t>当日无成交的，以前收盘价为当日收盘价。</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p>
              </w:tc>
            </w:tr>
          </w:tbl>
          <w:p>
            <w:pPr>
              <w:jc w:val="both"/>
              <w:rPr>
                <w:rFonts w:ascii="Times New Roman" w:hAnsi="Times New Roman" w:cs="Times New Roman"/>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9022" w:type="dxa"/>
            <w:vAlign w:val="center"/>
          </w:tcPr>
          <w:p>
            <w:pPr>
              <w:pStyle w:val="13"/>
              <w:spacing w:before="60" w:after="60" w:line="0" w:lineRule="atLeast"/>
              <w:ind w:firstLine="0" w:firstLineChars="0"/>
              <w:rPr>
                <w:rFonts w:ascii="Times New Roman" w:hAnsi="Times New Roman" w:cs="Times New Roman"/>
                <w:b/>
                <w:color w:val="000000"/>
                <w:szCs w:val="24"/>
              </w:rPr>
            </w:pPr>
            <w:r>
              <w:rPr>
                <w:rFonts w:ascii="Times New Roman" w:hAnsi="Times New Roman" w:cs="Times New Roman"/>
                <w:b/>
                <w:color w:val="000000"/>
                <w:szCs w:val="24"/>
              </w:rPr>
              <w:t>问题记录</w:t>
            </w:r>
          </w:p>
          <w:p>
            <w:pPr>
              <w:widowControl w:val="0"/>
              <w:numPr>
                <w:ilvl w:val="0"/>
                <w:numId w:val="2"/>
              </w:numPr>
              <w:jc w:val="both"/>
              <w:rPr>
                <w:rFonts w:ascii="Times New Roman" w:hAnsi="Times New Roman" w:cs="Times New Roman"/>
                <w:color w:val="000000"/>
                <w:sz w:val="21"/>
                <w:szCs w:val="21"/>
              </w:rPr>
            </w:pPr>
          </w:p>
          <w:p>
            <w:pPr>
              <w:widowControl w:val="0"/>
              <w:numPr>
                <w:ilvl w:val="0"/>
                <w:numId w:val="2"/>
              </w:numPr>
              <w:jc w:val="both"/>
              <w:rPr>
                <w:rFonts w:ascii="Times New Roman" w:hAnsi="Times New Roman" w:cs="Times New Roman"/>
                <w:color w:val="000000"/>
                <w:sz w:val="21"/>
                <w:szCs w:val="21"/>
              </w:rPr>
            </w:pPr>
          </w:p>
          <w:p>
            <w:pPr>
              <w:pStyle w:val="13"/>
              <w:spacing w:before="60" w:after="60" w:line="0" w:lineRule="atLeast"/>
              <w:ind w:firstLine="0" w:firstLineChars="0"/>
              <w:rPr>
                <w:rFonts w:ascii="Times New Roman" w:hAnsi="Times New Roman" w:eastAsia="黑体" w:cs="Arial"/>
                <w:sz w:val="28"/>
                <w:szCs w:val="28"/>
              </w:rPr>
            </w:pPr>
            <w:r>
              <w:rPr>
                <w:rFonts w:ascii="Times New Roman" w:hAnsi="Times New Roman" w:cs="Times New Roman"/>
                <w:i/>
                <w:color w:val="000000"/>
                <w:sz w:val="21"/>
                <w:szCs w:val="21"/>
              </w:rPr>
              <w:t>注：</w:t>
            </w:r>
            <w:r>
              <w:rPr>
                <w:rFonts w:hint="eastAsia" w:ascii="Times New Roman" w:hAnsi="Times New Roman" w:cs="Times New Roman"/>
                <w:i/>
                <w:color w:val="000000"/>
                <w:sz w:val="21"/>
                <w:szCs w:val="21"/>
              </w:rPr>
              <w:t>如</w:t>
            </w:r>
            <w:r>
              <w:rPr>
                <w:rFonts w:ascii="Times New Roman" w:hAnsi="Times New Roman" w:cs="Times New Roman"/>
                <w:i/>
                <w:color w:val="000000"/>
                <w:sz w:val="21"/>
                <w:szCs w:val="21"/>
              </w:rPr>
              <w:t>测试中发现</w:t>
            </w:r>
            <w:r>
              <w:rPr>
                <w:rFonts w:hint="eastAsia" w:ascii="Times New Roman" w:hAnsi="Times New Roman" w:cs="Times New Roman"/>
                <w:i/>
                <w:color w:val="000000"/>
                <w:sz w:val="21"/>
                <w:szCs w:val="21"/>
              </w:rPr>
              <w:t>技术系统</w:t>
            </w:r>
            <w:r>
              <w:rPr>
                <w:rFonts w:ascii="Times New Roman" w:hAnsi="Times New Roman" w:cs="Times New Roman"/>
                <w:i/>
                <w:color w:val="000000"/>
                <w:sz w:val="21"/>
                <w:szCs w:val="21"/>
              </w:rPr>
              <w:t>问题</w:t>
            </w:r>
            <w:r>
              <w:rPr>
                <w:rFonts w:hint="eastAsia" w:ascii="Times New Roman" w:hAnsi="Times New Roman" w:cs="Times New Roman"/>
                <w:i/>
                <w:color w:val="000000"/>
                <w:sz w:val="21"/>
                <w:szCs w:val="21"/>
              </w:rPr>
              <w:t>或涉及交易规则业务验证的问题</w:t>
            </w:r>
            <w:r>
              <w:rPr>
                <w:rFonts w:ascii="Times New Roman" w:hAnsi="Times New Roman" w:cs="Times New Roman"/>
                <w:i/>
                <w:color w:val="000000"/>
                <w:sz w:val="21"/>
                <w:szCs w:val="21"/>
              </w:rPr>
              <w:t>，请在本栏描述。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9022" w:type="dxa"/>
            <w:vAlign w:val="center"/>
          </w:tcPr>
          <w:p>
            <w:pPr>
              <w:widowControl w:val="0"/>
              <w:spacing w:before="60" w:after="60" w:line="0" w:lineRule="atLeast"/>
              <w:jc w:val="both"/>
              <w:rPr>
                <w:rFonts w:ascii="Times New Roman" w:hAnsi="Times New Roman" w:eastAsia="仿宋" w:cs="Times New Roman"/>
                <w:sz w:val="28"/>
                <w:szCs w:val="28"/>
                <w:lang w:val="zh-CN"/>
              </w:rPr>
            </w:pPr>
            <w:r>
              <w:rPr>
                <w:rFonts w:hint="eastAsia" w:ascii="Times New Roman" w:hAnsi="Times New Roman" w:eastAsia="仿宋" w:cs="Times New Roman"/>
                <w:b/>
                <w:sz w:val="28"/>
                <w:szCs w:val="28"/>
                <w:lang w:val="zh-CN"/>
              </w:rPr>
              <w:t>测试结论：</w:t>
            </w:r>
            <w:r>
              <w:rPr>
                <w:rFonts w:hint="eastAsia" w:ascii="Times New Roman" w:hAnsi="Times New Roman" w:eastAsia="仿宋" w:cs="Times New Roman"/>
                <w:sz w:val="28"/>
                <w:szCs w:val="28"/>
                <w:lang w:val="zh-CN"/>
              </w:rPr>
              <w:t xml:space="preserve">完全通过□    部分通过□     失败□     </w:t>
            </w:r>
          </w:p>
          <w:p>
            <w:pPr>
              <w:widowControl w:val="0"/>
              <w:spacing w:before="60" w:after="60" w:line="0" w:lineRule="atLeast"/>
              <w:jc w:val="both"/>
              <w:rPr>
                <w:rFonts w:ascii="Times New Roman" w:hAnsi="Times New Roman" w:eastAsia="仿宋" w:cs="Times New Roman"/>
                <w:sz w:val="28"/>
                <w:szCs w:val="28"/>
                <w:lang w:val="zh-CN"/>
              </w:rPr>
            </w:pPr>
          </w:p>
          <w:p>
            <w:pPr>
              <w:widowControl w:val="0"/>
              <w:spacing w:before="60" w:after="60" w:line="0" w:lineRule="atLeast"/>
              <w:jc w:val="both"/>
              <w:rPr>
                <w:rFonts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特别说明：</w:t>
            </w:r>
          </w:p>
          <w:p>
            <w:pPr>
              <w:widowControl w:val="0"/>
              <w:spacing w:before="60" w:after="60" w:line="0" w:lineRule="atLeast"/>
              <w:jc w:val="both"/>
              <w:rPr>
                <w:rFonts w:ascii="Times New Roman" w:hAnsi="Times New Roman" w:eastAsia="仿宋" w:cs="Times New Roman"/>
                <w:sz w:val="28"/>
                <w:szCs w:val="28"/>
                <w:lang w:val="zh-CN"/>
              </w:rPr>
            </w:pPr>
          </w:p>
          <w:p>
            <w:pPr>
              <w:widowControl w:val="0"/>
              <w:spacing w:before="60" w:after="60" w:line="0" w:lineRule="atLeast"/>
              <w:jc w:val="both"/>
              <w:rPr>
                <w:rFonts w:ascii="Times New Roman" w:hAnsi="Times New Roman" w:eastAsia="仿宋" w:cs="Times New Roman"/>
                <w:sz w:val="28"/>
                <w:szCs w:val="28"/>
                <w:lang w:val="zh-CN"/>
              </w:rPr>
            </w:pPr>
          </w:p>
          <w:p>
            <w:pPr>
              <w:widowControl w:val="0"/>
              <w:spacing w:before="60" w:after="60" w:line="0" w:lineRule="atLeast"/>
              <w:jc w:val="both"/>
              <w:rPr>
                <w:rFonts w:ascii="Times New Roman" w:hAnsi="Times New Roman" w:cs="Times New Roman"/>
                <w:color w:val="000000"/>
                <w:sz w:val="21"/>
                <w:szCs w:val="21"/>
              </w:rPr>
            </w:pPr>
            <w:r>
              <w:rPr>
                <w:rFonts w:hint="eastAsia" w:ascii="Times New Roman" w:hAnsi="Times New Roman" w:eastAsia="仿宋" w:cs="Times New Roman"/>
                <w:sz w:val="28"/>
                <w:szCs w:val="28"/>
                <w:lang w:val="zh-CN"/>
              </w:rPr>
              <w:t xml:space="preserve"> （如果测试结论是部分通过或失败，请说明原因、后续系统完善所需时间及应对策略。）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9022" w:type="dxa"/>
            <w:vAlign w:val="center"/>
          </w:tcPr>
          <w:p>
            <w:pPr>
              <w:rPr>
                <w:rFonts w:ascii="Times New Roman" w:hAnsi="Times New Roman" w:cs="Times New Roman"/>
                <w:b/>
                <w:bCs/>
                <w:color w:val="000000"/>
                <w:sz w:val="21"/>
                <w:szCs w:val="21"/>
              </w:rPr>
            </w:pPr>
            <w:r>
              <w:rPr>
                <w:rFonts w:ascii="Times New Roman" w:hAnsi="Times New Roman" w:cs="Times New Roman"/>
                <w:b/>
                <w:bCs/>
                <w:color w:val="000000"/>
                <w:sz w:val="21"/>
                <w:szCs w:val="21"/>
              </w:rPr>
              <w:t>测试负责人：                       联系电话（固话和手机）：</w:t>
            </w:r>
          </w:p>
        </w:tc>
      </w:tr>
    </w:tbl>
    <w:p>
      <w:pPr>
        <w:rPr>
          <w:rFonts w:ascii="Times New Roman" w:hAnsi="Times New Roman" w:cs="Times New Roman"/>
        </w:rPr>
      </w:pPr>
    </w:p>
    <w:p>
      <w:pPr>
        <w:widowControl w:val="0"/>
        <w:spacing w:line="0" w:lineRule="atLeast"/>
        <w:jc w:val="both"/>
        <w:rPr>
          <w:rFonts w:ascii="Times New Roman" w:hAnsi="Times New Roman" w:eastAsia="楷体" w:cs="Times New Roman"/>
          <w:szCs w:val="28"/>
        </w:rPr>
      </w:pPr>
      <w:r>
        <w:rPr>
          <w:rFonts w:hint="eastAsia" w:ascii="Times New Roman" w:hAnsi="Times New Roman" w:eastAsia="楷体" w:cs="Times New Roman"/>
          <w:szCs w:val="28"/>
        </w:rPr>
        <w:t>说明：测试结束后，各参测机构应收集各自技术系统的测试情况，并于测试结束当日（2023年12月23日）1</w:t>
      </w:r>
      <w:r>
        <w:rPr>
          <w:rFonts w:ascii="Times New Roman" w:hAnsi="Times New Roman" w:eastAsia="楷体" w:cs="Times New Roman"/>
          <w:szCs w:val="28"/>
        </w:rPr>
        <w:t>8</w:t>
      </w:r>
      <w:r>
        <w:rPr>
          <w:rFonts w:hint="eastAsia" w:ascii="Times New Roman" w:hAnsi="Times New Roman" w:eastAsia="楷体" w:cs="Times New Roman"/>
          <w:szCs w:val="28"/>
        </w:rPr>
        <w:t>:00之前通过电子邮件提交测试报告（无需盖章），邮件主题和附件名称均为：机构名称+北交所公司债券（含企业债券）现券交易业务全网测试第四次测试报告，收件邮箱为：techservice@neeq.com.cn。</w:t>
      </w:r>
    </w:p>
    <w:sectPr>
      <w:footerReference r:id="rId3" w:type="default"/>
      <w:footerReference r:id="rId4" w:type="even"/>
      <w:pgSz w:w="11906" w:h="16838"/>
      <w:pgMar w:top="1758" w:right="1588" w:bottom="1758" w:left="1588" w:header="907" w:footer="907" w:gutter="0"/>
      <w:pgNumType w:fmt="numberInDash"/>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Wingdings 2">
    <w:panose1 w:val="05020102010507070707"/>
    <w:charset w:val="02"/>
    <w:family w:val="roman"/>
    <w:pitch w:val="default"/>
    <w:sig w:usb0="00000000" w:usb1="00000000" w:usb2="00000000" w:usb3="00000000" w:csb0="8000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1829279"/>
    </w:sdtPr>
    <w:sdtEndPr>
      <w:rPr>
        <w:rFonts w:asciiTheme="minorEastAsia" w:hAnsiTheme="minorEastAsia" w:eastAsiaTheme="minorEastAsia"/>
        <w:sz w:val="28"/>
        <w:szCs w:val="28"/>
      </w:rPr>
    </w:sdtEndPr>
    <w:sdtContent>
      <w:p>
        <w:pPr>
          <w:pStyle w:val="6"/>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5 -</w:t>
        </w:r>
        <w:r>
          <w:rPr>
            <w:rFonts w:asciiTheme="minorEastAsia" w:hAnsiTheme="minorEastAsia" w:eastAsiaTheme="minorEastAsia"/>
            <w:sz w:val="28"/>
            <w:szCs w:val="28"/>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8575139"/>
    </w:sdtPr>
    <w:sdtEndPr>
      <w:rPr>
        <w:rFonts w:asciiTheme="minorEastAsia" w:hAnsiTheme="minorEastAsia" w:eastAsiaTheme="minorEastAsia"/>
        <w:sz w:val="28"/>
        <w:szCs w:val="28"/>
      </w:rPr>
    </w:sdtEndPr>
    <w:sdtContent>
      <w:p>
        <w:pPr>
          <w:pStyle w:val="6"/>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4 -</w:t>
        </w:r>
        <w:r>
          <w:rPr>
            <w:rFonts w:asciiTheme="minorEastAsia" w:hAnsiTheme="minorEastAsia" w:eastAsiaTheme="minorEastAsia"/>
            <w:sz w:val="28"/>
            <w:szCs w:val="28"/>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7466F8"/>
    <w:multiLevelType w:val="singleLevel"/>
    <w:tmpl w:val="B47466F8"/>
    <w:lvl w:ilvl="0" w:tentative="0">
      <w:start w:val="1"/>
      <w:numFmt w:val="decimal"/>
      <w:suff w:val="space"/>
      <w:lvlText w:val="%1)"/>
      <w:lvlJc w:val="left"/>
      <w:rPr>
        <w:color w:val="auto"/>
      </w:rPr>
    </w:lvl>
  </w:abstractNum>
  <w:abstractNum w:abstractNumId="1">
    <w:nsid w:val="6D6C05AB"/>
    <w:multiLevelType w:val="multilevel"/>
    <w:tmpl w:val="6D6C05A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20"/>
  <w:drawingGridVerticalSpacing w:val="163"/>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8BD"/>
    <w:rsid w:val="00010DBC"/>
    <w:rsid w:val="00022D71"/>
    <w:rsid w:val="00036C81"/>
    <w:rsid w:val="0004511F"/>
    <w:rsid w:val="00071E73"/>
    <w:rsid w:val="00073E37"/>
    <w:rsid w:val="000839B8"/>
    <w:rsid w:val="0008561D"/>
    <w:rsid w:val="00093082"/>
    <w:rsid w:val="000A0F22"/>
    <w:rsid w:val="000A1B36"/>
    <w:rsid w:val="000B4EBC"/>
    <w:rsid w:val="000C7B85"/>
    <w:rsid w:val="000D3E49"/>
    <w:rsid w:val="000D584F"/>
    <w:rsid w:val="000E6AB0"/>
    <w:rsid w:val="000F0236"/>
    <w:rsid w:val="000F2CCB"/>
    <w:rsid w:val="000F5AC5"/>
    <w:rsid w:val="00105BB3"/>
    <w:rsid w:val="001110A0"/>
    <w:rsid w:val="00111651"/>
    <w:rsid w:val="00121597"/>
    <w:rsid w:val="00125487"/>
    <w:rsid w:val="00131AD9"/>
    <w:rsid w:val="001349CD"/>
    <w:rsid w:val="00135EEC"/>
    <w:rsid w:val="00145BF5"/>
    <w:rsid w:val="001475B5"/>
    <w:rsid w:val="00155C9F"/>
    <w:rsid w:val="00157335"/>
    <w:rsid w:val="00183A0E"/>
    <w:rsid w:val="00197C03"/>
    <w:rsid w:val="001A4C22"/>
    <w:rsid w:val="001A5FCF"/>
    <w:rsid w:val="001B0B17"/>
    <w:rsid w:val="001D00B5"/>
    <w:rsid w:val="001F25F1"/>
    <w:rsid w:val="00214A0A"/>
    <w:rsid w:val="00215042"/>
    <w:rsid w:val="00216347"/>
    <w:rsid w:val="0022015C"/>
    <w:rsid w:val="00224E2B"/>
    <w:rsid w:val="00255946"/>
    <w:rsid w:val="0027497F"/>
    <w:rsid w:val="00277A25"/>
    <w:rsid w:val="002908FE"/>
    <w:rsid w:val="00296D3E"/>
    <w:rsid w:val="002B2165"/>
    <w:rsid w:val="002C0AA7"/>
    <w:rsid w:val="002C4781"/>
    <w:rsid w:val="002D3965"/>
    <w:rsid w:val="002D77D4"/>
    <w:rsid w:val="002E2BF4"/>
    <w:rsid w:val="002E3919"/>
    <w:rsid w:val="002E5926"/>
    <w:rsid w:val="00304CD8"/>
    <w:rsid w:val="00320938"/>
    <w:rsid w:val="003377DE"/>
    <w:rsid w:val="003442B3"/>
    <w:rsid w:val="00352057"/>
    <w:rsid w:val="00353154"/>
    <w:rsid w:val="00356901"/>
    <w:rsid w:val="00363EF9"/>
    <w:rsid w:val="0037067B"/>
    <w:rsid w:val="003731AE"/>
    <w:rsid w:val="0039656E"/>
    <w:rsid w:val="003A58BF"/>
    <w:rsid w:val="003D7C29"/>
    <w:rsid w:val="003E3AF3"/>
    <w:rsid w:val="003F02EB"/>
    <w:rsid w:val="003F7E93"/>
    <w:rsid w:val="00403CA8"/>
    <w:rsid w:val="00403D3B"/>
    <w:rsid w:val="00410694"/>
    <w:rsid w:val="00420EB0"/>
    <w:rsid w:val="0042562B"/>
    <w:rsid w:val="004312F9"/>
    <w:rsid w:val="00441AFD"/>
    <w:rsid w:val="0044291A"/>
    <w:rsid w:val="004443E0"/>
    <w:rsid w:val="00446804"/>
    <w:rsid w:val="00446D4E"/>
    <w:rsid w:val="0045594B"/>
    <w:rsid w:val="004721F3"/>
    <w:rsid w:val="00473E65"/>
    <w:rsid w:val="0049433E"/>
    <w:rsid w:val="004B38A5"/>
    <w:rsid w:val="004B3E44"/>
    <w:rsid w:val="004B69A7"/>
    <w:rsid w:val="004C0763"/>
    <w:rsid w:val="004C5EB6"/>
    <w:rsid w:val="004D1432"/>
    <w:rsid w:val="004F3625"/>
    <w:rsid w:val="005020FD"/>
    <w:rsid w:val="005054FF"/>
    <w:rsid w:val="00511688"/>
    <w:rsid w:val="00512C68"/>
    <w:rsid w:val="00521F59"/>
    <w:rsid w:val="005251BF"/>
    <w:rsid w:val="00532D7E"/>
    <w:rsid w:val="0054351F"/>
    <w:rsid w:val="005A0E98"/>
    <w:rsid w:val="0060046C"/>
    <w:rsid w:val="006230E4"/>
    <w:rsid w:val="00631170"/>
    <w:rsid w:val="006313DE"/>
    <w:rsid w:val="00631CD1"/>
    <w:rsid w:val="00637411"/>
    <w:rsid w:val="00640157"/>
    <w:rsid w:val="006442FB"/>
    <w:rsid w:val="006561A8"/>
    <w:rsid w:val="00664B00"/>
    <w:rsid w:val="006835A5"/>
    <w:rsid w:val="00687867"/>
    <w:rsid w:val="00690F2D"/>
    <w:rsid w:val="006A7719"/>
    <w:rsid w:val="006B2891"/>
    <w:rsid w:val="006E26E3"/>
    <w:rsid w:val="0071796D"/>
    <w:rsid w:val="00732877"/>
    <w:rsid w:val="00740269"/>
    <w:rsid w:val="00745F42"/>
    <w:rsid w:val="00755304"/>
    <w:rsid w:val="00755BE7"/>
    <w:rsid w:val="0076487B"/>
    <w:rsid w:val="00766CAD"/>
    <w:rsid w:val="00773482"/>
    <w:rsid w:val="00777620"/>
    <w:rsid w:val="00777725"/>
    <w:rsid w:val="00781C1F"/>
    <w:rsid w:val="00781C86"/>
    <w:rsid w:val="007941AD"/>
    <w:rsid w:val="00795795"/>
    <w:rsid w:val="00796962"/>
    <w:rsid w:val="007978F8"/>
    <w:rsid w:val="007A139C"/>
    <w:rsid w:val="007A4430"/>
    <w:rsid w:val="007B5118"/>
    <w:rsid w:val="007C0DFA"/>
    <w:rsid w:val="007C552D"/>
    <w:rsid w:val="007D17B7"/>
    <w:rsid w:val="0080605A"/>
    <w:rsid w:val="00814AB4"/>
    <w:rsid w:val="00822B95"/>
    <w:rsid w:val="00831088"/>
    <w:rsid w:val="008315BC"/>
    <w:rsid w:val="008374E7"/>
    <w:rsid w:val="00853FB6"/>
    <w:rsid w:val="0088000E"/>
    <w:rsid w:val="008828D2"/>
    <w:rsid w:val="00887C4F"/>
    <w:rsid w:val="008950CB"/>
    <w:rsid w:val="008B231E"/>
    <w:rsid w:val="008B4973"/>
    <w:rsid w:val="008B53D9"/>
    <w:rsid w:val="008D1ABB"/>
    <w:rsid w:val="008D36E9"/>
    <w:rsid w:val="008F7C60"/>
    <w:rsid w:val="009268B0"/>
    <w:rsid w:val="009268C2"/>
    <w:rsid w:val="00950C8E"/>
    <w:rsid w:val="00975624"/>
    <w:rsid w:val="00976D26"/>
    <w:rsid w:val="009B7ED3"/>
    <w:rsid w:val="009D1FE3"/>
    <w:rsid w:val="009D4B1F"/>
    <w:rsid w:val="009E6114"/>
    <w:rsid w:val="00A14DB1"/>
    <w:rsid w:val="00A14E2F"/>
    <w:rsid w:val="00A33717"/>
    <w:rsid w:val="00A41910"/>
    <w:rsid w:val="00A529BC"/>
    <w:rsid w:val="00A52AB6"/>
    <w:rsid w:val="00A85109"/>
    <w:rsid w:val="00A86A40"/>
    <w:rsid w:val="00A90BE9"/>
    <w:rsid w:val="00AA2DC3"/>
    <w:rsid w:val="00AA53D0"/>
    <w:rsid w:val="00AB27F6"/>
    <w:rsid w:val="00AB77D1"/>
    <w:rsid w:val="00AC1026"/>
    <w:rsid w:val="00AD233B"/>
    <w:rsid w:val="00AD40B4"/>
    <w:rsid w:val="00AD6073"/>
    <w:rsid w:val="00AE093B"/>
    <w:rsid w:val="00AF1799"/>
    <w:rsid w:val="00AF230E"/>
    <w:rsid w:val="00B10E20"/>
    <w:rsid w:val="00B2721E"/>
    <w:rsid w:val="00B30166"/>
    <w:rsid w:val="00B348BD"/>
    <w:rsid w:val="00B51D87"/>
    <w:rsid w:val="00B53084"/>
    <w:rsid w:val="00B537AD"/>
    <w:rsid w:val="00B54B23"/>
    <w:rsid w:val="00B6474D"/>
    <w:rsid w:val="00B66D7D"/>
    <w:rsid w:val="00B75399"/>
    <w:rsid w:val="00B80B92"/>
    <w:rsid w:val="00BC23EB"/>
    <w:rsid w:val="00BC49B5"/>
    <w:rsid w:val="00BC5765"/>
    <w:rsid w:val="00BC60A3"/>
    <w:rsid w:val="00BD0536"/>
    <w:rsid w:val="00BE4048"/>
    <w:rsid w:val="00C221D0"/>
    <w:rsid w:val="00C253FC"/>
    <w:rsid w:val="00C4374D"/>
    <w:rsid w:val="00C53134"/>
    <w:rsid w:val="00C5715A"/>
    <w:rsid w:val="00C66750"/>
    <w:rsid w:val="00C80F74"/>
    <w:rsid w:val="00C81296"/>
    <w:rsid w:val="00C90C4A"/>
    <w:rsid w:val="00C9302F"/>
    <w:rsid w:val="00C945C1"/>
    <w:rsid w:val="00C94C3D"/>
    <w:rsid w:val="00C96496"/>
    <w:rsid w:val="00C96FD8"/>
    <w:rsid w:val="00CC3CAB"/>
    <w:rsid w:val="00CD4068"/>
    <w:rsid w:val="00CF5C6F"/>
    <w:rsid w:val="00D001B1"/>
    <w:rsid w:val="00D023BB"/>
    <w:rsid w:val="00D1218C"/>
    <w:rsid w:val="00D23C86"/>
    <w:rsid w:val="00D2646C"/>
    <w:rsid w:val="00D438F9"/>
    <w:rsid w:val="00D51A2E"/>
    <w:rsid w:val="00D57717"/>
    <w:rsid w:val="00D62B42"/>
    <w:rsid w:val="00D779CC"/>
    <w:rsid w:val="00D80991"/>
    <w:rsid w:val="00D9401B"/>
    <w:rsid w:val="00D95EFD"/>
    <w:rsid w:val="00D96384"/>
    <w:rsid w:val="00DA0887"/>
    <w:rsid w:val="00DA789B"/>
    <w:rsid w:val="00DB0817"/>
    <w:rsid w:val="00DC6F76"/>
    <w:rsid w:val="00DD5191"/>
    <w:rsid w:val="00DE7D1E"/>
    <w:rsid w:val="00E057FD"/>
    <w:rsid w:val="00E13D4D"/>
    <w:rsid w:val="00E310E3"/>
    <w:rsid w:val="00E42048"/>
    <w:rsid w:val="00E446F4"/>
    <w:rsid w:val="00E53D55"/>
    <w:rsid w:val="00E60C6C"/>
    <w:rsid w:val="00E60EB1"/>
    <w:rsid w:val="00E62A19"/>
    <w:rsid w:val="00E736AE"/>
    <w:rsid w:val="00E751C4"/>
    <w:rsid w:val="00E80C62"/>
    <w:rsid w:val="00E8780F"/>
    <w:rsid w:val="00E93F7A"/>
    <w:rsid w:val="00E95E00"/>
    <w:rsid w:val="00EB576A"/>
    <w:rsid w:val="00ED605A"/>
    <w:rsid w:val="00EE4380"/>
    <w:rsid w:val="00EF1652"/>
    <w:rsid w:val="00F2294B"/>
    <w:rsid w:val="00F321C9"/>
    <w:rsid w:val="00F44F81"/>
    <w:rsid w:val="00F5408A"/>
    <w:rsid w:val="00F54DD0"/>
    <w:rsid w:val="00F55664"/>
    <w:rsid w:val="00F57D04"/>
    <w:rsid w:val="00F7695C"/>
    <w:rsid w:val="00F77E4D"/>
    <w:rsid w:val="00FA71FA"/>
    <w:rsid w:val="00FC028F"/>
    <w:rsid w:val="00FC303A"/>
    <w:rsid w:val="00FD5253"/>
    <w:rsid w:val="00FD5C12"/>
    <w:rsid w:val="00FF46C1"/>
    <w:rsid w:val="04DD4D41"/>
    <w:rsid w:val="065B15E4"/>
    <w:rsid w:val="14472F9B"/>
    <w:rsid w:val="15FC359E"/>
    <w:rsid w:val="1972401A"/>
    <w:rsid w:val="1ADD75E3"/>
    <w:rsid w:val="1DFEBB89"/>
    <w:rsid w:val="1EFFB77F"/>
    <w:rsid w:val="1FFFEC2E"/>
    <w:rsid w:val="202B1BD0"/>
    <w:rsid w:val="27FF8503"/>
    <w:rsid w:val="2B6134B5"/>
    <w:rsid w:val="2EFFDCB4"/>
    <w:rsid w:val="2FB5377E"/>
    <w:rsid w:val="3278E234"/>
    <w:rsid w:val="351F5152"/>
    <w:rsid w:val="35D21E1F"/>
    <w:rsid w:val="36797ADB"/>
    <w:rsid w:val="37AB6D22"/>
    <w:rsid w:val="385E803D"/>
    <w:rsid w:val="38D58C09"/>
    <w:rsid w:val="38F6921A"/>
    <w:rsid w:val="396D4E42"/>
    <w:rsid w:val="3A7E8263"/>
    <w:rsid w:val="3AFE2D4D"/>
    <w:rsid w:val="3B6EA34E"/>
    <w:rsid w:val="3DDA2C67"/>
    <w:rsid w:val="3EFBB17C"/>
    <w:rsid w:val="3F1F171D"/>
    <w:rsid w:val="3FBF7D08"/>
    <w:rsid w:val="3FEA2599"/>
    <w:rsid w:val="3FFF7D56"/>
    <w:rsid w:val="42BF022A"/>
    <w:rsid w:val="44E67CEF"/>
    <w:rsid w:val="45DE94B0"/>
    <w:rsid w:val="490F0B64"/>
    <w:rsid w:val="498FDC1F"/>
    <w:rsid w:val="49DC7913"/>
    <w:rsid w:val="4D07739D"/>
    <w:rsid w:val="4DAF1A9E"/>
    <w:rsid w:val="4EE7ECD1"/>
    <w:rsid w:val="4FFF3F3D"/>
    <w:rsid w:val="51F6987A"/>
    <w:rsid w:val="52DBB4ED"/>
    <w:rsid w:val="53D17AAE"/>
    <w:rsid w:val="57B94F95"/>
    <w:rsid w:val="57D3C9D0"/>
    <w:rsid w:val="57F6A543"/>
    <w:rsid w:val="57FB2C99"/>
    <w:rsid w:val="57FF246D"/>
    <w:rsid w:val="57FFFC64"/>
    <w:rsid w:val="59DF98BF"/>
    <w:rsid w:val="59FE9A18"/>
    <w:rsid w:val="5BBD0697"/>
    <w:rsid w:val="5DBD66FE"/>
    <w:rsid w:val="5E1B2CA8"/>
    <w:rsid w:val="5EBC24CD"/>
    <w:rsid w:val="5F7F8687"/>
    <w:rsid w:val="5FA94430"/>
    <w:rsid w:val="5FAF3E85"/>
    <w:rsid w:val="5FDD1AB2"/>
    <w:rsid w:val="5FFEE215"/>
    <w:rsid w:val="637E6E8A"/>
    <w:rsid w:val="63DFBE42"/>
    <w:rsid w:val="63FF2049"/>
    <w:rsid w:val="67EF6B9D"/>
    <w:rsid w:val="6BED63EA"/>
    <w:rsid w:val="6C6E1DCF"/>
    <w:rsid w:val="6C7D62BA"/>
    <w:rsid w:val="6D7BE693"/>
    <w:rsid w:val="6D7C2B3B"/>
    <w:rsid w:val="6DDF0EA8"/>
    <w:rsid w:val="6EF72D43"/>
    <w:rsid w:val="6EFF91DA"/>
    <w:rsid w:val="6F4B901C"/>
    <w:rsid w:val="6F7D1DB7"/>
    <w:rsid w:val="6F7F63A1"/>
    <w:rsid w:val="6FBBA08D"/>
    <w:rsid w:val="6FD71FBF"/>
    <w:rsid w:val="6FEC77A0"/>
    <w:rsid w:val="6FFE299D"/>
    <w:rsid w:val="6FFF710C"/>
    <w:rsid w:val="6FFFAA1E"/>
    <w:rsid w:val="70E7271A"/>
    <w:rsid w:val="715F3F3C"/>
    <w:rsid w:val="72FF0260"/>
    <w:rsid w:val="72FFDE48"/>
    <w:rsid w:val="7377DC02"/>
    <w:rsid w:val="750B4234"/>
    <w:rsid w:val="753F677B"/>
    <w:rsid w:val="754FBA46"/>
    <w:rsid w:val="75FB2D22"/>
    <w:rsid w:val="76AB595F"/>
    <w:rsid w:val="76F3DB76"/>
    <w:rsid w:val="76FD5E63"/>
    <w:rsid w:val="775DC621"/>
    <w:rsid w:val="775DF6C5"/>
    <w:rsid w:val="77AB3A50"/>
    <w:rsid w:val="77D4A537"/>
    <w:rsid w:val="77EBB7A5"/>
    <w:rsid w:val="77EDB4BD"/>
    <w:rsid w:val="77F2BDC1"/>
    <w:rsid w:val="787CA9E7"/>
    <w:rsid w:val="78F40240"/>
    <w:rsid w:val="7997FEF5"/>
    <w:rsid w:val="79CA7A96"/>
    <w:rsid w:val="7AFEC734"/>
    <w:rsid w:val="7BB78774"/>
    <w:rsid w:val="7BC36093"/>
    <w:rsid w:val="7BD7030C"/>
    <w:rsid w:val="7CEF0A80"/>
    <w:rsid w:val="7DBE7DFD"/>
    <w:rsid w:val="7DDA01F5"/>
    <w:rsid w:val="7DE7FC8E"/>
    <w:rsid w:val="7DFF1B83"/>
    <w:rsid w:val="7DFF5655"/>
    <w:rsid w:val="7E5DEA01"/>
    <w:rsid w:val="7E749738"/>
    <w:rsid w:val="7EBBA46F"/>
    <w:rsid w:val="7EBF2F14"/>
    <w:rsid w:val="7EDBF283"/>
    <w:rsid w:val="7EEBEC3C"/>
    <w:rsid w:val="7EFF5C98"/>
    <w:rsid w:val="7EFFDBFD"/>
    <w:rsid w:val="7F1FC3E6"/>
    <w:rsid w:val="7F2A95D3"/>
    <w:rsid w:val="7F2FD498"/>
    <w:rsid w:val="7F46C61B"/>
    <w:rsid w:val="7F581662"/>
    <w:rsid w:val="7F5C0025"/>
    <w:rsid w:val="7FBDDA7D"/>
    <w:rsid w:val="7FC593B0"/>
    <w:rsid w:val="7FD909E7"/>
    <w:rsid w:val="7FDA8A9F"/>
    <w:rsid w:val="7FDBEE07"/>
    <w:rsid w:val="7FDE6074"/>
    <w:rsid w:val="7FDFB60F"/>
    <w:rsid w:val="7FEA9E7C"/>
    <w:rsid w:val="7FED96CA"/>
    <w:rsid w:val="7FEF2010"/>
    <w:rsid w:val="7FFD5027"/>
    <w:rsid w:val="7FFD6FA6"/>
    <w:rsid w:val="7FFE1677"/>
    <w:rsid w:val="7FFE941C"/>
    <w:rsid w:val="8BB56686"/>
    <w:rsid w:val="9D7D315F"/>
    <w:rsid w:val="9FDE8419"/>
    <w:rsid w:val="9FF77D6C"/>
    <w:rsid w:val="A35D9E62"/>
    <w:rsid w:val="A3FFABF9"/>
    <w:rsid w:val="A5FF81F3"/>
    <w:rsid w:val="A7F9DFF3"/>
    <w:rsid w:val="A7FB8B33"/>
    <w:rsid w:val="A7FFE526"/>
    <w:rsid w:val="A99FF703"/>
    <w:rsid w:val="AB3F114C"/>
    <w:rsid w:val="ADDD31DF"/>
    <w:rsid w:val="B3C7EB04"/>
    <w:rsid w:val="B3ECED85"/>
    <w:rsid w:val="B6FCE3E4"/>
    <w:rsid w:val="B7EE02DB"/>
    <w:rsid w:val="B7F31E4D"/>
    <w:rsid w:val="B89B1458"/>
    <w:rsid w:val="B97B8A98"/>
    <w:rsid w:val="B97E4C33"/>
    <w:rsid w:val="B9FFF9D2"/>
    <w:rsid w:val="BAEB1705"/>
    <w:rsid w:val="BBB1D10C"/>
    <w:rsid w:val="BBDDF195"/>
    <w:rsid w:val="BBF77256"/>
    <w:rsid w:val="BBFFE562"/>
    <w:rsid w:val="BD8FB949"/>
    <w:rsid w:val="BE295BB8"/>
    <w:rsid w:val="BEAB25DE"/>
    <w:rsid w:val="BEFF53B0"/>
    <w:rsid w:val="BF56AD86"/>
    <w:rsid w:val="BF9B3E6F"/>
    <w:rsid w:val="BFDE7AB5"/>
    <w:rsid w:val="BFE7AFA1"/>
    <w:rsid w:val="BFECE470"/>
    <w:rsid w:val="BFFF3806"/>
    <w:rsid w:val="C78B35B3"/>
    <w:rsid w:val="CCFE1B56"/>
    <w:rsid w:val="CE7ED9F7"/>
    <w:rsid w:val="CFFEAD88"/>
    <w:rsid w:val="D3DB97F5"/>
    <w:rsid w:val="D3F7557E"/>
    <w:rsid w:val="D6DE8AEF"/>
    <w:rsid w:val="D75B5801"/>
    <w:rsid w:val="D7EDDA7D"/>
    <w:rsid w:val="D9FE8405"/>
    <w:rsid w:val="DBBB2540"/>
    <w:rsid w:val="DD373AF2"/>
    <w:rsid w:val="DD3B4AFF"/>
    <w:rsid w:val="DDF4BB7B"/>
    <w:rsid w:val="DDFFBA24"/>
    <w:rsid w:val="DE1DE817"/>
    <w:rsid w:val="DE7436BC"/>
    <w:rsid w:val="DED98AE6"/>
    <w:rsid w:val="DF110F95"/>
    <w:rsid w:val="DF6F2C94"/>
    <w:rsid w:val="DFFC0726"/>
    <w:rsid w:val="E3F7540B"/>
    <w:rsid w:val="E4DE13A0"/>
    <w:rsid w:val="E77B57DF"/>
    <w:rsid w:val="E8FF1808"/>
    <w:rsid w:val="ECBE5084"/>
    <w:rsid w:val="ED7FC08F"/>
    <w:rsid w:val="EEDFEAAE"/>
    <w:rsid w:val="EF7A4E1D"/>
    <w:rsid w:val="EFA72EC5"/>
    <w:rsid w:val="EFE3D473"/>
    <w:rsid w:val="EFF7770C"/>
    <w:rsid w:val="EFFDB506"/>
    <w:rsid w:val="EFFF26DD"/>
    <w:rsid w:val="EFFFF0B6"/>
    <w:rsid w:val="F3E3626F"/>
    <w:rsid w:val="F4FD5B94"/>
    <w:rsid w:val="F6FB0CA0"/>
    <w:rsid w:val="F73FBB4B"/>
    <w:rsid w:val="F7BDB638"/>
    <w:rsid w:val="F7BF6A41"/>
    <w:rsid w:val="F7CD3599"/>
    <w:rsid w:val="F7E66E35"/>
    <w:rsid w:val="F7FF4558"/>
    <w:rsid w:val="F81E5DB6"/>
    <w:rsid w:val="FAD5440C"/>
    <w:rsid w:val="FADFE762"/>
    <w:rsid w:val="FAEED81E"/>
    <w:rsid w:val="FB7E3938"/>
    <w:rsid w:val="FB7FC308"/>
    <w:rsid w:val="FBB7FC55"/>
    <w:rsid w:val="FBDC8DBF"/>
    <w:rsid w:val="FBF4AA06"/>
    <w:rsid w:val="FBF4B23C"/>
    <w:rsid w:val="FBFE673F"/>
    <w:rsid w:val="FCCBC782"/>
    <w:rsid w:val="FD8A0A9F"/>
    <w:rsid w:val="FDD580BA"/>
    <w:rsid w:val="FDFD5C41"/>
    <w:rsid w:val="FDFE06F8"/>
    <w:rsid w:val="FDFFF0C1"/>
    <w:rsid w:val="FEC7AC80"/>
    <w:rsid w:val="FECFED79"/>
    <w:rsid w:val="FEDDEEE4"/>
    <w:rsid w:val="FEDF539F"/>
    <w:rsid w:val="FEFF556C"/>
    <w:rsid w:val="FEFFD6B1"/>
    <w:rsid w:val="FF6F478A"/>
    <w:rsid w:val="FF6F6A0A"/>
    <w:rsid w:val="FF7A4EBC"/>
    <w:rsid w:val="FF7BA711"/>
    <w:rsid w:val="FF7FE9F5"/>
    <w:rsid w:val="FF8CE283"/>
    <w:rsid w:val="FFBF55C0"/>
    <w:rsid w:val="FFD2345B"/>
    <w:rsid w:val="FFDA1FAE"/>
    <w:rsid w:val="FFECD704"/>
    <w:rsid w:val="FFEE92C2"/>
    <w:rsid w:val="FFF7A420"/>
    <w:rsid w:val="FFFFA37C"/>
    <w:rsid w:val="FFFFAF30"/>
    <w:rsid w:val="FFFFE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39" w:semiHidden="0"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黑体"/>
      <w:kern w:val="2"/>
      <w:sz w:val="24"/>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qFormat/>
    <w:uiPriority w:val="39"/>
    <w:pPr>
      <w:spacing w:line="400" w:lineRule="exact"/>
      <w:ind w:left="2520" w:leftChars="1200" w:firstLine="200" w:firstLineChars="200"/>
      <w:jc w:val="both"/>
    </w:pPr>
    <w:rPr>
      <w:rFonts w:ascii="Times New Roman" w:hAnsi="Times New Roman" w:eastAsia="仿宋" w:cs="Times New Roman"/>
      <w:sz w:val="21"/>
      <w:szCs w:val="24"/>
    </w:rPr>
  </w:style>
  <w:style w:type="paragraph" w:styleId="3">
    <w:name w:val="Normal Indent"/>
    <w:basedOn w:val="1"/>
    <w:qFormat/>
    <w:uiPriority w:val="0"/>
    <w:pPr>
      <w:spacing w:afterLines="50" w:line="300" w:lineRule="auto"/>
      <w:ind w:firstLine="420" w:firstLineChars="200"/>
    </w:pPr>
    <w:rPr>
      <w:rFonts w:ascii="Times New Roman" w:hAnsi="Times New Roman" w:cs="Times New Roman"/>
      <w:szCs w:val="24"/>
    </w:rPr>
  </w:style>
  <w:style w:type="paragraph" w:styleId="4">
    <w:name w:val="annotation text"/>
    <w:basedOn w:val="1"/>
    <w:link w:val="16"/>
    <w:semiHidden/>
    <w:unhideWhenUsed/>
    <w:qFormat/>
    <w:uiPriority w:val="99"/>
  </w:style>
  <w:style w:type="paragraph" w:styleId="5">
    <w:name w:val="Balloon Text"/>
    <w:basedOn w:val="1"/>
    <w:link w:val="18"/>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7"/>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unhideWhenUsed/>
    <w:qFormat/>
    <w:uiPriority w:val="99"/>
    <w:rPr>
      <w:sz w:val="21"/>
      <w:szCs w:val="21"/>
    </w:rPr>
  </w:style>
  <w:style w:type="paragraph" w:styleId="13">
    <w:name w:val="List Paragraph"/>
    <w:basedOn w:val="1"/>
    <w:qFormat/>
    <w:uiPriority w:val="34"/>
    <w:pPr>
      <w:ind w:firstLine="420" w:firstLineChars="200"/>
    </w:pPr>
  </w:style>
  <w:style w:type="character" w:customStyle="1" w:styleId="14">
    <w:name w:val="页眉 Char"/>
    <w:basedOn w:val="11"/>
    <w:link w:val="7"/>
    <w:qFormat/>
    <w:uiPriority w:val="99"/>
    <w:rPr>
      <w:rFonts w:ascii="Calibri" w:hAnsi="Calibri" w:eastAsia="宋体" w:cs="黑体"/>
      <w:sz w:val="18"/>
      <w:szCs w:val="18"/>
    </w:rPr>
  </w:style>
  <w:style w:type="character" w:customStyle="1" w:styleId="15">
    <w:name w:val="页脚 Char"/>
    <w:basedOn w:val="11"/>
    <w:link w:val="6"/>
    <w:qFormat/>
    <w:uiPriority w:val="99"/>
    <w:rPr>
      <w:rFonts w:ascii="Calibri" w:hAnsi="Calibri" w:eastAsia="宋体" w:cs="黑体"/>
      <w:sz w:val="18"/>
      <w:szCs w:val="18"/>
    </w:rPr>
  </w:style>
  <w:style w:type="character" w:customStyle="1" w:styleId="16">
    <w:name w:val="批注文字 Char"/>
    <w:basedOn w:val="11"/>
    <w:link w:val="4"/>
    <w:semiHidden/>
    <w:qFormat/>
    <w:uiPriority w:val="99"/>
    <w:rPr>
      <w:rFonts w:ascii="Calibri" w:hAnsi="Calibri" w:eastAsia="宋体" w:cs="黑体"/>
      <w:sz w:val="24"/>
    </w:rPr>
  </w:style>
  <w:style w:type="character" w:customStyle="1" w:styleId="17">
    <w:name w:val="批注主题 Char"/>
    <w:basedOn w:val="16"/>
    <w:link w:val="8"/>
    <w:semiHidden/>
    <w:qFormat/>
    <w:uiPriority w:val="99"/>
    <w:rPr>
      <w:rFonts w:ascii="Calibri" w:hAnsi="Calibri" w:eastAsia="宋体" w:cs="黑体"/>
      <w:b/>
      <w:bCs/>
      <w:sz w:val="24"/>
    </w:rPr>
  </w:style>
  <w:style w:type="character" w:customStyle="1" w:styleId="18">
    <w:name w:val="批注框文本 Char"/>
    <w:basedOn w:val="11"/>
    <w:link w:val="5"/>
    <w:semiHidden/>
    <w:qFormat/>
    <w:uiPriority w:val="99"/>
    <w:rPr>
      <w:rFonts w:ascii="Calibri" w:hAnsi="Calibri" w:eastAsia="宋体" w:cs="黑体"/>
      <w:sz w:val="18"/>
      <w:szCs w:val="18"/>
    </w:rPr>
  </w:style>
  <w:style w:type="paragraph" w:customStyle="1" w:styleId="19">
    <w:name w:val="修订1"/>
    <w:hidden/>
    <w:semiHidden/>
    <w:qFormat/>
    <w:uiPriority w:val="99"/>
    <w:rPr>
      <w:rFonts w:ascii="Calibri" w:hAnsi="Calibri" w:eastAsia="宋体" w:cs="黑体"/>
      <w:kern w:val="2"/>
      <w:sz w:val="24"/>
      <w:szCs w:val="22"/>
      <w:lang w:val="en-US" w:eastAsia="zh-CN" w:bidi="ar-SA"/>
    </w:rPr>
  </w:style>
  <w:style w:type="table" w:customStyle="1" w:styleId="20">
    <w:name w:val="网格型11"/>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450</Words>
  <Characters>2568</Characters>
  <Lines>21</Lines>
  <Paragraphs>6</Paragraphs>
  <TotalTime>0</TotalTime>
  <ScaleCrop>false</ScaleCrop>
  <LinksUpToDate>false</LinksUpToDate>
  <CharactersWithSpaces>3012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2023-11-28T08:23:00Z</dcterms:created>
  <dc:creator>付昱霖fyl</dc:creator>
  <cp:lastModifiedBy>gaoduo</cp:lastModifiedBy>
  <dcterms:modified xsi:type="dcterms:W3CDTF">2023-12-19T14:58:16Z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A8D0766D757F40149F14BBFC003B11F9</vt:lpwstr>
  </property>
</Properties>
</file>