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1C" w:rsidRPr="00BF3F0E" w:rsidRDefault="0021381C" w:rsidP="0021381C">
      <w:pPr>
        <w:rPr>
          <w:rFonts w:hint="eastAsia"/>
          <w:sz w:val="32"/>
          <w:szCs w:val="32"/>
        </w:rPr>
      </w:pPr>
      <w:bookmarkStart w:id="0" w:name="_GoBack"/>
      <w:bookmarkEnd w:id="0"/>
    </w:p>
    <w:p w:rsidR="0021381C" w:rsidRDefault="00D76F80" w:rsidP="0021381C">
      <w:pPr>
        <w:jc w:val="center"/>
        <w:rPr>
          <w:b/>
          <w:sz w:val="32"/>
          <w:szCs w:val="32"/>
        </w:rPr>
      </w:pPr>
      <w:r>
        <w:rPr>
          <w:b/>
          <w:sz w:val="32"/>
          <w:szCs w:val="32"/>
        </w:rPr>
        <w:t>NEEQ Market Making</w:t>
      </w:r>
      <w:r w:rsidR="0021381C" w:rsidRPr="009F714C">
        <w:rPr>
          <w:b/>
          <w:sz w:val="32"/>
          <w:szCs w:val="32"/>
        </w:rPr>
        <w:t xml:space="preserve"> Calculati</w:t>
      </w:r>
      <w:r w:rsidR="0021381C">
        <w:rPr>
          <w:b/>
          <w:sz w:val="32"/>
          <w:szCs w:val="32"/>
        </w:rPr>
        <w:t>on and Maintenance Methodology</w:t>
      </w:r>
      <w:r w:rsidR="0021381C">
        <w:rPr>
          <w:b/>
          <w:sz w:val="32"/>
          <w:szCs w:val="32"/>
        </w:rPr>
        <w:cr/>
      </w:r>
    </w:p>
    <w:p w:rsidR="0021381C" w:rsidRDefault="0021381C" w:rsidP="0021381C">
      <w:pPr>
        <w:jc w:val="center"/>
        <w:rPr>
          <w:b/>
          <w:sz w:val="32"/>
          <w:szCs w:val="32"/>
        </w:rPr>
      </w:pPr>
    </w:p>
    <w:p w:rsidR="0021381C" w:rsidRPr="002D791A" w:rsidRDefault="0021381C" w:rsidP="0021381C">
      <w:pPr>
        <w:jc w:val="center"/>
        <w:rPr>
          <w:b/>
          <w:sz w:val="32"/>
          <w:szCs w:val="32"/>
        </w:rPr>
      </w:pPr>
      <w:r w:rsidRPr="002D791A">
        <w:rPr>
          <w:b/>
          <w:sz w:val="32"/>
          <w:szCs w:val="32"/>
        </w:rPr>
        <w:t>Contents</w:t>
      </w:r>
      <w:r w:rsidRPr="002D791A">
        <w:rPr>
          <w:b/>
          <w:sz w:val="32"/>
          <w:szCs w:val="32"/>
        </w:rPr>
        <w:cr/>
      </w:r>
      <w:r w:rsidRPr="002D791A">
        <w:rPr>
          <w:b/>
          <w:sz w:val="32"/>
          <w:szCs w:val="32"/>
        </w:rPr>
        <w:cr/>
      </w:r>
    </w:p>
    <w:p w:rsidR="0021381C" w:rsidRPr="00BF3F0E" w:rsidRDefault="0021381C" w:rsidP="0021381C">
      <w:pPr>
        <w:rPr>
          <w:sz w:val="32"/>
          <w:szCs w:val="32"/>
        </w:rPr>
      </w:pPr>
      <w:r w:rsidRPr="00BF3F0E">
        <w:rPr>
          <w:sz w:val="32"/>
          <w:szCs w:val="32"/>
        </w:rPr>
        <w:t xml:space="preserve">1. </w:t>
      </w:r>
      <w:r>
        <w:rPr>
          <w:sz w:val="32"/>
          <w:szCs w:val="32"/>
        </w:rPr>
        <w:t xml:space="preserve"> Introduction</w:t>
      </w:r>
      <w:r w:rsidRPr="00BF3F0E">
        <w:rPr>
          <w:sz w:val="32"/>
          <w:szCs w:val="32"/>
        </w:rPr>
        <w:t>..............</w:t>
      </w:r>
      <w:r>
        <w:rPr>
          <w:sz w:val="32"/>
          <w:szCs w:val="32"/>
        </w:rPr>
        <w:t>........................................................... 2</w:t>
      </w:r>
      <w:r w:rsidRPr="00BF3F0E">
        <w:rPr>
          <w:sz w:val="32"/>
          <w:szCs w:val="32"/>
        </w:rPr>
        <w:cr/>
      </w:r>
      <w:r>
        <w:rPr>
          <w:sz w:val="32"/>
          <w:szCs w:val="32"/>
        </w:rPr>
        <w:t>2</w:t>
      </w:r>
      <w:r w:rsidRPr="00BF3F0E">
        <w:rPr>
          <w:sz w:val="32"/>
          <w:szCs w:val="32"/>
        </w:rPr>
        <w:t xml:space="preserve">. </w:t>
      </w:r>
      <w:r>
        <w:rPr>
          <w:sz w:val="32"/>
          <w:szCs w:val="32"/>
        </w:rPr>
        <w:t xml:space="preserve"> Index Universe</w:t>
      </w:r>
      <w:r w:rsidRPr="00BF3F0E">
        <w:rPr>
          <w:sz w:val="32"/>
          <w:szCs w:val="32"/>
        </w:rPr>
        <w:t>...................................................................</w:t>
      </w:r>
      <w:r>
        <w:rPr>
          <w:sz w:val="32"/>
          <w:szCs w:val="32"/>
        </w:rPr>
        <w:t>.</w:t>
      </w:r>
      <w:r w:rsidRPr="00BF3F0E">
        <w:rPr>
          <w:sz w:val="32"/>
          <w:szCs w:val="32"/>
        </w:rPr>
        <w:t xml:space="preserve">. </w:t>
      </w:r>
      <w:r>
        <w:rPr>
          <w:sz w:val="32"/>
          <w:szCs w:val="32"/>
        </w:rPr>
        <w:t>2</w:t>
      </w:r>
      <w:r w:rsidRPr="00BF3F0E">
        <w:rPr>
          <w:sz w:val="32"/>
          <w:szCs w:val="32"/>
        </w:rPr>
        <w:cr/>
      </w:r>
      <w:r>
        <w:rPr>
          <w:sz w:val="32"/>
          <w:szCs w:val="32"/>
        </w:rPr>
        <w:t>3</w:t>
      </w:r>
      <w:r w:rsidRPr="00BF3F0E">
        <w:rPr>
          <w:sz w:val="32"/>
          <w:szCs w:val="32"/>
        </w:rPr>
        <w:t xml:space="preserve">.  </w:t>
      </w:r>
      <w:r>
        <w:rPr>
          <w:sz w:val="32"/>
          <w:szCs w:val="32"/>
        </w:rPr>
        <w:t>Selection Criteria</w:t>
      </w:r>
      <w:r w:rsidRPr="00BF3F0E">
        <w:rPr>
          <w:sz w:val="32"/>
          <w:szCs w:val="32"/>
        </w:rPr>
        <w:t xml:space="preserve">................................................................. </w:t>
      </w:r>
      <w:r>
        <w:rPr>
          <w:sz w:val="32"/>
          <w:szCs w:val="32"/>
        </w:rPr>
        <w:t>2</w:t>
      </w:r>
    </w:p>
    <w:p w:rsidR="0021381C" w:rsidRDefault="0021381C" w:rsidP="0021381C">
      <w:pPr>
        <w:rPr>
          <w:sz w:val="32"/>
          <w:szCs w:val="32"/>
        </w:rPr>
      </w:pPr>
      <w:r>
        <w:rPr>
          <w:sz w:val="32"/>
          <w:szCs w:val="32"/>
        </w:rPr>
        <w:t>4.  Index Calculation</w:t>
      </w:r>
      <w:r w:rsidRPr="00BF3F0E">
        <w:rPr>
          <w:sz w:val="32"/>
          <w:szCs w:val="32"/>
        </w:rPr>
        <w:t>...................................</w:t>
      </w:r>
      <w:r>
        <w:rPr>
          <w:sz w:val="32"/>
          <w:szCs w:val="32"/>
        </w:rPr>
        <w:t>.............................. 3</w:t>
      </w:r>
      <w:r w:rsidRPr="00BF3F0E">
        <w:rPr>
          <w:sz w:val="32"/>
          <w:szCs w:val="32"/>
        </w:rPr>
        <w:cr/>
      </w:r>
      <w:r>
        <w:rPr>
          <w:sz w:val="32"/>
          <w:szCs w:val="32"/>
        </w:rPr>
        <w:t>5</w:t>
      </w:r>
      <w:r w:rsidRPr="00BF3F0E">
        <w:rPr>
          <w:sz w:val="32"/>
          <w:szCs w:val="32"/>
        </w:rPr>
        <w:t>.  Index Maintenance.........................................................</w:t>
      </w:r>
      <w:r>
        <w:rPr>
          <w:sz w:val="32"/>
          <w:szCs w:val="32"/>
        </w:rPr>
        <w:t>.</w:t>
      </w:r>
      <w:r w:rsidRPr="00BF3F0E">
        <w:rPr>
          <w:sz w:val="32"/>
          <w:szCs w:val="32"/>
        </w:rPr>
        <w:t>..</w:t>
      </w:r>
      <w:r>
        <w:rPr>
          <w:sz w:val="32"/>
          <w:szCs w:val="32"/>
        </w:rPr>
        <w:t>..</w:t>
      </w:r>
      <w:r w:rsidRPr="00BF3F0E">
        <w:rPr>
          <w:sz w:val="32"/>
          <w:szCs w:val="32"/>
        </w:rPr>
        <w:t xml:space="preserve"> </w:t>
      </w:r>
      <w:r>
        <w:rPr>
          <w:sz w:val="32"/>
          <w:szCs w:val="32"/>
        </w:rPr>
        <w:t>5</w:t>
      </w:r>
      <w:r w:rsidRPr="00BF3F0E">
        <w:rPr>
          <w:sz w:val="32"/>
          <w:szCs w:val="32"/>
        </w:rPr>
        <w:cr/>
      </w:r>
      <w:r>
        <w:rPr>
          <w:sz w:val="32"/>
          <w:szCs w:val="32"/>
        </w:rPr>
        <w:t>6</w:t>
      </w:r>
      <w:r w:rsidRPr="00BF3F0E">
        <w:rPr>
          <w:sz w:val="32"/>
          <w:szCs w:val="32"/>
        </w:rPr>
        <w:t xml:space="preserve">. </w:t>
      </w:r>
      <w:r>
        <w:rPr>
          <w:sz w:val="32"/>
          <w:szCs w:val="32"/>
        </w:rPr>
        <w:t xml:space="preserve"> </w:t>
      </w:r>
      <w:r w:rsidRPr="00C809E2">
        <w:rPr>
          <w:sz w:val="32"/>
          <w:szCs w:val="32"/>
        </w:rPr>
        <w:t>Constituents Periodical Review</w:t>
      </w:r>
      <w:r>
        <w:rPr>
          <w:sz w:val="32"/>
          <w:szCs w:val="32"/>
        </w:rPr>
        <w:t xml:space="preserve">............................................ </w:t>
      </w:r>
      <w:r w:rsidR="009F04AE">
        <w:rPr>
          <w:sz w:val="32"/>
          <w:szCs w:val="32"/>
        </w:rPr>
        <w:t>7</w:t>
      </w:r>
    </w:p>
    <w:p w:rsidR="0021381C" w:rsidRDefault="0021381C" w:rsidP="0021381C">
      <w:pPr>
        <w:rPr>
          <w:sz w:val="32"/>
          <w:szCs w:val="32"/>
        </w:rPr>
      </w:pPr>
      <w:r>
        <w:rPr>
          <w:sz w:val="32"/>
          <w:szCs w:val="32"/>
        </w:rPr>
        <w:t>7</w:t>
      </w:r>
      <w:r w:rsidRPr="00BF3F0E">
        <w:rPr>
          <w:sz w:val="32"/>
          <w:szCs w:val="32"/>
        </w:rPr>
        <w:t xml:space="preserve">. </w:t>
      </w:r>
      <w:r>
        <w:rPr>
          <w:sz w:val="32"/>
          <w:szCs w:val="32"/>
        </w:rPr>
        <w:t xml:space="preserve"> </w:t>
      </w:r>
      <w:r w:rsidRPr="002D791A">
        <w:rPr>
          <w:sz w:val="32"/>
          <w:szCs w:val="32"/>
        </w:rPr>
        <w:t>Temporary Adjustment of Constituents</w:t>
      </w:r>
      <w:r>
        <w:rPr>
          <w:sz w:val="32"/>
          <w:szCs w:val="32"/>
        </w:rPr>
        <w:t xml:space="preserve">............................... </w:t>
      </w:r>
      <w:r w:rsidR="009F04AE">
        <w:rPr>
          <w:sz w:val="32"/>
          <w:szCs w:val="32"/>
        </w:rPr>
        <w:t>8</w:t>
      </w:r>
    </w:p>
    <w:p w:rsidR="0021381C" w:rsidRPr="00BF3F0E" w:rsidRDefault="0021381C" w:rsidP="0021381C">
      <w:pPr>
        <w:rPr>
          <w:sz w:val="32"/>
          <w:szCs w:val="32"/>
        </w:rPr>
      </w:pPr>
      <w:r>
        <w:rPr>
          <w:sz w:val="32"/>
          <w:szCs w:val="32"/>
        </w:rPr>
        <w:t>8</w:t>
      </w:r>
      <w:r w:rsidRPr="00BF3F0E">
        <w:rPr>
          <w:sz w:val="32"/>
          <w:szCs w:val="32"/>
        </w:rPr>
        <w:t>.  Maintenance of Constituents Shares..............................</w:t>
      </w:r>
      <w:r>
        <w:rPr>
          <w:sz w:val="32"/>
          <w:szCs w:val="32"/>
        </w:rPr>
        <w:t>.</w:t>
      </w:r>
      <w:r w:rsidRPr="00BF3F0E">
        <w:rPr>
          <w:sz w:val="32"/>
          <w:szCs w:val="32"/>
        </w:rPr>
        <w:t>..</w:t>
      </w:r>
      <w:r>
        <w:rPr>
          <w:sz w:val="32"/>
          <w:szCs w:val="32"/>
        </w:rPr>
        <w:t>..</w:t>
      </w:r>
      <w:r w:rsidRPr="00BF3F0E">
        <w:rPr>
          <w:sz w:val="32"/>
          <w:szCs w:val="32"/>
        </w:rPr>
        <w:t xml:space="preserve"> </w:t>
      </w:r>
      <w:r>
        <w:rPr>
          <w:sz w:val="32"/>
          <w:szCs w:val="32"/>
        </w:rPr>
        <w:t>9</w:t>
      </w:r>
      <w:r w:rsidRPr="00BF3F0E">
        <w:rPr>
          <w:sz w:val="32"/>
          <w:szCs w:val="32"/>
        </w:rPr>
        <w:cr/>
      </w:r>
      <w:r>
        <w:rPr>
          <w:sz w:val="32"/>
          <w:szCs w:val="32"/>
        </w:rPr>
        <w:t>9</w:t>
      </w:r>
      <w:r w:rsidRPr="00BF3F0E">
        <w:rPr>
          <w:sz w:val="32"/>
          <w:szCs w:val="32"/>
        </w:rPr>
        <w:t xml:space="preserve">.  </w:t>
      </w:r>
      <w:r>
        <w:rPr>
          <w:sz w:val="32"/>
          <w:szCs w:val="32"/>
        </w:rPr>
        <w:t>Information Distribution</w:t>
      </w:r>
      <w:r w:rsidRPr="00BF3F0E">
        <w:rPr>
          <w:sz w:val="32"/>
          <w:szCs w:val="32"/>
        </w:rPr>
        <w:t>.....................</w:t>
      </w:r>
      <w:r>
        <w:rPr>
          <w:sz w:val="32"/>
          <w:szCs w:val="32"/>
        </w:rPr>
        <w:t>...............................</w:t>
      </w:r>
      <w:r w:rsidRPr="00BF3F0E">
        <w:rPr>
          <w:sz w:val="32"/>
          <w:szCs w:val="32"/>
        </w:rPr>
        <w:t xml:space="preserve"> </w:t>
      </w:r>
      <w:r>
        <w:rPr>
          <w:sz w:val="32"/>
          <w:szCs w:val="32"/>
        </w:rPr>
        <w:t>10</w:t>
      </w:r>
      <w:r w:rsidRPr="00BF3F0E">
        <w:rPr>
          <w:sz w:val="32"/>
          <w:szCs w:val="32"/>
        </w:rPr>
        <w:cr/>
      </w:r>
      <w:r>
        <w:rPr>
          <w:sz w:val="32"/>
          <w:szCs w:val="32"/>
        </w:rPr>
        <w:t xml:space="preserve">Appendix A: </w:t>
      </w:r>
      <w:r w:rsidRPr="00BF3F0E">
        <w:rPr>
          <w:sz w:val="32"/>
          <w:szCs w:val="32"/>
        </w:rPr>
        <w:t>Definition.........................................................</w:t>
      </w:r>
      <w:r>
        <w:rPr>
          <w:rFonts w:hint="eastAsia"/>
          <w:sz w:val="32"/>
          <w:szCs w:val="32"/>
        </w:rPr>
        <w:t>..</w:t>
      </w:r>
      <w:r w:rsidRPr="00BF3F0E">
        <w:rPr>
          <w:sz w:val="32"/>
          <w:szCs w:val="32"/>
        </w:rPr>
        <w:t>.</w:t>
      </w:r>
      <w:r>
        <w:rPr>
          <w:sz w:val="32"/>
          <w:szCs w:val="32"/>
        </w:rPr>
        <w:t>.</w:t>
      </w:r>
      <w:r w:rsidRPr="00BF3F0E">
        <w:rPr>
          <w:sz w:val="32"/>
          <w:szCs w:val="32"/>
        </w:rPr>
        <w:t xml:space="preserve">. </w:t>
      </w:r>
      <w:r w:rsidR="009F04AE">
        <w:rPr>
          <w:sz w:val="32"/>
          <w:szCs w:val="32"/>
        </w:rPr>
        <w:t>12</w:t>
      </w:r>
      <w:r w:rsidRPr="00BF3F0E">
        <w:rPr>
          <w:sz w:val="32"/>
          <w:szCs w:val="32"/>
        </w:rPr>
        <w:cr/>
      </w:r>
      <w:r w:rsidRPr="00BF3F0E">
        <w:rPr>
          <w:rFonts w:hint="eastAsia"/>
          <w:sz w:val="32"/>
          <w:szCs w:val="32"/>
        </w:rPr>
        <w:t>A</w:t>
      </w:r>
      <w:r>
        <w:rPr>
          <w:rFonts w:hint="eastAsia"/>
          <w:sz w:val="32"/>
          <w:szCs w:val="32"/>
        </w:rPr>
        <w:t xml:space="preserve">ppendix B: </w:t>
      </w:r>
      <w:r w:rsidRPr="00BF3F0E">
        <w:rPr>
          <w:rFonts w:hint="eastAsia"/>
          <w:sz w:val="32"/>
          <w:szCs w:val="32"/>
        </w:rPr>
        <w:t>Examples for Index Calcula</w:t>
      </w:r>
      <w:r>
        <w:rPr>
          <w:rFonts w:hint="eastAsia"/>
          <w:sz w:val="32"/>
          <w:szCs w:val="32"/>
        </w:rPr>
        <w:t>tion .........................</w:t>
      </w:r>
      <w:r>
        <w:rPr>
          <w:sz w:val="32"/>
          <w:szCs w:val="32"/>
        </w:rPr>
        <w:t>.</w:t>
      </w:r>
      <w:r w:rsidR="009F04AE">
        <w:rPr>
          <w:rFonts w:hint="eastAsia"/>
          <w:sz w:val="32"/>
          <w:szCs w:val="32"/>
        </w:rPr>
        <w:t>.. 13</w:t>
      </w:r>
      <w:r w:rsidRPr="00BF3F0E">
        <w:rPr>
          <w:rFonts w:hint="eastAsia"/>
          <w:sz w:val="32"/>
          <w:szCs w:val="32"/>
        </w:rPr>
        <w:cr/>
      </w:r>
    </w:p>
    <w:p w:rsidR="0021381C" w:rsidRDefault="0021381C" w:rsidP="0021381C">
      <w:pPr>
        <w:widowControl/>
        <w:jc w:val="left"/>
        <w:rPr>
          <w:sz w:val="32"/>
          <w:szCs w:val="32"/>
        </w:rPr>
      </w:pPr>
      <w:r>
        <w:rPr>
          <w:sz w:val="32"/>
          <w:szCs w:val="32"/>
        </w:rPr>
        <w:br w:type="page"/>
      </w:r>
    </w:p>
    <w:p w:rsidR="0021381C" w:rsidRPr="00F65C2D" w:rsidRDefault="0021381C" w:rsidP="0021381C">
      <w:pPr>
        <w:rPr>
          <w:b/>
          <w:sz w:val="32"/>
          <w:szCs w:val="32"/>
        </w:rPr>
      </w:pPr>
      <w:r w:rsidRPr="00F65C2D">
        <w:rPr>
          <w:b/>
          <w:sz w:val="32"/>
          <w:szCs w:val="32"/>
        </w:rPr>
        <w:lastRenderedPageBreak/>
        <w:t>1. Introduction</w:t>
      </w:r>
    </w:p>
    <w:p w:rsidR="0021381C" w:rsidRDefault="0021381C" w:rsidP="0021381C">
      <w:pPr>
        <w:rPr>
          <w:sz w:val="32"/>
          <w:szCs w:val="32"/>
        </w:rPr>
      </w:pPr>
      <w:r>
        <w:rPr>
          <w:sz w:val="32"/>
          <w:szCs w:val="32"/>
        </w:rPr>
        <w:t>For the</w:t>
      </w:r>
      <w:r>
        <w:rPr>
          <w:rFonts w:hint="eastAsia"/>
          <w:sz w:val="32"/>
          <w:szCs w:val="32"/>
        </w:rPr>
        <w:t xml:space="preserve"> </w:t>
      </w:r>
      <w:r>
        <w:rPr>
          <w:sz w:val="32"/>
          <w:szCs w:val="32"/>
        </w:rPr>
        <w:t>improvement of market operation quality and the convenience of the investors, NEEQ authorize</w:t>
      </w:r>
      <w:r w:rsidR="007E40FB">
        <w:rPr>
          <w:sz w:val="32"/>
          <w:szCs w:val="32"/>
        </w:rPr>
        <w:t>d</w:t>
      </w:r>
      <w:r>
        <w:rPr>
          <w:sz w:val="32"/>
          <w:szCs w:val="32"/>
        </w:rPr>
        <w:t xml:space="preserve"> CSI compile </w:t>
      </w:r>
      <w:r w:rsidR="00D76F80">
        <w:rPr>
          <w:sz w:val="32"/>
          <w:szCs w:val="32"/>
        </w:rPr>
        <w:t>NEEQ Market Making</w:t>
      </w:r>
      <w:r w:rsidR="0006655B">
        <w:rPr>
          <w:sz w:val="32"/>
          <w:szCs w:val="32"/>
        </w:rPr>
        <w:t xml:space="preserve"> (899002</w:t>
      </w:r>
      <w:r>
        <w:rPr>
          <w:sz w:val="32"/>
          <w:szCs w:val="32"/>
        </w:rPr>
        <w:t>). The index has been published since March 18</w:t>
      </w:r>
      <w:r w:rsidRPr="00490E2A">
        <w:rPr>
          <w:sz w:val="32"/>
          <w:szCs w:val="32"/>
          <w:vertAlign w:val="superscript"/>
        </w:rPr>
        <w:t>th</w:t>
      </w:r>
      <w:r>
        <w:rPr>
          <w:sz w:val="32"/>
          <w:szCs w:val="32"/>
        </w:rPr>
        <w:t xml:space="preserve">, 2015. </w:t>
      </w:r>
      <w:r w:rsidR="00D76F80">
        <w:rPr>
          <w:sz w:val="32"/>
          <w:szCs w:val="32"/>
        </w:rPr>
        <w:t>NEEQ Market Making</w:t>
      </w:r>
      <w:r>
        <w:rPr>
          <w:sz w:val="32"/>
          <w:szCs w:val="32"/>
        </w:rPr>
        <w:t xml:space="preserve"> represents the trend of market</w:t>
      </w:r>
      <w:r w:rsidR="00721629">
        <w:rPr>
          <w:sz w:val="32"/>
          <w:szCs w:val="32"/>
        </w:rPr>
        <w:t xml:space="preserve"> making stocks</w:t>
      </w:r>
      <w:r>
        <w:rPr>
          <w:sz w:val="32"/>
          <w:szCs w:val="32"/>
        </w:rPr>
        <w:t>.</w:t>
      </w:r>
    </w:p>
    <w:p w:rsidR="0021381C" w:rsidRPr="00721629" w:rsidRDefault="0021381C" w:rsidP="0021381C">
      <w:pPr>
        <w:rPr>
          <w:sz w:val="32"/>
          <w:szCs w:val="32"/>
        </w:rPr>
      </w:pPr>
    </w:p>
    <w:p w:rsidR="0021381C" w:rsidRPr="00BE3F22" w:rsidRDefault="0021381C" w:rsidP="0021381C">
      <w:pPr>
        <w:rPr>
          <w:b/>
          <w:sz w:val="32"/>
          <w:szCs w:val="32"/>
        </w:rPr>
      </w:pPr>
      <w:r w:rsidRPr="00BE3F22">
        <w:rPr>
          <w:b/>
          <w:sz w:val="32"/>
          <w:szCs w:val="32"/>
        </w:rPr>
        <w:t>2. Index Universe</w:t>
      </w:r>
    </w:p>
    <w:p w:rsidR="0021381C" w:rsidRDefault="0021381C" w:rsidP="0021381C">
      <w:pPr>
        <w:rPr>
          <w:sz w:val="32"/>
          <w:szCs w:val="32"/>
        </w:rPr>
      </w:pPr>
      <w:r w:rsidRPr="006644C0">
        <w:rPr>
          <w:sz w:val="32"/>
          <w:szCs w:val="32"/>
        </w:rPr>
        <w:t xml:space="preserve">The index universe of </w:t>
      </w:r>
      <w:r w:rsidR="00D76F80">
        <w:rPr>
          <w:sz w:val="32"/>
          <w:szCs w:val="32"/>
        </w:rPr>
        <w:t>NEEQ Market Making</w:t>
      </w:r>
      <w:r w:rsidRPr="006644C0">
        <w:rPr>
          <w:sz w:val="32"/>
          <w:szCs w:val="32"/>
        </w:rPr>
        <w:t xml:space="preserve"> Index includes all the board listed companies satisfying the following conditions</w:t>
      </w:r>
      <w:r>
        <w:rPr>
          <w:sz w:val="32"/>
          <w:szCs w:val="32"/>
        </w:rPr>
        <w:t xml:space="preserve"> up to the review deadline</w:t>
      </w:r>
      <w:r w:rsidRPr="006644C0">
        <w:rPr>
          <w:sz w:val="32"/>
          <w:szCs w:val="32"/>
        </w:rPr>
        <w:t xml:space="preserve">: </w:t>
      </w:r>
      <w:r w:rsidRPr="006644C0">
        <w:rPr>
          <w:sz w:val="32"/>
          <w:szCs w:val="32"/>
        </w:rPr>
        <w:cr/>
        <w:t xml:space="preserve">      </w:t>
      </w:r>
      <w:r w:rsidRPr="006644C0">
        <w:rPr>
          <w:sz w:val="32"/>
          <w:szCs w:val="32"/>
        </w:rPr>
        <w:t xml:space="preserve"> The </w:t>
      </w:r>
      <w:proofErr w:type="gramStart"/>
      <w:r>
        <w:rPr>
          <w:sz w:val="32"/>
          <w:szCs w:val="32"/>
        </w:rPr>
        <w:t>c</w:t>
      </w:r>
      <w:r w:rsidRPr="006644C0">
        <w:rPr>
          <w:sz w:val="32"/>
          <w:szCs w:val="32"/>
        </w:rPr>
        <w:t>ompany</w:t>
      </w:r>
      <w:r w:rsidR="00721629">
        <w:rPr>
          <w:sz w:val="32"/>
          <w:szCs w:val="32"/>
        </w:rPr>
        <w:t>’s</w:t>
      </w:r>
      <w:proofErr w:type="gramEnd"/>
      <w:r w:rsidRPr="006644C0">
        <w:rPr>
          <w:sz w:val="32"/>
          <w:szCs w:val="32"/>
        </w:rPr>
        <w:t xml:space="preserve"> transaction </w:t>
      </w:r>
      <w:r w:rsidR="00721629">
        <w:rPr>
          <w:sz w:val="32"/>
          <w:szCs w:val="32"/>
        </w:rPr>
        <w:t>type is market making</w:t>
      </w:r>
      <w:r>
        <w:rPr>
          <w:sz w:val="32"/>
          <w:szCs w:val="32"/>
        </w:rPr>
        <w:t>;</w:t>
      </w:r>
      <w:r w:rsidRPr="006644C0">
        <w:rPr>
          <w:sz w:val="32"/>
          <w:szCs w:val="32"/>
        </w:rPr>
        <w:cr/>
        <w:t xml:space="preserve">      </w:t>
      </w:r>
      <w:r w:rsidRPr="006644C0">
        <w:rPr>
          <w:sz w:val="32"/>
          <w:szCs w:val="32"/>
        </w:rPr>
        <w:t xml:space="preserve"> </w:t>
      </w:r>
      <w:proofErr w:type="gramStart"/>
      <w:r w:rsidRPr="006644C0">
        <w:rPr>
          <w:sz w:val="32"/>
          <w:szCs w:val="32"/>
        </w:rPr>
        <w:t>The</w:t>
      </w:r>
      <w:proofErr w:type="gramEnd"/>
      <w:r w:rsidRPr="006644C0">
        <w:rPr>
          <w:sz w:val="32"/>
          <w:szCs w:val="32"/>
        </w:rPr>
        <w:t xml:space="preserve"> float shares of company is not zero</w:t>
      </w:r>
      <w:r>
        <w:rPr>
          <w:sz w:val="32"/>
          <w:szCs w:val="32"/>
        </w:rPr>
        <w:t>;</w:t>
      </w:r>
    </w:p>
    <w:p w:rsidR="0021381C" w:rsidRDefault="0021381C" w:rsidP="0021381C">
      <w:pPr>
        <w:rPr>
          <w:sz w:val="32"/>
          <w:szCs w:val="32"/>
        </w:rPr>
      </w:pPr>
      <w:r>
        <w:rPr>
          <w:sz w:val="32"/>
          <w:szCs w:val="32"/>
        </w:rPr>
        <w:t xml:space="preserve">        Not ST companies.</w:t>
      </w:r>
      <w:r w:rsidRPr="006644C0">
        <w:rPr>
          <w:sz w:val="32"/>
          <w:szCs w:val="32"/>
        </w:rPr>
        <w:cr/>
      </w:r>
    </w:p>
    <w:p w:rsidR="0021381C" w:rsidRPr="00E63B8C" w:rsidRDefault="0021381C" w:rsidP="0021381C">
      <w:pPr>
        <w:rPr>
          <w:b/>
          <w:sz w:val="32"/>
          <w:szCs w:val="32"/>
        </w:rPr>
      </w:pPr>
      <w:r w:rsidRPr="00E63B8C">
        <w:rPr>
          <w:b/>
          <w:sz w:val="32"/>
          <w:szCs w:val="32"/>
        </w:rPr>
        <w:t>3. Selection Criteria</w:t>
      </w:r>
    </w:p>
    <w:p w:rsidR="0021381C" w:rsidRDefault="0021381C" w:rsidP="0021381C">
      <w:pPr>
        <w:rPr>
          <w:sz w:val="32"/>
          <w:szCs w:val="32"/>
        </w:rPr>
      </w:pPr>
      <w:r w:rsidRPr="006644C0">
        <w:rPr>
          <w:sz w:val="32"/>
          <w:szCs w:val="32"/>
        </w:rPr>
        <w:t xml:space="preserve">The </w:t>
      </w:r>
      <w:r w:rsidR="00D76F80">
        <w:rPr>
          <w:sz w:val="32"/>
          <w:szCs w:val="32"/>
        </w:rPr>
        <w:t>NEEQ Market Making</w:t>
      </w:r>
      <w:r w:rsidRPr="006644C0">
        <w:rPr>
          <w:sz w:val="32"/>
          <w:szCs w:val="32"/>
        </w:rPr>
        <w:t xml:space="preserve"> Index constituents</w:t>
      </w:r>
      <w:r>
        <w:rPr>
          <w:sz w:val="32"/>
          <w:szCs w:val="32"/>
        </w:rPr>
        <w:t xml:space="preserve"> should be under good management, not against the law, have no financial issues, no abnormal price</w:t>
      </w:r>
      <w:r w:rsidRPr="00A32637">
        <w:rPr>
          <w:sz w:val="32"/>
          <w:szCs w:val="32"/>
        </w:rPr>
        <w:t xml:space="preserve"> </w:t>
      </w:r>
      <w:r>
        <w:rPr>
          <w:sz w:val="32"/>
          <w:szCs w:val="32"/>
        </w:rPr>
        <w:t>fluctuation, and no manipulation of the market. They</w:t>
      </w:r>
      <w:r w:rsidRPr="006644C0">
        <w:rPr>
          <w:sz w:val="32"/>
          <w:szCs w:val="32"/>
        </w:rPr>
        <w:t xml:space="preserve"> are selected as follows: </w:t>
      </w:r>
      <w:r w:rsidRPr="006644C0">
        <w:rPr>
          <w:sz w:val="32"/>
          <w:szCs w:val="32"/>
        </w:rPr>
        <w:cr/>
        <w:t xml:space="preserve">First Step: </w:t>
      </w:r>
      <w:r>
        <w:rPr>
          <w:sz w:val="32"/>
          <w:szCs w:val="32"/>
        </w:rPr>
        <w:t xml:space="preserve">Calculate </w:t>
      </w:r>
      <w:r w:rsidRPr="006644C0">
        <w:rPr>
          <w:sz w:val="32"/>
          <w:szCs w:val="32"/>
        </w:rPr>
        <w:t>daily average</w:t>
      </w:r>
      <w:r>
        <w:rPr>
          <w:sz w:val="32"/>
          <w:szCs w:val="32"/>
        </w:rPr>
        <w:t xml:space="preserve"> </w:t>
      </w:r>
      <w:r w:rsidRPr="006644C0">
        <w:rPr>
          <w:sz w:val="32"/>
          <w:szCs w:val="32"/>
        </w:rPr>
        <w:t>trading values and daily average total market capitalization</w:t>
      </w:r>
      <w:r>
        <w:rPr>
          <w:sz w:val="32"/>
          <w:szCs w:val="32"/>
        </w:rPr>
        <w:t xml:space="preserve"> of the last three months of </w:t>
      </w:r>
      <w:r>
        <w:rPr>
          <w:sz w:val="32"/>
          <w:szCs w:val="32"/>
        </w:rPr>
        <w:lastRenderedPageBreak/>
        <w:t>every company in the universe. (New Listings will be included in from the fourth transaction day.)</w:t>
      </w:r>
    </w:p>
    <w:p w:rsidR="0021381C" w:rsidRDefault="0021381C" w:rsidP="0021381C">
      <w:pPr>
        <w:rPr>
          <w:sz w:val="32"/>
          <w:szCs w:val="32"/>
        </w:rPr>
      </w:pPr>
      <w:r>
        <w:rPr>
          <w:sz w:val="32"/>
          <w:szCs w:val="32"/>
        </w:rPr>
        <w:t xml:space="preserve">Second Step: </w:t>
      </w:r>
      <w:r w:rsidRPr="006644C0">
        <w:rPr>
          <w:sz w:val="32"/>
          <w:szCs w:val="32"/>
        </w:rPr>
        <w:t>Rank all the companies in the universe by daily average</w:t>
      </w:r>
      <w:r>
        <w:rPr>
          <w:sz w:val="32"/>
          <w:szCs w:val="32"/>
        </w:rPr>
        <w:t xml:space="preserve"> </w:t>
      </w:r>
      <w:r w:rsidRPr="006644C0">
        <w:rPr>
          <w:sz w:val="32"/>
          <w:szCs w:val="32"/>
        </w:rPr>
        <w:t xml:space="preserve">trading values and daily average total market capitalization of the </w:t>
      </w:r>
      <w:r>
        <w:rPr>
          <w:sz w:val="32"/>
          <w:szCs w:val="32"/>
        </w:rPr>
        <w:t>last</w:t>
      </w:r>
      <w:r w:rsidRPr="006644C0">
        <w:rPr>
          <w:sz w:val="32"/>
          <w:szCs w:val="32"/>
        </w:rPr>
        <w:t xml:space="preserve"> three months respectively in descending order and sum up the two</w:t>
      </w:r>
      <w:r>
        <w:rPr>
          <w:sz w:val="32"/>
          <w:szCs w:val="32"/>
        </w:rPr>
        <w:t xml:space="preserve"> ranks to get the overall rank.</w:t>
      </w:r>
      <w:r w:rsidRPr="006644C0">
        <w:rPr>
          <w:sz w:val="32"/>
          <w:szCs w:val="32"/>
        </w:rPr>
        <w:cr/>
      </w:r>
      <w:r>
        <w:rPr>
          <w:sz w:val="32"/>
          <w:szCs w:val="32"/>
        </w:rPr>
        <w:t>Third</w:t>
      </w:r>
      <w:r w:rsidRPr="006644C0">
        <w:rPr>
          <w:sz w:val="32"/>
          <w:szCs w:val="32"/>
        </w:rPr>
        <w:t xml:space="preserve"> Step: According </w:t>
      </w:r>
      <w:r>
        <w:rPr>
          <w:sz w:val="32"/>
          <w:szCs w:val="32"/>
        </w:rPr>
        <w:t xml:space="preserve">to </w:t>
      </w:r>
      <w:r w:rsidRPr="006644C0">
        <w:rPr>
          <w:sz w:val="32"/>
          <w:szCs w:val="32"/>
        </w:rPr>
        <w:t xml:space="preserve">the overall rank, determine the number of index component by covering 85% total market capitalization of </w:t>
      </w:r>
      <w:r w:rsidR="00916937">
        <w:rPr>
          <w:sz w:val="32"/>
          <w:szCs w:val="32"/>
        </w:rPr>
        <w:t>index universe</w:t>
      </w:r>
      <w:r w:rsidRPr="006644C0">
        <w:rPr>
          <w:sz w:val="32"/>
          <w:szCs w:val="32"/>
        </w:rPr>
        <w:t>. Allocate number of co</w:t>
      </w:r>
      <w:r>
        <w:rPr>
          <w:sz w:val="32"/>
          <w:szCs w:val="32"/>
        </w:rPr>
        <w:t xml:space="preserve">nstituents for each 2nd </w:t>
      </w:r>
      <w:r w:rsidRPr="006644C0">
        <w:rPr>
          <w:sz w:val="32"/>
          <w:szCs w:val="32"/>
        </w:rPr>
        <w:t>level NEEQ industry</w:t>
      </w:r>
      <w:r>
        <w:rPr>
          <w:sz w:val="32"/>
          <w:szCs w:val="32"/>
        </w:rPr>
        <w:t xml:space="preserve"> based on the following method:</w:t>
      </w:r>
      <w:r w:rsidRPr="006644C0">
        <w:rPr>
          <w:sz w:val="32"/>
          <w:szCs w:val="32"/>
        </w:rPr>
        <w:cr/>
      </w:r>
      <w:r w:rsidR="00916937">
        <w:rPr>
          <w:sz w:val="32"/>
          <w:szCs w:val="32"/>
        </w:rPr>
        <w:t xml:space="preserve">No. of </w:t>
      </w:r>
      <w:r w:rsidR="00916937" w:rsidRPr="001B6C67">
        <w:rPr>
          <w:sz w:val="32"/>
          <w:szCs w:val="32"/>
        </w:rPr>
        <w:t xml:space="preserve">constituents for industry </w:t>
      </w:r>
      <w:proofErr w:type="spellStart"/>
      <w:r w:rsidR="00916937" w:rsidRPr="001B6C67">
        <w:rPr>
          <w:sz w:val="32"/>
          <w:szCs w:val="32"/>
        </w:rPr>
        <w:t>i</w:t>
      </w:r>
      <w:proofErr w:type="spellEnd"/>
      <w:r w:rsidR="00916937">
        <w:rPr>
          <w:sz w:val="32"/>
          <w:szCs w:val="32"/>
        </w:rPr>
        <w:t>= (</w:t>
      </w:r>
      <w:r w:rsidR="00916937" w:rsidRPr="001B6C67">
        <w:rPr>
          <w:sz w:val="32"/>
          <w:szCs w:val="32"/>
        </w:rPr>
        <w:t>Total mark</w:t>
      </w:r>
      <w:r w:rsidR="00916937">
        <w:rPr>
          <w:sz w:val="32"/>
          <w:szCs w:val="32"/>
        </w:rPr>
        <w:t xml:space="preserve">et making number of Industry </w:t>
      </w:r>
      <w:proofErr w:type="spellStart"/>
      <w:r w:rsidR="00916937">
        <w:rPr>
          <w:sz w:val="32"/>
          <w:szCs w:val="32"/>
        </w:rPr>
        <w:t>i</w:t>
      </w:r>
      <w:proofErr w:type="spellEnd"/>
      <w:r w:rsidR="00916937">
        <w:rPr>
          <w:sz w:val="32"/>
          <w:szCs w:val="32"/>
        </w:rPr>
        <w:t>/</w:t>
      </w:r>
      <w:r w:rsidR="00916937" w:rsidRPr="00551FA2">
        <w:rPr>
          <w:sz w:val="32"/>
          <w:szCs w:val="32"/>
        </w:rPr>
        <w:t xml:space="preserve"> </w:t>
      </w:r>
      <w:r w:rsidR="00916937">
        <w:rPr>
          <w:sz w:val="32"/>
          <w:szCs w:val="32"/>
        </w:rPr>
        <w:t xml:space="preserve">Total market making number of </w:t>
      </w:r>
      <w:r w:rsidR="00916937" w:rsidRPr="001B6C67">
        <w:rPr>
          <w:sz w:val="32"/>
          <w:szCs w:val="32"/>
        </w:rPr>
        <w:t>all board listed companies</w:t>
      </w:r>
      <w:r w:rsidR="00916937">
        <w:rPr>
          <w:sz w:val="32"/>
          <w:szCs w:val="32"/>
        </w:rPr>
        <w:t>)*</w:t>
      </w:r>
      <w:r w:rsidR="00916937" w:rsidRPr="001B6C67">
        <w:rPr>
          <w:sz w:val="32"/>
          <w:szCs w:val="32"/>
        </w:rPr>
        <w:t xml:space="preserve"> No.</w:t>
      </w:r>
      <w:r w:rsidR="00916937">
        <w:rPr>
          <w:sz w:val="32"/>
          <w:szCs w:val="32"/>
        </w:rPr>
        <w:t xml:space="preserve"> </w:t>
      </w:r>
      <w:r w:rsidR="00916937" w:rsidRPr="001B6C67">
        <w:rPr>
          <w:sz w:val="32"/>
          <w:szCs w:val="32"/>
        </w:rPr>
        <w:t>of</w:t>
      </w:r>
      <w:r w:rsidR="00916937">
        <w:rPr>
          <w:sz w:val="32"/>
          <w:szCs w:val="32"/>
        </w:rPr>
        <w:t xml:space="preserve"> components by 85% market cap</w:t>
      </w:r>
    </w:p>
    <w:p w:rsidR="0021381C" w:rsidRDefault="0021381C" w:rsidP="0021381C">
      <w:pPr>
        <w:rPr>
          <w:sz w:val="32"/>
          <w:szCs w:val="32"/>
        </w:rPr>
      </w:pPr>
      <w:r>
        <w:rPr>
          <w:rFonts w:hint="eastAsia"/>
          <w:sz w:val="32"/>
          <w:szCs w:val="32"/>
        </w:rPr>
        <w:t>Forth Step</w:t>
      </w:r>
      <w:r>
        <w:rPr>
          <w:sz w:val="32"/>
          <w:szCs w:val="32"/>
        </w:rPr>
        <w:t xml:space="preserve">: Select high ranking companies as </w:t>
      </w:r>
      <w:r w:rsidR="00D76F80">
        <w:rPr>
          <w:sz w:val="32"/>
          <w:szCs w:val="32"/>
        </w:rPr>
        <w:t>NEEQ Market Making</w:t>
      </w:r>
      <w:r>
        <w:rPr>
          <w:sz w:val="32"/>
          <w:szCs w:val="32"/>
        </w:rPr>
        <w:t xml:space="preserve"> constituents.</w:t>
      </w:r>
    </w:p>
    <w:p w:rsidR="0021381C" w:rsidRDefault="0021381C" w:rsidP="0021381C">
      <w:pPr>
        <w:rPr>
          <w:sz w:val="32"/>
          <w:szCs w:val="32"/>
        </w:rPr>
      </w:pPr>
    </w:p>
    <w:p w:rsidR="0021381C" w:rsidRPr="00AB3B58" w:rsidRDefault="0021381C" w:rsidP="0021381C">
      <w:pPr>
        <w:rPr>
          <w:b/>
          <w:sz w:val="32"/>
          <w:szCs w:val="32"/>
        </w:rPr>
      </w:pPr>
      <w:r w:rsidRPr="00AB3B58">
        <w:rPr>
          <w:b/>
          <w:sz w:val="32"/>
          <w:szCs w:val="32"/>
        </w:rPr>
        <w:t>4. Index</w:t>
      </w:r>
      <w:r w:rsidRPr="00AB3B58">
        <w:rPr>
          <w:rFonts w:hint="eastAsia"/>
          <w:b/>
          <w:sz w:val="32"/>
          <w:szCs w:val="32"/>
        </w:rPr>
        <w:t xml:space="preserve"> </w:t>
      </w:r>
      <w:r w:rsidRPr="00AB3B58">
        <w:rPr>
          <w:b/>
          <w:sz w:val="32"/>
          <w:szCs w:val="32"/>
        </w:rPr>
        <w:t>Calculation</w:t>
      </w:r>
    </w:p>
    <w:p w:rsidR="0021381C" w:rsidRPr="00AB3B58" w:rsidRDefault="0021381C" w:rsidP="0021381C">
      <w:pPr>
        <w:rPr>
          <w:sz w:val="32"/>
          <w:szCs w:val="32"/>
        </w:rPr>
      </w:pPr>
      <w:r>
        <w:rPr>
          <w:sz w:val="32"/>
          <w:szCs w:val="32"/>
        </w:rPr>
        <w:t>4</w:t>
      </w:r>
      <w:r w:rsidRPr="00AB3B58">
        <w:rPr>
          <w:sz w:val="32"/>
          <w:szCs w:val="32"/>
        </w:rPr>
        <w:t>.</w:t>
      </w:r>
      <w:r>
        <w:rPr>
          <w:sz w:val="32"/>
          <w:szCs w:val="32"/>
        </w:rPr>
        <w:t>1</w:t>
      </w:r>
      <w:r w:rsidRPr="00AB3B58">
        <w:rPr>
          <w:sz w:val="32"/>
          <w:szCs w:val="32"/>
        </w:rPr>
        <w:t xml:space="preserve"> </w:t>
      </w:r>
      <w:r>
        <w:rPr>
          <w:sz w:val="32"/>
          <w:szCs w:val="32"/>
        </w:rPr>
        <w:t>Base Date and Base Index</w:t>
      </w:r>
    </w:p>
    <w:p w:rsidR="0021381C" w:rsidRDefault="0021381C" w:rsidP="0021381C">
      <w:pPr>
        <w:rPr>
          <w:sz w:val="32"/>
          <w:szCs w:val="32"/>
        </w:rPr>
      </w:pPr>
      <w:r w:rsidRPr="006644C0">
        <w:rPr>
          <w:sz w:val="32"/>
          <w:szCs w:val="32"/>
        </w:rPr>
        <w:t xml:space="preserve">The base date of </w:t>
      </w:r>
      <w:r w:rsidR="00D76F80">
        <w:rPr>
          <w:sz w:val="32"/>
          <w:szCs w:val="32"/>
        </w:rPr>
        <w:t>NEEQ Market Making</w:t>
      </w:r>
      <w:r>
        <w:rPr>
          <w:sz w:val="32"/>
          <w:szCs w:val="32"/>
        </w:rPr>
        <w:t xml:space="preserve"> Index is December 31, 20</w:t>
      </w:r>
      <w:r w:rsidRPr="006644C0">
        <w:rPr>
          <w:sz w:val="32"/>
          <w:szCs w:val="32"/>
        </w:rPr>
        <w:t>14. The base divisor of the index are the adjusted market-cap of all constituents as of close of the base date. The base index is 1000.</w:t>
      </w:r>
    </w:p>
    <w:p w:rsidR="0021381C" w:rsidRPr="00AB3B58" w:rsidRDefault="0021381C" w:rsidP="0021381C">
      <w:pPr>
        <w:rPr>
          <w:sz w:val="32"/>
          <w:szCs w:val="32"/>
        </w:rPr>
      </w:pPr>
      <w:r w:rsidRPr="00AB3B58">
        <w:rPr>
          <w:sz w:val="32"/>
          <w:szCs w:val="32"/>
        </w:rPr>
        <w:lastRenderedPageBreak/>
        <w:t xml:space="preserve">4. </w:t>
      </w:r>
      <w:r>
        <w:rPr>
          <w:sz w:val="32"/>
          <w:szCs w:val="32"/>
        </w:rPr>
        <w:t>2 Index Calculation</w:t>
      </w:r>
    </w:p>
    <w:p w:rsidR="0021381C" w:rsidRDefault="00D76F80" w:rsidP="0021381C">
      <w:pPr>
        <w:rPr>
          <w:sz w:val="32"/>
          <w:szCs w:val="32"/>
        </w:rPr>
      </w:pPr>
      <w:r>
        <w:rPr>
          <w:sz w:val="32"/>
          <w:szCs w:val="32"/>
        </w:rPr>
        <w:t>NEEQ Market Making</w:t>
      </w:r>
      <w:r w:rsidR="0021381C" w:rsidRPr="006644C0">
        <w:rPr>
          <w:sz w:val="32"/>
          <w:szCs w:val="32"/>
        </w:rPr>
        <w:t xml:space="preserve"> Index is calculated using a</w:t>
      </w:r>
      <w:r w:rsidR="0021381C">
        <w:rPr>
          <w:sz w:val="32"/>
          <w:szCs w:val="32"/>
        </w:rPr>
        <w:t xml:space="preserve"> </w:t>
      </w:r>
      <w:proofErr w:type="spellStart"/>
      <w:r w:rsidR="0021381C">
        <w:rPr>
          <w:sz w:val="32"/>
          <w:szCs w:val="32"/>
        </w:rPr>
        <w:t>Paasche</w:t>
      </w:r>
      <w:proofErr w:type="spellEnd"/>
      <w:r w:rsidR="0021381C">
        <w:rPr>
          <w:sz w:val="32"/>
          <w:szCs w:val="32"/>
        </w:rPr>
        <w:t xml:space="preserve">     weighted </w:t>
      </w:r>
      <w:r w:rsidR="0021381C" w:rsidRPr="006644C0">
        <w:rPr>
          <w:sz w:val="32"/>
          <w:szCs w:val="32"/>
        </w:rPr>
        <w:t xml:space="preserve">composite price index formula, the formula is: </w:t>
      </w:r>
      <w:r w:rsidR="0021381C" w:rsidRPr="006644C0">
        <w:rPr>
          <w:sz w:val="32"/>
          <w:szCs w:val="32"/>
        </w:rPr>
        <w:cr/>
        <w:t>Current index</w:t>
      </w:r>
      <w:r w:rsidR="0021381C">
        <w:rPr>
          <w:sz w:val="32"/>
          <w:szCs w:val="32"/>
        </w:rPr>
        <w:t>=</w:t>
      </w:r>
      <w:r w:rsidR="0021381C" w:rsidRPr="000C7686">
        <w:rPr>
          <w:sz w:val="32"/>
          <w:szCs w:val="32"/>
        </w:rPr>
        <w:t xml:space="preserve"> </w:t>
      </w:r>
      <w:r w:rsidR="0021381C">
        <w:rPr>
          <w:sz w:val="32"/>
          <w:szCs w:val="32"/>
        </w:rPr>
        <w:t>(</w:t>
      </w:r>
      <w:r w:rsidR="0021381C" w:rsidRPr="006644C0">
        <w:rPr>
          <w:sz w:val="32"/>
          <w:szCs w:val="32"/>
        </w:rPr>
        <w:t>Current adjusted market cap of constituents</w:t>
      </w:r>
      <w:r w:rsidR="0021381C">
        <w:rPr>
          <w:sz w:val="32"/>
          <w:szCs w:val="32"/>
        </w:rPr>
        <w:t>/</w:t>
      </w:r>
      <w:r w:rsidR="0021381C" w:rsidRPr="006644C0">
        <w:rPr>
          <w:sz w:val="32"/>
          <w:szCs w:val="32"/>
        </w:rPr>
        <w:t xml:space="preserve"> Base</w:t>
      </w:r>
      <w:r w:rsidR="0021381C">
        <w:rPr>
          <w:sz w:val="32"/>
          <w:szCs w:val="32"/>
        </w:rPr>
        <w:t xml:space="preserve"> </w:t>
      </w:r>
      <w:r w:rsidR="0021381C" w:rsidRPr="006644C0">
        <w:rPr>
          <w:sz w:val="32"/>
          <w:szCs w:val="32"/>
        </w:rPr>
        <w:t>period</w:t>
      </w:r>
      <w:r w:rsidR="0021381C">
        <w:rPr>
          <w:sz w:val="32"/>
          <w:szCs w:val="32"/>
        </w:rPr>
        <w:t>)*</w:t>
      </w:r>
      <w:r w:rsidR="0021381C" w:rsidRPr="006644C0">
        <w:rPr>
          <w:sz w:val="32"/>
          <w:szCs w:val="32"/>
        </w:rPr>
        <w:t xml:space="preserve"> </w:t>
      </w:r>
      <w:r w:rsidR="0021381C">
        <w:rPr>
          <w:sz w:val="32"/>
          <w:szCs w:val="32"/>
        </w:rPr>
        <w:t>1000</w:t>
      </w:r>
      <w:r w:rsidR="0021381C" w:rsidRPr="006644C0">
        <w:rPr>
          <w:sz w:val="32"/>
          <w:szCs w:val="32"/>
        </w:rPr>
        <w:cr/>
      </w:r>
      <w:r w:rsidR="0021381C">
        <w:rPr>
          <w:rFonts w:hint="eastAsia"/>
          <w:sz w:val="32"/>
          <w:szCs w:val="32"/>
        </w:rPr>
        <w:t>Adjusted market cap</w:t>
      </w:r>
      <w:r w:rsidR="0021381C" w:rsidRPr="006644C0">
        <w:rPr>
          <w:rFonts w:hint="eastAsia"/>
          <w:sz w:val="32"/>
          <w:szCs w:val="32"/>
        </w:rPr>
        <w:t xml:space="preserve">= </w:t>
      </w:r>
      <w:r w:rsidR="0021381C" w:rsidRPr="006644C0">
        <w:rPr>
          <w:rFonts w:hint="eastAsia"/>
          <w:sz w:val="32"/>
          <w:szCs w:val="32"/>
        </w:rPr>
        <w:t>∑</w:t>
      </w:r>
      <w:r w:rsidR="0021381C" w:rsidRPr="006644C0">
        <w:rPr>
          <w:rFonts w:hint="eastAsia"/>
          <w:sz w:val="32"/>
          <w:szCs w:val="32"/>
        </w:rPr>
        <w:t>(Price</w:t>
      </w:r>
      <w:r w:rsidR="0021381C" w:rsidRPr="006644C0">
        <w:rPr>
          <w:rFonts w:hint="eastAsia"/>
          <w:sz w:val="32"/>
          <w:szCs w:val="32"/>
        </w:rPr>
        <w:t>×</w:t>
      </w:r>
      <w:r w:rsidR="0021381C" w:rsidRPr="006644C0">
        <w:rPr>
          <w:rFonts w:hint="eastAsia"/>
          <w:sz w:val="32"/>
          <w:szCs w:val="32"/>
        </w:rPr>
        <w:t>Adjusted No. of shares</w:t>
      </w:r>
      <w:r w:rsidR="0021381C" w:rsidRPr="006644C0">
        <w:rPr>
          <w:rFonts w:hint="eastAsia"/>
          <w:sz w:val="32"/>
          <w:szCs w:val="32"/>
        </w:rPr>
        <w:t>×</w:t>
      </w:r>
      <w:r w:rsidR="0021381C" w:rsidRPr="006644C0">
        <w:rPr>
          <w:rFonts w:hint="eastAsia"/>
          <w:sz w:val="32"/>
          <w:szCs w:val="32"/>
        </w:rPr>
        <w:t xml:space="preserve">weight adjusted </w:t>
      </w:r>
      <w:r w:rsidR="0021381C">
        <w:rPr>
          <w:sz w:val="32"/>
          <w:szCs w:val="32"/>
        </w:rPr>
        <w:t>factor)</w:t>
      </w:r>
    </w:p>
    <w:p w:rsidR="0021381C" w:rsidRDefault="0021381C" w:rsidP="0021381C">
      <w:pPr>
        <w:rPr>
          <w:sz w:val="32"/>
          <w:szCs w:val="32"/>
        </w:rPr>
      </w:pPr>
      <w:r w:rsidRPr="006644C0">
        <w:rPr>
          <w:sz w:val="32"/>
          <w:szCs w:val="32"/>
        </w:rPr>
        <w:t>The</w:t>
      </w:r>
      <w:r>
        <w:rPr>
          <w:sz w:val="32"/>
          <w:szCs w:val="32"/>
        </w:rPr>
        <w:t xml:space="preserve"> </w:t>
      </w:r>
      <w:r w:rsidRPr="006644C0">
        <w:rPr>
          <w:sz w:val="32"/>
          <w:szCs w:val="32"/>
        </w:rPr>
        <w:t>weight cap of</w:t>
      </w:r>
      <w:r>
        <w:rPr>
          <w:sz w:val="32"/>
          <w:szCs w:val="32"/>
        </w:rPr>
        <w:t xml:space="preserve"> </w:t>
      </w:r>
      <w:r w:rsidRPr="006644C0">
        <w:rPr>
          <w:sz w:val="32"/>
          <w:szCs w:val="32"/>
        </w:rPr>
        <w:t>2nd level industry is 25%;</w:t>
      </w:r>
      <w:r>
        <w:rPr>
          <w:sz w:val="32"/>
          <w:szCs w:val="32"/>
        </w:rPr>
        <w:t xml:space="preserve"> </w:t>
      </w:r>
      <w:r w:rsidRPr="006644C0">
        <w:rPr>
          <w:sz w:val="32"/>
          <w:szCs w:val="32"/>
        </w:rPr>
        <w:t xml:space="preserve">the weight cap of </w:t>
      </w:r>
      <w:r>
        <w:rPr>
          <w:sz w:val="32"/>
          <w:szCs w:val="32"/>
        </w:rPr>
        <w:t>individual constituent is 5%.</w:t>
      </w:r>
    </w:p>
    <w:p w:rsidR="0021381C" w:rsidRDefault="0021381C" w:rsidP="0021381C">
      <w:pPr>
        <w:rPr>
          <w:sz w:val="32"/>
          <w:szCs w:val="32"/>
        </w:rPr>
      </w:pPr>
      <w:r>
        <w:rPr>
          <w:sz w:val="32"/>
          <w:szCs w:val="32"/>
        </w:rPr>
        <w:t xml:space="preserve">4.3 Index </w:t>
      </w:r>
      <w:r w:rsidR="00756F57">
        <w:rPr>
          <w:sz w:val="32"/>
          <w:szCs w:val="32"/>
        </w:rPr>
        <w:t>Real-Time</w:t>
      </w:r>
      <w:r>
        <w:rPr>
          <w:sz w:val="32"/>
          <w:szCs w:val="32"/>
        </w:rPr>
        <w:t xml:space="preserve"> Calculation</w:t>
      </w:r>
    </w:p>
    <w:p w:rsidR="00756F57" w:rsidRPr="00756F57" w:rsidRDefault="00756F57" w:rsidP="00756F57">
      <w:pPr>
        <w:rPr>
          <w:sz w:val="32"/>
          <w:szCs w:val="32"/>
        </w:rPr>
      </w:pPr>
      <w:r w:rsidRPr="00756F57">
        <w:rPr>
          <w:sz w:val="32"/>
          <w:szCs w:val="32"/>
        </w:rPr>
        <w:t xml:space="preserve">The real time calculation of </w:t>
      </w:r>
      <w:r>
        <w:rPr>
          <w:sz w:val="32"/>
          <w:szCs w:val="32"/>
        </w:rPr>
        <w:t>NEEQ Market Making</w:t>
      </w:r>
      <w:r w:rsidRPr="00756F57">
        <w:rPr>
          <w:sz w:val="32"/>
          <w:szCs w:val="32"/>
        </w:rPr>
        <w:t xml:space="preserve"> is based on the price data issued by the trading systems of </w:t>
      </w:r>
      <w:r>
        <w:rPr>
          <w:sz w:val="32"/>
          <w:szCs w:val="32"/>
        </w:rPr>
        <w:t>NEEQ</w:t>
      </w:r>
      <w:r w:rsidR="00E6447A">
        <w:rPr>
          <w:sz w:val="32"/>
          <w:szCs w:val="32"/>
        </w:rPr>
        <w:t>.</w:t>
      </w:r>
    </w:p>
    <w:p w:rsidR="00756F57" w:rsidRPr="00756F57" w:rsidRDefault="00756F57" w:rsidP="00756F57">
      <w:pPr>
        <w:rPr>
          <w:sz w:val="32"/>
          <w:szCs w:val="32"/>
        </w:rPr>
      </w:pPr>
      <w:r w:rsidRPr="00756F57">
        <w:rPr>
          <w:sz w:val="32"/>
          <w:szCs w:val="32"/>
        </w:rPr>
        <w:t xml:space="preserve">(1)The opening index is calculated by the </w:t>
      </w:r>
      <w:r w:rsidR="000A4EDB">
        <w:rPr>
          <w:sz w:val="32"/>
          <w:szCs w:val="32"/>
        </w:rPr>
        <w:t>latest</w:t>
      </w:r>
      <w:r w:rsidRPr="00756F57">
        <w:rPr>
          <w:sz w:val="32"/>
          <w:szCs w:val="32"/>
        </w:rPr>
        <w:t xml:space="preserve"> price obtained through </w:t>
      </w:r>
      <w:r w:rsidR="000A4EDB">
        <w:rPr>
          <w:sz w:val="32"/>
          <w:szCs w:val="32"/>
        </w:rPr>
        <w:t>market making</w:t>
      </w:r>
      <w:r w:rsidRPr="00756F57">
        <w:rPr>
          <w:sz w:val="32"/>
          <w:szCs w:val="32"/>
        </w:rPr>
        <w:t xml:space="preserve">. In case there is no deal, the opening </w:t>
      </w:r>
      <w:r w:rsidR="00E6447A" w:rsidRPr="00756F57">
        <w:rPr>
          <w:sz w:val="32"/>
          <w:szCs w:val="32"/>
        </w:rPr>
        <w:t>index is then</w:t>
      </w:r>
      <w:r w:rsidRPr="00756F57">
        <w:rPr>
          <w:sz w:val="32"/>
          <w:szCs w:val="32"/>
        </w:rPr>
        <w:t xml:space="preserve"> calculated by </w:t>
      </w:r>
      <w:r w:rsidR="000D5301">
        <w:rPr>
          <w:sz w:val="32"/>
          <w:szCs w:val="32"/>
        </w:rPr>
        <w:t>ex-closing</w:t>
      </w:r>
      <w:r w:rsidRPr="00756F57">
        <w:rPr>
          <w:sz w:val="32"/>
          <w:szCs w:val="32"/>
        </w:rPr>
        <w:t xml:space="preserve"> price</w:t>
      </w:r>
      <w:r>
        <w:rPr>
          <w:sz w:val="32"/>
          <w:szCs w:val="32"/>
        </w:rPr>
        <w:t>.</w:t>
      </w:r>
    </w:p>
    <w:p w:rsidR="00756F57" w:rsidRPr="006644C0" w:rsidRDefault="00756F57" w:rsidP="00756F57">
      <w:pPr>
        <w:rPr>
          <w:sz w:val="32"/>
          <w:szCs w:val="32"/>
        </w:rPr>
      </w:pPr>
      <w:r w:rsidRPr="00756F57">
        <w:rPr>
          <w:sz w:val="32"/>
          <w:szCs w:val="32"/>
        </w:rPr>
        <w:t xml:space="preserve">(2)The index is calculated each second till the close of trading. Price of each constituent(X) is defined on the following principle: If there is no deal the whole trading day, X equals the </w:t>
      </w:r>
      <w:r>
        <w:rPr>
          <w:sz w:val="32"/>
          <w:szCs w:val="32"/>
        </w:rPr>
        <w:t>ex-closing</w:t>
      </w:r>
      <w:r w:rsidRPr="00756F57">
        <w:rPr>
          <w:sz w:val="32"/>
          <w:szCs w:val="32"/>
        </w:rPr>
        <w:t xml:space="preserve"> price, otherwise, X equals the latest traded price.</w:t>
      </w:r>
    </w:p>
    <w:p w:rsidR="000A4EDB" w:rsidRDefault="0021381C" w:rsidP="0021381C">
      <w:pPr>
        <w:rPr>
          <w:sz w:val="32"/>
          <w:szCs w:val="32"/>
        </w:rPr>
      </w:pPr>
      <w:r>
        <w:rPr>
          <w:sz w:val="32"/>
          <w:szCs w:val="32"/>
        </w:rPr>
        <w:t>4.4 Total Return Index</w:t>
      </w:r>
    </w:p>
    <w:p w:rsidR="0021381C" w:rsidRDefault="0021381C" w:rsidP="0021381C">
      <w:pPr>
        <w:rPr>
          <w:sz w:val="32"/>
          <w:szCs w:val="32"/>
        </w:rPr>
      </w:pPr>
      <w:r>
        <w:rPr>
          <w:sz w:val="32"/>
          <w:szCs w:val="32"/>
        </w:rPr>
        <w:t xml:space="preserve">NEEQ and </w:t>
      </w:r>
      <w:r w:rsidRPr="00BF3F0E">
        <w:rPr>
          <w:sz w:val="32"/>
          <w:szCs w:val="32"/>
        </w:rPr>
        <w:t xml:space="preserve">CSI calculates daily closing data of </w:t>
      </w:r>
      <w:r w:rsidR="00D76F80">
        <w:rPr>
          <w:sz w:val="32"/>
          <w:szCs w:val="32"/>
        </w:rPr>
        <w:t>NEEQ Market Making</w:t>
      </w:r>
      <w:r w:rsidRPr="00BF3F0E">
        <w:rPr>
          <w:sz w:val="32"/>
          <w:szCs w:val="32"/>
        </w:rPr>
        <w:t xml:space="preserve"> total return indices to satisfy investors</w:t>
      </w:r>
      <w:r>
        <w:rPr>
          <w:sz w:val="32"/>
          <w:szCs w:val="32"/>
        </w:rPr>
        <w:t>’</w:t>
      </w:r>
      <w:r w:rsidRPr="00BF3F0E">
        <w:rPr>
          <w:sz w:val="32"/>
          <w:szCs w:val="32"/>
        </w:rPr>
        <w:t xml:space="preserve"> needs. The </w:t>
      </w:r>
      <w:r w:rsidRPr="00BF3F0E">
        <w:rPr>
          <w:sz w:val="32"/>
          <w:szCs w:val="32"/>
        </w:rPr>
        <w:lastRenderedPageBreak/>
        <w:t xml:space="preserve">calculation of total return index takes the reinvestment income of </w:t>
      </w:r>
      <w:proofErr w:type="gramStart"/>
      <w:r w:rsidRPr="00BF3F0E">
        <w:rPr>
          <w:sz w:val="32"/>
          <w:szCs w:val="32"/>
        </w:rPr>
        <w:t>constituents</w:t>
      </w:r>
      <w:proofErr w:type="gramEnd"/>
      <w:r w:rsidRPr="00BF3F0E">
        <w:rPr>
          <w:sz w:val="32"/>
          <w:szCs w:val="32"/>
        </w:rPr>
        <w:t xml:space="preserve"> cash dividends into consideration, which enables investors to measure index perf</w:t>
      </w:r>
      <w:r>
        <w:rPr>
          <w:sz w:val="32"/>
          <w:szCs w:val="32"/>
        </w:rPr>
        <w:t>ormance from a different angle.</w:t>
      </w:r>
      <w:r w:rsidRPr="00BF3F0E">
        <w:rPr>
          <w:sz w:val="32"/>
          <w:szCs w:val="32"/>
        </w:rPr>
        <w:t xml:space="preserve"> Total return index is calculated using Chain algorithm. The formula is:</w:t>
      </w:r>
      <w:r w:rsidRPr="00BF3F0E">
        <w:rPr>
          <w:sz w:val="32"/>
          <w:szCs w:val="32"/>
        </w:rPr>
        <w:cr/>
      </w:r>
      <w:r>
        <w:rPr>
          <w:sz w:val="32"/>
          <w:szCs w:val="32"/>
        </w:rPr>
        <w:t>Total return index (T)= TRI (T-1)</w:t>
      </w:r>
      <w:r w:rsidRPr="00BF3F0E">
        <w:rPr>
          <w:rFonts w:hint="eastAsia"/>
          <w:sz w:val="32"/>
          <w:szCs w:val="32"/>
        </w:rPr>
        <w:t>×</w:t>
      </w:r>
      <w:r>
        <w:rPr>
          <w:sz w:val="32"/>
          <w:szCs w:val="32"/>
        </w:rPr>
        <w:t>Adjusted Market Cap (T)/ [</w:t>
      </w:r>
      <w:r w:rsidRPr="00BF3F0E">
        <w:rPr>
          <w:sz w:val="32"/>
          <w:szCs w:val="32"/>
        </w:rPr>
        <w:t>Closing Adjusted Market Cap</w:t>
      </w:r>
      <w:r>
        <w:rPr>
          <w:sz w:val="32"/>
          <w:szCs w:val="32"/>
        </w:rPr>
        <w:t xml:space="preserve"> (T-1) -</w:t>
      </w:r>
      <w:r w:rsidRPr="00BF3F0E">
        <w:rPr>
          <w:sz w:val="32"/>
          <w:szCs w:val="32"/>
        </w:rPr>
        <w:t>Adj</w:t>
      </w:r>
      <w:r>
        <w:rPr>
          <w:sz w:val="32"/>
          <w:szCs w:val="32"/>
        </w:rPr>
        <w:t>usted Cash Dividend before Tax (T)]</w:t>
      </w:r>
      <w:r w:rsidRPr="00BF3F0E">
        <w:rPr>
          <w:sz w:val="32"/>
          <w:szCs w:val="32"/>
        </w:rPr>
        <w:cr/>
        <w:t>T day repres</w:t>
      </w:r>
      <w:r>
        <w:rPr>
          <w:sz w:val="32"/>
          <w:szCs w:val="32"/>
        </w:rPr>
        <w:t>ents any trading day, T</w:t>
      </w:r>
      <w:r w:rsidRPr="00BF3F0E">
        <w:rPr>
          <w:sz w:val="32"/>
          <w:szCs w:val="32"/>
        </w:rPr>
        <w:t xml:space="preserve">-1 represents the last trading day of t day, </w:t>
      </w:r>
      <w:r w:rsidRPr="00BF3F0E">
        <w:rPr>
          <w:rFonts w:hint="eastAsia"/>
          <w:sz w:val="32"/>
          <w:szCs w:val="32"/>
        </w:rPr>
        <w:t xml:space="preserve">Adjusted Market Cap= </w:t>
      </w:r>
      <w:r w:rsidRPr="00BF3F0E">
        <w:rPr>
          <w:rFonts w:hint="eastAsia"/>
          <w:sz w:val="32"/>
          <w:szCs w:val="32"/>
        </w:rPr>
        <w:t>∑</w:t>
      </w:r>
      <w:r w:rsidRPr="00BF3F0E">
        <w:rPr>
          <w:rFonts w:hint="eastAsia"/>
          <w:sz w:val="32"/>
          <w:szCs w:val="32"/>
        </w:rPr>
        <w:t>(Price</w:t>
      </w:r>
      <w:r w:rsidRPr="00BF3F0E">
        <w:rPr>
          <w:rFonts w:hint="eastAsia"/>
          <w:sz w:val="32"/>
          <w:szCs w:val="32"/>
        </w:rPr>
        <w:t>×</w:t>
      </w:r>
      <w:r w:rsidRPr="00BF3F0E">
        <w:rPr>
          <w:rFonts w:hint="eastAsia"/>
          <w:sz w:val="32"/>
          <w:szCs w:val="32"/>
        </w:rPr>
        <w:t>Adjusted No. of  Shares), Adjusted Cash</w:t>
      </w:r>
      <w:r>
        <w:rPr>
          <w:sz w:val="32"/>
          <w:szCs w:val="32"/>
        </w:rPr>
        <w:t xml:space="preserve"> </w:t>
      </w:r>
      <w:r w:rsidRPr="00BF3F0E">
        <w:rPr>
          <w:rFonts w:hint="eastAsia"/>
          <w:sz w:val="32"/>
          <w:szCs w:val="32"/>
        </w:rPr>
        <w:t>D</w:t>
      </w:r>
      <w:r>
        <w:rPr>
          <w:rFonts w:hint="eastAsia"/>
          <w:sz w:val="32"/>
          <w:szCs w:val="32"/>
        </w:rPr>
        <w:t>ividend before Tax</w:t>
      </w:r>
      <w:r w:rsidRPr="00BF3F0E">
        <w:rPr>
          <w:rFonts w:hint="eastAsia"/>
          <w:sz w:val="32"/>
          <w:szCs w:val="32"/>
        </w:rPr>
        <w:t>=</w:t>
      </w:r>
      <w:r w:rsidRPr="00BF3F0E">
        <w:rPr>
          <w:rFonts w:hint="eastAsia"/>
          <w:sz w:val="32"/>
          <w:szCs w:val="32"/>
        </w:rPr>
        <w:t>∑</w:t>
      </w:r>
      <w:r w:rsidRPr="00BF3F0E">
        <w:rPr>
          <w:rFonts w:hint="eastAsia"/>
          <w:sz w:val="32"/>
          <w:szCs w:val="32"/>
        </w:rPr>
        <w:t>(Cas</w:t>
      </w:r>
      <w:r>
        <w:rPr>
          <w:rFonts w:hint="eastAsia"/>
          <w:sz w:val="32"/>
          <w:szCs w:val="32"/>
        </w:rPr>
        <w:t>h Dividend per Share before Tax</w:t>
      </w:r>
      <w:r w:rsidRPr="00BF3F0E">
        <w:rPr>
          <w:rFonts w:hint="eastAsia"/>
          <w:sz w:val="32"/>
          <w:szCs w:val="32"/>
        </w:rPr>
        <w:t>×</w:t>
      </w:r>
      <w:r w:rsidRPr="00BF3F0E">
        <w:rPr>
          <w:rFonts w:hint="eastAsia"/>
          <w:sz w:val="32"/>
          <w:szCs w:val="32"/>
        </w:rPr>
        <w:t xml:space="preserve">Adjusted No. </w:t>
      </w:r>
      <w:r>
        <w:rPr>
          <w:sz w:val="32"/>
          <w:szCs w:val="32"/>
        </w:rPr>
        <w:t>of Shares).</w:t>
      </w:r>
      <w:r w:rsidRPr="00BF3F0E">
        <w:rPr>
          <w:sz w:val="32"/>
          <w:szCs w:val="32"/>
        </w:rPr>
        <w:cr/>
        <w:t xml:space="preserve">The difference between the total return index and the price index is on </w:t>
      </w:r>
      <w:r>
        <w:rPr>
          <w:sz w:val="32"/>
          <w:szCs w:val="32"/>
        </w:rPr>
        <w:t>the treatment of cash dividend.</w:t>
      </w:r>
      <w:r w:rsidRPr="00BF3F0E">
        <w:rPr>
          <w:sz w:val="32"/>
          <w:szCs w:val="32"/>
        </w:rPr>
        <w:cr/>
      </w:r>
    </w:p>
    <w:p w:rsidR="0021381C" w:rsidRPr="00BF3F0E" w:rsidRDefault="0021381C" w:rsidP="0021381C">
      <w:pPr>
        <w:rPr>
          <w:sz w:val="32"/>
          <w:szCs w:val="32"/>
        </w:rPr>
      </w:pPr>
      <w:r w:rsidRPr="00166BF1">
        <w:rPr>
          <w:b/>
          <w:sz w:val="32"/>
          <w:szCs w:val="32"/>
        </w:rPr>
        <w:t>5. Index Maintenance</w:t>
      </w:r>
      <w:r w:rsidRPr="00166BF1">
        <w:rPr>
          <w:b/>
          <w:sz w:val="32"/>
          <w:szCs w:val="32"/>
        </w:rPr>
        <w:cr/>
      </w:r>
      <w:r w:rsidRPr="00BF3F0E">
        <w:rPr>
          <w:sz w:val="32"/>
          <w:szCs w:val="32"/>
        </w:rPr>
        <w:t>When changes occur to constituent list or the share structure, or constituents' market value changes due to non-trading factors, the divisor is adjusted to keep the index comparable overtime, that is,</w:t>
      </w:r>
      <w:r>
        <w:rPr>
          <w:sz w:val="32"/>
          <w:szCs w:val="32"/>
        </w:rPr>
        <w:t xml:space="preserve"> </w:t>
      </w:r>
      <w:r w:rsidR="00D76F80">
        <w:rPr>
          <w:sz w:val="32"/>
          <w:szCs w:val="32"/>
        </w:rPr>
        <w:t>NEEQ Market Making</w:t>
      </w:r>
      <w:r w:rsidRPr="00BF3F0E">
        <w:rPr>
          <w:sz w:val="32"/>
          <w:szCs w:val="32"/>
        </w:rPr>
        <w:t xml:space="preserve"> adopts the “Divisor Adjustment Methodology” to adjust t</w:t>
      </w:r>
      <w:r>
        <w:rPr>
          <w:sz w:val="32"/>
          <w:szCs w:val="32"/>
        </w:rPr>
        <w:t>he old divisor.</w:t>
      </w:r>
    </w:p>
    <w:p w:rsidR="0021381C" w:rsidRPr="00BF3F0E" w:rsidRDefault="0021381C" w:rsidP="0021381C">
      <w:pPr>
        <w:rPr>
          <w:sz w:val="32"/>
          <w:szCs w:val="32"/>
        </w:rPr>
      </w:pPr>
      <w:r>
        <w:rPr>
          <w:sz w:val="32"/>
          <w:szCs w:val="32"/>
        </w:rPr>
        <w:t>5</w:t>
      </w:r>
      <w:r w:rsidRPr="00BF3F0E">
        <w:rPr>
          <w:sz w:val="32"/>
          <w:szCs w:val="32"/>
        </w:rPr>
        <w:t>.1 Formula of</w:t>
      </w:r>
      <w:r>
        <w:rPr>
          <w:sz w:val="32"/>
          <w:szCs w:val="32"/>
        </w:rPr>
        <w:t xml:space="preserve"> Divisor Adjustment Methodology</w:t>
      </w:r>
      <w:r w:rsidRPr="00BF3F0E">
        <w:rPr>
          <w:sz w:val="32"/>
          <w:szCs w:val="32"/>
        </w:rPr>
        <w:cr/>
      </w:r>
      <w:r w:rsidRPr="00BF3F0E">
        <w:rPr>
          <w:sz w:val="32"/>
          <w:szCs w:val="32"/>
        </w:rPr>
        <w:lastRenderedPageBreak/>
        <w:t>Adjusted Market Cap before Adjustment</w:t>
      </w:r>
      <w:r>
        <w:rPr>
          <w:sz w:val="32"/>
          <w:szCs w:val="32"/>
        </w:rPr>
        <w:t>/</w:t>
      </w:r>
      <w:r w:rsidRPr="00BF3F0E">
        <w:rPr>
          <w:sz w:val="32"/>
          <w:szCs w:val="32"/>
        </w:rPr>
        <w:t xml:space="preserve"> Old Divisor</w:t>
      </w:r>
      <w:r>
        <w:rPr>
          <w:sz w:val="32"/>
          <w:szCs w:val="32"/>
        </w:rPr>
        <w:t>=</w:t>
      </w:r>
      <w:r w:rsidRPr="00BF3F0E">
        <w:rPr>
          <w:sz w:val="32"/>
          <w:szCs w:val="32"/>
        </w:rPr>
        <w:t xml:space="preserve"> Adjus</w:t>
      </w:r>
      <w:r>
        <w:rPr>
          <w:sz w:val="32"/>
          <w:szCs w:val="32"/>
        </w:rPr>
        <w:t xml:space="preserve">ted Market Cap after Adjustment/ </w:t>
      </w:r>
      <w:r w:rsidRPr="00BF3F0E">
        <w:rPr>
          <w:sz w:val="32"/>
          <w:szCs w:val="32"/>
        </w:rPr>
        <w:t>New Divisor</w:t>
      </w:r>
      <w:r w:rsidRPr="00BF3F0E">
        <w:rPr>
          <w:sz w:val="32"/>
          <w:szCs w:val="32"/>
        </w:rPr>
        <w:cr/>
        <w:t>Adjusted Market Cap after Adjustment= Adjusted Market</w:t>
      </w:r>
      <w:r>
        <w:rPr>
          <w:sz w:val="32"/>
          <w:szCs w:val="32"/>
        </w:rPr>
        <w:t xml:space="preserve"> </w:t>
      </w:r>
      <w:r w:rsidRPr="00BF3F0E">
        <w:rPr>
          <w:sz w:val="32"/>
          <w:szCs w:val="32"/>
        </w:rPr>
        <w:t>Cap</w:t>
      </w:r>
      <w:r>
        <w:rPr>
          <w:sz w:val="32"/>
          <w:szCs w:val="32"/>
        </w:rPr>
        <w:t xml:space="preserve"> </w:t>
      </w:r>
      <w:r w:rsidRPr="00BF3F0E">
        <w:rPr>
          <w:sz w:val="32"/>
          <w:szCs w:val="32"/>
        </w:rPr>
        <w:t>before adjustment</w:t>
      </w:r>
      <w:r>
        <w:rPr>
          <w:sz w:val="32"/>
          <w:szCs w:val="32"/>
        </w:rPr>
        <w:t xml:space="preserve"> </w:t>
      </w:r>
      <w:r w:rsidRPr="00BF3F0E">
        <w:rPr>
          <w:sz w:val="32"/>
          <w:szCs w:val="32"/>
        </w:rPr>
        <w:t>+ Adjusted Ma</w:t>
      </w:r>
      <w:r>
        <w:rPr>
          <w:sz w:val="32"/>
          <w:szCs w:val="32"/>
        </w:rPr>
        <w:t>rket Cap increased or decreased</w:t>
      </w:r>
      <w:r w:rsidRPr="00BF3F0E">
        <w:rPr>
          <w:sz w:val="32"/>
          <w:szCs w:val="32"/>
        </w:rPr>
        <w:cr/>
        <w:t>The new divisor derived from this formula is us</w:t>
      </w:r>
      <w:r>
        <w:rPr>
          <w:sz w:val="32"/>
          <w:szCs w:val="32"/>
        </w:rPr>
        <w:t>ed for later index calculation.</w:t>
      </w:r>
      <w:r w:rsidRPr="00BF3F0E">
        <w:rPr>
          <w:sz w:val="32"/>
          <w:szCs w:val="32"/>
        </w:rPr>
        <w:cr/>
      </w:r>
      <w:r>
        <w:rPr>
          <w:sz w:val="32"/>
          <w:szCs w:val="32"/>
        </w:rPr>
        <w:t>5</w:t>
      </w:r>
      <w:r w:rsidRPr="00BF3F0E">
        <w:rPr>
          <w:sz w:val="32"/>
          <w:szCs w:val="32"/>
        </w:rPr>
        <w:t>.2 Circ</w:t>
      </w:r>
      <w:r>
        <w:rPr>
          <w:sz w:val="32"/>
          <w:szCs w:val="32"/>
        </w:rPr>
        <w:t>umstances for Index Maintenance</w:t>
      </w:r>
      <w:r w:rsidRPr="00BF3F0E">
        <w:rPr>
          <w:sz w:val="32"/>
          <w:szCs w:val="32"/>
        </w:rPr>
        <w:cr/>
      </w:r>
      <w:r>
        <w:rPr>
          <w:sz w:val="32"/>
          <w:szCs w:val="32"/>
        </w:rPr>
        <w:t>5</w:t>
      </w:r>
      <w:r w:rsidRPr="00BF3F0E">
        <w:rPr>
          <w:sz w:val="32"/>
          <w:szCs w:val="32"/>
        </w:rPr>
        <w:t>.2.1 Corporate actions that may a</w:t>
      </w:r>
      <w:r>
        <w:rPr>
          <w:sz w:val="32"/>
          <w:szCs w:val="32"/>
        </w:rPr>
        <w:t>ffect the price of constituents</w:t>
      </w:r>
      <w:r w:rsidRPr="00BF3F0E">
        <w:rPr>
          <w:sz w:val="32"/>
          <w:szCs w:val="32"/>
        </w:rPr>
        <w:cr/>
      </w:r>
      <w:r>
        <w:rPr>
          <w:sz w:val="32"/>
          <w:szCs w:val="32"/>
        </w:rPr>
        <w:t xml:space="preserve">Dividend: </w:t>
      </w:r>
      <w:r w:rsidRPr="00BF3F0E">
        <w:rPr>
          <w:sz w:val="32"/>
          <w:szCs w:val="32"/>
        </w:rPr>
        <w:t>No index adjustment is required for dividend payment and the index is</w:t>
      </w:r>
      <w:r>
        <w:rPr>
          <w:sz w:val="32"/>
          <w:szCs w:val="32"/>
        </w:rPr>
        <w:t xml:space="preserve"> allowed to fallback naturally.</w:t>
      </w:r>
    </w:p>
    <w:p w:rsidR="0021381C" w:rsidRDefault="0021381C" w:rsidP="0021381C">
      <w:pPr>
        <w:rPr>
          <w:sz w:val="32"/>
          <w:szCs w:val="32"/>
        </w:rPr>
      </w:pPr>
      <w:r w:rsidRPr="00BF3F0E">
        <w:rPr>
          <w:sz w:val="32"/>
          <w:szCs w:val="32"/>
        </w:rPr>
        <w:t xml:space="preserve">Right issue and bonus issue: The index is adjusted the day before the issuance. </w:t>
      </w:r>
    </w:p>
    <w:p w:rsidR="0021381C" w:rsidRPr="00BF3F0E" w:rsidRDefault="0021381C" w:rsidP="0021381C">
      <w:pPr>
        <w:rPr>
          <w:sz w:val="32"/>
          <w:szCs w:val="32"/>
        </w:rPr>
      </w:pPr>
      <w:r w:rsidRPr="00BF3F0E">
        <w:rPr>
          <w:sz w:val="32"/>
          <w:szCs w:val="32"/>
        </w:rPr>
        <w:t xml:space="preserve">Adjusted </w:t>
      </w:r>
      <w:r>
        <w:rPr>
          <w:sz w:val="32"/>
          <w:szCs w:val="32"/>
        </w:rPr>
        <w:t>Market Cap after the Adjustment</w:t>
      </w:r>
      <w:r w:rsidRPr="00BF3F0E">
        <w:rPr>
          <w:sz w:val="32"/>
          <w:szCs w:val="32"/>
        </w:rPr>
        <w:t>= Ex-right Price</w:t>
      </w:r>
      <w:r>
        <w:rPr>
          <w:sz w:val="32"/>
          <w:szCs w:val="32"/>
        </w:rPr>
        <w:t xml:space="preserve"> </w:t>
      </w:r>
      <w:r w:rsidRPr="00BF3F0E">
        <w:rPr>
          <w:sz w:val="32"/>
          <w:szCs w:val="32"/>
        </w:rPr>
        <w:t>×</w:t>
      </w:r>
      <w:r>
        <w:rPr>
          <w:sz w:val="32"/>
          <w:szCs w:val="32"/>
        </w:rPr>
        <w:t xml:space="preserve"> </w:t>
      </w:r>
      <w:r w:rsidRPr="00BF3F0E">
        <w:rPr>
          <w:sz w:val="32"/>
          <w:szCs w:val="32"/>
        </w:rPr>
        <w:t>Adjusted No. of Shares</w:t>
      </w:r>
      <w:r>
        <w:rPr>
          <w:sz w:val="32"/>
          <w:szCs w:val="32"/>
        </w:rPr>
        <w:t xml:space="preserve"> </w:t>
      </w:r>
      <w:r w:rsidRPr="00BF3F0E">
        <w:rPr>
          <w:sz w:val="32"/>
          <w:szCs w:val="32"/>
        </w:rPr>
        <w:t>+ Adjusted Market Cap</w:t>
      </w:r>
      <w:r>
        <w:rPr>
          <w:sz w:val="32"/>
          <w:szCs w:val="32"/>
        </w:rPr>
        <w:t xml:space="preserve"> </w:t>
      </w:r>
      <w:r w:rsidRPr="00BF3F0E">
        <w:rPr>
          <w:sz w:val="32"/>
          <w:szCs w:val="32"/>
        </w:rPr>
        <w:t>before the</w:t>
      </w:r>
      <w:r>
        <w:rPr>
          <w:sz w:val="32"/>
          <w:szCs w:val="32"/>
        </w:rPr>
        <w:t xml:space="preserve"> </w:t>
      </w:r>
      <w:r w:rsidRPr="00BF3F0E">
        <w:rPr>
          <w:sz w:val="32"/>
          <w:szCs w:val="32"/>
        </w:rPr>
        <w:t>Adjustment (excluding stocks adjusted for right issue and</w:t>
      </w:r>
      <w:r>
        <w:rPr>
          <w:sz w:val="32"/>
          <w:szCs w:val="32"/>
        </w:rPr>
        <w:t xml:space="preserve"> </w:t>
      </w:r>
      <w:r w:rsidRPr="00BF3F0E">
        <w:rPr>
          <w:sz w:val="32"/>
          <w:szCs w:val="32"/>
        </w:rPr>
        <w:t xml:space="preserve">bonus </w:t>
      </w:r>
      <w:r>
        <w:rPr>
          <w:sz w:val="32"/>
          <w:szCs w:val="32"/>
        </w:rPr>
        <w:t>issue)</w:t>
      </w:r>
    </w:p>
    <w:p w:rsidR="0021381C" w:rsidRDefault="0021381C" w:rsidP="0021381C">
      <w:pPr>
        <w:rPr>
          <w:sz w:val="32"/>
          <w:szCs w:val="32"/>
        </w:rPr>
      </w:pPr>
      <w:r>
        <w:rPr>
          <w:sz w:val="32"/>
          <w:szCs w:val="32"/>
        </w:rPr>
        <w:t>5</w:t>
      </w:r>
      <w:r w:rsidRPr="00BF3F0E">
        <w:rPr>
          <w:sz w:val="32"/>
          <w:szCs w:val="32"/>
        </w:rPr>
        <w:t>.2.2 Share chan</w:t>
      </w:r>
      <w:r>
        <w:rPr>
          <w:sz w:val="32"/>
          <w:szCs w:val="32"/>
        </w:rPr>
        <w:t>ges caused by corporate actions</w:t>
      </w:r>
      <w:r w:rsidRPr="00BF3F0E">
        <w:rPr>
          <w:sz w:val="32"/>
          <w:szCs w:val="32"/>
        </w:rPr>
        <w:cr/>
        <w:t>Share changes</w:t>
      </w:r>
      <w:r>
        <w:rPr>
          <w:sz w:val="32"/>
          <w:szCs w:val="32"/>
        </w:rPr>
        <w:t xml:space="preserve"> w</w:t>
      </w:r>
      <w:r w:rsidRPr="00BF3F0E">
        <w:rPr>
          <w:sz w:val="32"/>
          <w:szCs w:val="32"/>
        </w:rPr>
        <w:t>hen shares of constituents change</w:t>
      </w:r>
      <w:r>
        <w:rPr>
          <w:sz w:val="32"/>
          <w:szCs w:val="32"/>
        </w:rPr>
        <w:t xml:space="preserve"> (up to 5% of total shares)</w:t>
      </w:r>
      <w:r w:rsidRPr="00BF3F0E">
        <w:rPr>
          <w:sz w:val="32"/>
          <w:szCs w:val="32"/>
        </w:rPr>
        <w:t xml:space="preserve"> due to corporate actions (e.g. re-issuance, listing of right issue), the index is adjusted the day before the changes. </w:t>
      </w:r>
    </w:p>
    <w:p w:rsidR="0021381C" w:rsidRDefault="0021381C" w:rsidP="0021381C">
      <w:pPr>
        <w:rPr>
          <w:sz w:val="32"/>
          <w:szCs w:val="32"/>
        </w:rPr>
      </w:pPr>
      <w:r w:rsidRPr="00BF3F0E">
        <w:rPr>
          <w:sz w:val="32"/>
          <w:szCs w:val="32"/>
        </w:rPr>
        <w:t xml:space="preserve">Adjusted Market Cap after the Adjustment = closing price </w:t>
      </w:r>
      <w:r w:rsidRPr="00BF3F0E">
        <w:rPr>
          <w:sz w:val="32"/>
          <w:szCs w:val="32"/>
        </w:rPr>
        <w:lastRenderedPageBreak/>
        <w:t>×A</w:t>
      </w:r>
      <w:r>
        <w:rPr>
          <w:sz w:val="32"/>
          <w:szCs w:val="32"/>
        </w:rPr>
        <w:t>djusted sharers after changes</w:t>
      </w:r>
      <w:r>
        <w:rPr>
          <w:sz w:val="32"/>
          <w:szCs w:val="32"/>
        </w:rPr>
        <w:cr/>
        <w:t>5.2.3 Constituents adjustment</w:t>
      </w:r>
      <w:r w:rsidRPr="00BF3F0E">
        <w:rPr>
          <w:sz w:val="32"/>
          <w:szCs w:val="32"/>
        </w:rPr>
        <w:cr/>
        <w:t>Index is adjusted before the effective day of periodical review</w:t>
      </w:r>
      <w:r>
        <w:rPr>
          <w:sz w:val="32"/>
          <w:szCs w:val="32"/>
        </w:rPr>
        <w:t xml:space="preserve"> </w:t>
      </w:r>
      <w:r w:rsidRPr="00BF3F0E">
        <w:rPr>
          <w:sz w:val="32"/>
          <w:szCs w:val="32"/>
        </w:rPr>
        <w:t>or temporary adjustment.</w:t>
      </w:r>
    </w:p>
    <w:p w:rsidR="0021381C" w:rsidRPr="00C61C37" w:rsidRDefault="0021381C" w:rsidP="0021381C">
      <w:pPr>
        <w:rPr>
          <w:sz w:val="32"/>
          <w:szCs w:val="32"/>
        </w:rPr>
      </w:pPr>
    </w:p>
    <w:p w:rsidR="0021381C" w:rsidRDefault="0021381C" w:rsidP="0021381C">
      <w:pPr>
        <w:rPr>
          <w:sz w:val="32"/>
          <w:szCs w:val="32"/>
        </w:rPr>
      </w:pPr>
      <w:r w:rsidRPr="001522A1">
        <w:rPr>
          <w:b/>
          <w:sz w:val="32"/>
          <w:szCs w:val="32"/>
        </w:rPr>
        <w:t>6.</w:t>
      </w:r>
      <w:r>
        <w:rPr>
          <w:b/>
          <w:sz w:val="32"/>
          <w:szCs w:val="32"/>
        </w:rPr>
        <w:t xml:space="preserve"> Constituents Periodical Review</w:t>
      </w:r>
      <w:r w:rsidRPr="001522A1">
        <w:rPr>
          <w:b/>
          <w:sz w:val="32"/>
          <w:szCs w:val="32"/>
        </w:rPr>
        <w:cr/>
      </w:r>
      <w:r w:rsidRPr="00BF3F0E">
        <w:rPr>
          <w:sz w:val="32"/>
          <w:szCs w:val="32"/>
        </w:rPr>
        <w:t xml:space="preserve">Constituents of </w:t>
      </w:r>
      <w:r w:rsidR="00D76F80">
        <w:rPr>
          <w:sz w:val="32"/>
          <w:szCs w:val="32"/>
        </w:rPr>
        <w:t>NEEQ Market Making</w:t>
      </w:r>
      <w:r w:rsidRPr="00BF3F0E">
        <w:rPr>
          <w:sz w:val="32"/>
          <w:szCs w:val="32"/>
        </w:rPr>
        <w:t xml:space="preserve"> are reviewed every </w:t>
      </w:r>
      <w:r>
        <w:rPr>
          <w:sz w:val="32"/>
          <w:szCs w:val="32"/>
        </w:rPr>
        <w:t>quarter</w:t>
      </w:r>
      <w:r w:rsidRPr="00BF3F0E">
        <w:rPr>
          <w:sz w:val="32"/>
          <w:szCs w:val="32"/>
        </w:rPr>
        <w:t xml:space="preserve">. Constituents are adjusted according to the periodical review. </w:t>
      </w:r>
    </w:p>
    <w:p w:rsidR="0021381C" w:rsidRDefault="0021381C" w:rsidP="0021381C">
      <w:pPr>
        <w:rPr>
          <w:sz w:val="32"/>
          <w:szCs w:val="32"/>
        </w:rPr>
      </w:pPr>
      <w:r>
        <w:rPr>
          <w:sz w:val="32"/>
          <w:szCs w:val="32"/>
        </w:rPr>
        <w:t>6.1 Review Time</w:t>
      </w:r>
      <w:r w:rsidRPr="00BF3F0E">
        <w:rPr>
          <w:sz w:val="32"/>
          <w:szCs w:val="32"/>
        </w:rPr>
        <w:cr/>
        <w:t xml:space="preserve">Constituents’ adjustment are implemented on the next trading day after the close of the second Friday in </w:t>
      </w:r>
      <w:r>
        <w:rPr>
          <w:sz w:val="32"/>
          <w:szCs w:val="32"/>
        </w:rPr>
        <w:t xml:space="preserve">March, </w:t>
      </w:r>
      <w:r w:rsidRPr="00BF3F0E">
        <w:rPr>
          <w:sz w:val="32"/>
          <w:szCs w:val="32"/>
        </w:rPr>
        <w:t>June</w:t>
      </w:r>
      <w:r>
        <w:rPr>
          <w:sz w:val="32"/>
          <w:szCs w:val="32"/>
        </w:rPr>
        <w:t>, September</w:t>
      </w:r>
      <w:r w:rsidRPr="00BF3F0E">
        <w:rPr>
          <w:sz w:val="32"/>
          <w:szCs w:val="32"/>
        </w:rPr>
        <w:t xml:space="preserve"> and </w:t>
      </w:r>
      <w:r>
        <w:rPr>
          <w:sz w:val="32"/>
          <w:szCs w:val="32"/>
        </w:rPr>
        <w:t>December each year.</w:t>
      </w:r>
    </w:p>
    <w:p w:rsidR="0021381C" w:rsidRPr="00BF3F0E" w:rsidRDefault="0021381C" w:rsidP="0021381C">
      <w:pPr>
        <w:rPr>
          <w:sz w:val="32"/>
          <w:szCs w:val="32"/>
        </w:rPr>
      </w:pPr>
      <w:r>
        <w:rPr>
          <w:sz w:val="32"/>
          <w:szCs w:val="32"/>
        </w:rPr>
        <w:t>6</w:t>
      </w:r>
      <w:r w:rsidRPr="00BF3F0E">
        <w:rPr>
          <w:sz w:val="32"/>
          <w:szCs w:val="32"/>
        </w:rPr>
        <w:t xml:space="preserve">.2 </w:t>
      </w:r>
      <w:r>
        <w:rPr>
          <w:sz w:val="32"/>
          <w:szCs w:val="32"/>
        </w:rPr>
        <w:t>Data Used for Periodical Review</w:t>
      </w:r>
      <w:r w:rsidRPr="00BF3F0E">
        <w:rPr>
          <w:sz w:val="32"/>
          <w:szCs w:val="32"/>
        </w:rPr>
        <w:cr/>
      </w:r>
      <w:r>
        <w:rPr>
          <w:sz w:val="32"/>
          <w:szCs w:val="32"/>
        </w:rPr>
        <w:t>Review deadline is the date a month before the date in 6.1.</w:t>
      </w:r>
    </w:p>
    <w:p w:rsidR="0021381C" w:rsidRDefault="0021381C" w:rsidP="0021381C">
      <w:pPr>
        <w:rPr>
          <w:sz w:val="32"/>
          <w:szCs w:val="32"/>
        </w:rPr>
      </w:pPr>
      <w:r>
        <w:rPr>
          <w:sz w:val="32"/>
          <w:szCs w:val="32"/>
        </w:rPr>
        <w:t>Review</w:t>
      </w:r>
      <w:r w:rsidRPr="00BF3F0E">
        <w:rPr>
          <w:sz w:val="32"/>
          <w:szCs w:val="32"/>
        </w:rPr>
        <w:t xml:space="preserve"> data includes trading data and financial data </w:t>
      </w:r>
      <w:r>
        <w:rPr>
          <w:sz w:val="32"/>
          <w:szCs w:val="32"/>
        </w:rPr>
        <w:t>in the previous three months of review deadline</w:t>
      </w:r>
      <w:r w:rsidRPr="00BF3F0E">
        <w:rPr>
          <w:sz w:val="32"/>
          <w:szCs w:val="32"/>
        </w:rPr>
        <w:t xml:space="preserve"> (</w:t>
      </w:r>
      <w:r>
        <w:rPr>
          <w:sz w:val="32"/>
          <w:szCs w:val="32"/>
        </w:rPr>
        <w:t>for</w:t>
      </w:r>
      <w:r w:rsidRPr="00BF3F0E">
        <w:rPr>
          <w:sz w:val="32"/>
          <w:szCs w:val="32"/>
        </w:rPr>
        <w:t xml:space="preserve"> </w:t>
      </w:r>
      <w:r>
        <w:rPr>
          <w:sz w:val="32"/>
          <w:szCs w:val="32"/>
        </w:rPr>
        <w:t>new listings</w:t>
      </w:r>
      <w:r w:rsidRPr="00BF3F0E">
        <w:rPr>
          <w:sz w:val="32"/>
          <w:szCs w:val="32"/>
        </w:rPr>
        <w:t>, data since its fourth trading day afte</w:t>
      </w:r>
      <w:r>
        <w:rPr>
          <w:sz w:val="32"/>
          <w:szCs w:val="32"/>
        </w:rPr>
        <w:t>r</w:t>
      </w:r>
      <w:r w:rsidRPr="00BF3F0E">
        <w:rPr>
          <w:sz w:val="32"/>
          <w:szCs w:val="32"/>
        </w:rPr>
        <w:t xml:space="preserve"> listing are</w:t>
      </w:r>
      <w:r>
        <w:rPr>
          <w:sz w:val="32"/>
          <w:szCs w:val="32"/>
        </w:rPr>
        <w:t xml:space="preserve"> </w:t>
      </w:r>
      <w:r w:rsidRPr="00BF3F0E">
        <w:rPr>
          <w:sz w:val="32"/>
          <w:szCs w:val="32"/>
        </w:rPr>
        <w:t>used).</w:t>
      </w:r>
    </w:p>
    <w:p w:rsidR="0021381C" w:rsidRPr="00BF3F0E" w:rsidRDefault="0021381C" w:rsidP="0021381C">
      <w:pPr>
        <w:rPr>
          <w:sz w:val="32"/>
          <w:szCs w:val="32"/>
        </w:rPr>
      </w:pPr>
      <w:r>
        <w:rPr>
          <w:sz w:val="32"/>
          <w:szCs w:val="32"/>
        </w:rPr>
        <w:t>Review data includes different transaction type in case of type change.</w:t>
      </w:r>
    </w:p>
    <w:p w:rsidR="0021381C" w:rsidRPr="00BF3F0E" w:rsidRDefault="0021381C" w:rsidP="0021381C">
      <w:pPr>
        <w:rPr>
          <w:sz w:val="32"/>
          <w:szCs w:val="32"/>
        </w:rPr>
      </w:pPr>
      <w:r>
        <w:rPr>
          <w:sz w:val="32"/>
          <w:szCs w:val="32"/>
        </w:rPr>
        <w:t>6.3 Long Suspension Stocks</w:t>
      </w:r>
      <w:r w:rsidRPr="00BF3F0E">
        <w:rPr>
          <w:sz w:val="32"/>
          <w:szCs w:val="32"/>
        </w:rPr>
        <w:cr/>
        <w:t xml:space="preserve">When reviewing constituents eligibility periodically ----for constituents stocks that have </w:t>
      </w:r>
      <w:r>
        <w:rPr>
          <w:sz w:val="32"/>
          <w:szCs w:val="32"/>
        </w:rPr>
        <w:t xml:space="preserve">already </w:t>
      </w:r>
      <w:r w:rsidRPr="00BF3F0E">
        <w:rPr>
          <w:sz w:val="32"/>
          <w:szCs w:val="32"/>
        </w:rPr>
        <w:t>been susp</w:t>
      </w:r>
      <w:r>
        <w:rPr>
          <w:sz w:val="32"/>
          <w:szCs w:val="32"/>
        </w:rPr>
        <w:t xml:space="preserve">ended and have </w:t>
      </w:r>
      <w:r>
        <w:rPr>
          <w:sz w:val="32"/>
          <w:szCs w:val="32"/>
        </w:rPr>
        <w:lastRenderedPageBreak/>
        <w:t>no resumed schedule will not be considered as candidates.</w:t>
      </w:r>
      <w:r w:rsidRPr="00BF3F0E">
        <w:rPr>
          <w:sz w:val="32"/>
          <w:szCs w:val="32"/>
        </w:rPr>
        <w:cr/>
      </w:r>
      <w:r>
        <w:rPr>
          <w:sz w:val="32"/>
          <w:szCs w:val="32"/>
        </w:rPr>
        <w:t>6.4 Adjustment of Weight Cap Factor</w:t>
      </w:r>
    </w:p>
    <w:p w:rsidR="0021381C" w:rsidRPr="00BF3F0E" w:rsidRDefault="0021381C" w:rsidP="0021381C">
      <w:pPr>
        <w:rPr>
          <w:sz w:val="32"/>
          <w:szCs w:val="32"/>
        </w:rPr>
      </w:pPr>
      <w:r>
        <w:rPr>
          <w:sz w:val="32"/>
          <w:szCs w:val="32"/>
        </w:rPr>
        <w:t>T</w:t>
      </w:r>
      <w:r>
        <w:rPr>
          <w:rFonts w:hint="eastAsia"/>
          <w:sz w:val="32"/>
          <w:szCs w:val="32"/>
        </w:rPr>
        <w:t xml:space="preserve">he </w:t>
      </w:r>
      <w:r>
        <w:rPr>
          <w:sz w:val="32"/>
          <w:szCs w:val="32"/>
        </w:rPr>
        <w:t>weight cap factors are adjusted every quarter as same as constituents review</w:t>
      </w:r>
      <w:r>
        <w:rPr>
          <w:rFonts w:hint="eastAsia"/>
          <w:sz w:val="32"/>
          <w:szCs w:val="32"/>
        </w:rPr>
        <w:t>.</w:t>
      </w:r>
      <w:r>
        <w:rPr>
          <w:sz w:val="32"/>
          <w:szCs w:val="32"/>
        </w:rPr>
        <w:t xml:space="preserve"> T</w:t>
      </w:r>
      <w:r>
        <w:rPr>
          <w:rFonts w:hint="eastAsia"/>
          <w:sz w:val="32"/>
          <w:szCs w:val="32"/>
        </w:rPr>
        <w:t xml:space="preserve">he </w:t>
      </w:r>
      <w:r>
        <w:rPr>
          <w:sz w:val="32"/>
          <w:szCs w:val="32"/>
        </w:rPr>
        <w:t>weight cap factors are calculated based on data of the fifth trading day before the effective day. NEEQ and CSI will temporarily adjust the weight cap factor when significant changes occur to constituents’ structure.</w:t>
      </w:r>
    </w:p>
    <w:p w:rsidR="0021381C" w:rsidRDefault="0021381C" w:rsidP="0021381C">
      <w:pPr>
        <w:rPr>
          <w:sz w:val="32"/>
          <w:szCs w:val="32"/>
        </w:rPr>
      </w:pPr>
    </w:p>
    <w:p w:rsidR="0021381C" w:rsidRDefault="0021381C" w:rsidP="0021381C">
      <w:pPr>
        <w:rPr>
          <w:sz w:val="32"/>
          <w:szCs w:val="32"/>
        </w:rPr>
      </w:pPr>
      <w:r w:rsidRPr="000E5C71">
        <w:rPr>
          <w:b/>
          <w:sz w:val="32"/>
          <w:szCs w:val="32"/>
        </w:rPr>
        <w:t>7. Temporary Adjustment of Constituents</w:t>
      </w:r>
      <w:r w:rsidRPr="000E5C71">
        <w:rPr>
          <w:b/>
          <w:sz w:val="32"/>
          <w:szCs w:val="32"/>
        </w:rPr>
        <w:cr/>
      </w:r>
      <w:r w:rsidRPr="00BF3F0E">
        <w:rPr>
          <w:sz w:val="32"/>
          <w:szCs w:val="32"/>
        </w:rPr>
        <w:t xml:space="preserve">Necessary ongoing adjustments are made when some corporate   events happened so as to maintain the representativeness and </w:t>
      </w:r>
      <w:proofErr w:type="spellStart"/>
      <w:r w:rsidRPr="00BF3F0E">
        <w:rPr>
          <w:sz w:val="32"/>
          <w:szCs w:val="32"/>
        </w:rPr>
        <w:t>invest</w:t>
      </w:r>
      <w:r>
        <w:rPr>
          <w:sz w:val="32"/>
          <w:szCs w:val="32"/>
        </w:rPr>
        <w:t>ability</w:t>
      </w:r>
      <w:proofErr w:type="spellEnd"/>
      <w:r>
        <w:rPr>
          <w:sz w:val="32"/>
          <w:szCs w:val="32"/>
        </w:rPr>
        <w:t xml:space="preserve"> of index.</w:t>
      </w:r>
      <w:r w:rsidRPr="00BF3F0E">
        <w:rPr>
          <w:sz w:val="32"/>
          <w:szCs w:val="32"/>
        </w:rPr>
        <w:cr/>
      </w:r>
      <w:r>
        <w:rPr>
          <w:sz w:val="32"/>
          <w:szCs w:val="32"/>
        </w:rPr>
        <w:t>7.1 Merger and Acquisition</w:t>
      </w:r>
      <w:r w:rsidRPr="00BF3F0E">
        <w:rPr>
          <w:sz w:val="32"/>
          <w:szCs w:val="32"/>
        </w:rPr>
        <w:cr/>
      </w:r>
      <w:r>
        <w:rPr>
          <w:sz w:val="32"/>
          <w:szCs w:val="32"/>
        </w:rPr>
        <w:t xml:space="preserve">Two </w:t>
      </w:r>
      <w:r w:rsidRPr="00BF3F0E">
        <w:rPr>
          <w:sz w:val="32"/>
          <w:szCs w:val="32"/>
        </w:rPr>
        <w:t>constituent companies merge: The stock of the resulting</w:t>
      </w:r>
      <w:r>
        <w:rPr>
          <w:sz w:val="32"/>
          <w:szCs w:val="32"/>
        </w:rPr>
        <w:t xml:space="preserve"> </w:t>
      </w:r>
      <w:r w:rsidRPr="00BF3F0E">
        <w:rPr>
          <w:sz w:val="32"/>
          <w:szCs w:val="32"/>
        </w:rPr>
        <w:t>new company will be added to the index</w:t>
      </w:r>
      <w:r>
        <w:rPr>
          <w:sz w:val="32"/>
          <w:szCs w:val="32"/>
        </w:rPr>
        <w:t xml:space="preserve"> only if it is qualified</w:t>
      </w:r>
      <w:r w:rsidRPr="00BF3F0E">
        <w:rPr>
          <w:sz w:val="32"/>
          <w:szCs w:val="32"/>
        </w:rPr>
        <w:t xml:space="preserve">. </w:t>
      </w:r>
      <w:r w:rsidRPr="00BF3F0E">
        <w:rPr>
          <w:sz w:val="32"/>
          <w:szCs w:val="32"/>
        </w:rPr>
        <w:cr/>
        <w:t>One constituent company and one non-constituent company merge: The stock of the resulting new company will be added to the index</w:t>
      </w:r>
      <w:r>
        <w:rPr>
          <w:sz w:val="32"/>
          <w:szCs w:val="32"/>
        </w:rPr>
        <w:t xml:space="preserve"> only if it is qualified.</w:t>
      </w:r>
      <w:r w:rsidRPr="00BF3F0E">
        <w:rPr>
          <w:sz w:val="32"/>
          <w:szCs w:val="32"/>
        </w:rPr>
        <w:cr/>
        <w:t xml:space="preserve">One non-constituent company purchases or takes over one constituent company: If the stock of the resulting new company </w:t>
      </w:r>
      <w:r>
        <w:rPr>
          <w:sz w:val="32"/>
          <w:szCs w:val="32"/>
        </w:rPr>
        <w:t>is qualified</w:t>
      </w:r>
      <w:r w:rsidRPr="00BF3F0E">
        <w:rPr>
          <w:sz w:val="32"/>
          <w:szCs w:val="32"/>
        </w:rPr>
        <w:t xml:space="preserve">, the new stock will be </w:t>
      </w:r>
      <w:r>
        <w:rPr>
          <w:sz w:val="32"/>
          <w:szCs w:val="32"/>
        </w:rPr>
        <w:t>added to the index.</w:t>
      </w:r>
      <w:r w:rsidRPr="00BF3F0E">
        <w:rPr>
          <w:sz w:val="32"/>
          <w:szCs w:val="32"/>
        </w:rPr>
        <w:t xml:space="preserve"> Otherwise, these corporate events are considered at</w:t>
      </w:r>
      <w:r>
        <w:rPr>
          <w:sz w:val="32"/>
          <w:szCs w:val="32"/>
        </w:rPr>
        <w:t xml:space="preserve"> constituents’</w:t>
      </w:r>
      <w:r w:rsidRPr="00BF3F0E">
        <w:rPr>
          <w:sz w:val="32"/>
          <w:szCs w:val="32"/>
        </w:rPr>
        <w:t xml:space="preserve"> </w:t>
      </w:r>
      <w:r>
        <w:rPr>
          <w:sz w:val="32"/>
          <w:szCs w:val="32"/>
        </w:rPr>
        <w:t xml:space="preserve">periodical </w:t>
      </w:r>
      <w:r>
        <w:rPr>
          <w:sz w:val="32"/>
          <w:szCs w:val="32"/>
        </w:rPr>
        <w:lastRenderedPageBreak/>
        <w:t>review.</w:t>
      </w:r>
      <w:r w:rsidRPr="00BF3F0E">
        <w:rPr>
          <w:sz w:val="32"/>
          <w:szCs w:val="32"/>
        </w:rPr>
        <w:cr/>
      </w:r>
      <w:r>
        <w:rPr>
          <w:sz w:val="32"/>
          <w:szCs w:val="32"/>
        </w:rPr>
        <w:t>7.2 Spin-off</w:t>
      </w:r>
      <w:r w:rsidRPr="00BF3F0E">
        <w:rPr>
          <w:sz w:val="32"/>
          <w:szCs w:val="32"/>
        </w:rPr>
        <w:cr/>
        <w:t xml:space="preserve">If one constituent company is split so as to form two or more companies, then whether the resulting companies is eligible for inclusion or not </w:t>
      </w:r>
      <w:r>
        <w:rPr>
          <w:sz w:val="32"/>
          <w:szCs w:val="32"/>
        </w:rPr>
        <w:t>depends on their rankings.</w:t>
      </w:r>
      <w:r w:rsidRPr="00BF3F0E">
        <w:rPr>
          <w:sz w:val="32"/>
          <w:szCs w:val="32"/>
        </w:rPr>
        <w:cr/>
      </w:r>
      <w:r>
        <w:rPr>
          <w:sz w:val="32"/>
          <w:szCs w:val="32"/>
        </w:rPr>
        <w:t>7.3</w:t>
      </w:r>
      <w:r w:rsidRPr="00BF3F0E">
        <w:rPr>
          <w:sz w:val="32"/>
          <w:szCs w:val="32"/>
        </w:rPr>
        <w:t xml:space="preserve"> </w:t>
      </w:r>
      <w:r>
        <w:rPr>
          <w:sz w:val="32"/>
          <w:szCs w:val="32"/>
        </w:rPr>
        <w:t>Delisting</w:t>
      </w:r>
      <w:r w:rsidRPr="00BF3F0E">
        <w:rPr>
          <w:sz w:val="32"/>
          <w:szCs w:val="32"/>
        </w:rPr>
        <w:cr/>
        <w:t>If a constituent company is delisted, it will be removed from</w:t>
      </w:r>
      <w:r>
        <w:rPr>
          <w:sz w:val="32"/>
          <w:szCs w:val="32"/>
        </w:rPr>
        <w:t xml:space="preserve"> </w:t>
      </w:r>
      <w:r w:rsidRPr="00BF3F0E">
        <w:rPr>
          <w:sz w:val="32"/>
          <w:szCs w:val="32"/>
        </w:rPr>
        <w:t>the</w:t>
      </w:r>
      <w:r>
        <w:rPr>
          <w:sz w:val="32"/>
          <w:szCs w:val="32"/>
        </w:rPr>
        <w:t xml:space="preserve"> </w:t>
      </w:r>
      <w:r w:rsidRPr="00BF3F0E">
        <w:rPr>
          <w:sz w:val="32"/>
          <w:szCs w:val="32"/>
        </w:rPr>
        <w:t>index</w:t>
      </w:r>
      <w:r>
        <w:rPr>
          <w:sz w:val="32"/>
          <w:szCs w:val="32"/>
        </w:rPr>
        <w:t>.</w:t>
      </w:r>
    </w:p>
    <w:p w:rsidR="0021381C" w:rsidRPr="00BF3F0E" w:rsidRDefault="0021381C" w:rsidP="0021381C">
      <w:pPr>
        <w:rPr>
          <w:sz w:val="32"/>
          <w:szCs w:val="32"/>
        </w:rPr>
      </w:pPr>
      <w:r>
        <w:rPr>
          <w:sz w:val="32"/>
          <w:szCs w:val="32"/>
        </w:rPr>
        <w:t>7.4 Bankruptcy</w:t>
      </w:r>
      <w:r w:rsidRPr="00BF3F0E">
        <w:rPr>
          <w:sz w:val="32"/>
          <w:szCs w:val="32"/>
        </w:rPr>
        <w:cr/>
        <w:t>If a constituent company enters bankruptcy proceedings, it will be removed</w:t>
      </w:r>
      <w:r>
        <w:rPr>
          <w:sz w:val="32"/>
          <w:szCs w:val="32"/>
        </w:rPr>
        <w:t xml:space="preserve"> from the index.</w:t>
      </w:r>
    </w:p>
    <w:p w:rsidR="0021381C" w:rsidRPr="003B26F9" w:rsidRDefault="0021381C" w:rsidP="0021381C">
      <w:pPr>
        <w:rPr>
          <w:sz w:val="32"/>
          <w:szCs w:val="32"/>
        </w:rPr>
      </w:pPr>
    </w:p>
    <w:p w:rsidR="0021381C" w:rsidRPr="00BF3F0E" w:rsidRDefault="0021381C" w:rsidP="0021381C">
      <w:pPr>
        <w:rPr>
          <w:sz w:val="32"/>
          <w:szCs w:val="32"/>
        </w:rPr>
      </w:pPr>
      <w:r w:rsidRPr="00836350">
        <w:rPr>
          <w:b/>
          <w:sz w:val="32"/>
          <w:szCs w:val="32"/>
        </w:rPr>
        <w:t>8. Maintenance of Constituents Shares</w:t>
      </w:r>
      <w:r w:rsidRPr="00BF3F0E">
        <w:rPr>
          <w:sz w:val="32"/>
          <w:szCs w:val="32"/>
        </w:rPr>
        <w:cr/>
        <w:t xml:space="preserve">To ensure that </w:t>
      </w:r>
      <w:r w:rsidR="00D76F80">
        <w:rPr>
          <w:sz w:val="32"/>
          <w:szCs w:val="32"/>
        </w:rPr>
        <w:t>NEEQ Market Making</w:t>
      </w:r>
      <w:r w:rsidRPr="00BF3F0E">
        <w:rPr>
          <w:sz w:val="32"/>
          <w:szCs w:val="32"/>
        </w:rPr>
        <w:t xml:space="preserve"> can reflect trading information of related stocks, </w:t>
      </w:r>
      <w:r>
        <w:rPr>
          <w:sz w:val="32"/>
          <w:szCs w:val="32"/>
        </w:rPr>
        <w:t xml:space="preserve">NEEQ and </w:t>
      </w:r>
      <w:r w:rsidRPr="00BF3F0E">
        <w:rPr>
          <w:sz w:val="32"/>
          <w:szCs w:val="32"/>
        </w:rPr>
        <w:t>CSI maintains constituents shares based o</w:t>
      </w:r>
      <w:r>
        <w:rPr>
          <w:sz w:val="32"/>
          <w:szCs w:val="32"/>
        </w:rPr>
        <w:t>n the following rules:</w:t>
      </w:r>
      <w:r w:rsidRPr="00BF3F0E">
        <w:rPr>
          <w:sz w:val="32"/>
          <w:szCs w:val="32"/>
        </w:rPr>
        <w:cr/>
      </w:r>
      <w:r>
        <w:rPr>
          <w:sz w:val="32"/>
          <w:szCs w:val="32"/>
        </w:rPr>
        <w:t xml:space="preserve">NEEQ and </w:t>
      </w:r>
      <w:r w:rsidRPr="00BF3F0E">
        <w:rPr>
          <w:sz w:val="32"/>
          <w:szCs w:val="32"/>
        </w:rPr>
        <w:t>CSI maintains constituents shares b</w:t>
      </w:r>
      <w:r>
        <w:rPr>
          <w:sz w:val="32"/>
          <w:szCs w:val="32"/>
        </w:rPr>
        <w:t>ased on announcements of listed companies.</w:t>
      </w:r>
      <w:r w:rsidRPr="00BF3F0E">
        <w:rPr>
          <w:sz w:val="32"/>
          <w:szCs w:val="32"/>
        </w:rPr>
        <w:cr/>
        <w:t xml:space="preserve">Temporary Adjustment or Regular Review according to the types of </w:t>
      </w:r>
      <w:r>
        <w:rPr>
          <w:sz w:val="32"/>
          <w:szCs w:val="32"/>
        </w:rPr>
        <w:t>corporate events.</w:t>
      </w:r>
    </w:p>
    <w:p w:rsidR="0021381C" w:rsidRDefault="0021381C" w:rsidP="0021381C">
      <w:pPr>
        <w:rPr>
          <w:sz w:val="32"/>
          <w:szCs w:val="32"/>
        </w:rPr>
      </w:pPr>
      <w:r w:rsidRPr="00BF3F0E">
        <w:rPr>
          <w:sz w:val="32"/>
          <w:szCs w:val="32"/>
        </w:rPr>
        <w:t>I</w:t>
      </w:r>
      <w:r>
        <w:rPr>
          <w:sz w:val="32"/>
          <w:szCs w:val="32"/>
        </w:rPr>
        <w:t>f the bonus issue, rights issue</w:t>
      </w:r>
      <w:r w:rsidRPr="00BF3F0E">
        <w:rPr>
          <w:sz w:val="32"/>
          <w:szCs w:val="32"/>
        </w:rPr>
        <w:t>, stock split and stock consolidation lead to constituents shares change, the</w:t>
      </w:r>
      <w:r>
        <w:rPr>
          <w:sz w:val="32"/>
          <w:szCs w:val="32"/>
        </w:rPr>
        <w:t xml:space="preserve"> </w:t>
      </w:r>
      <w:r w:rsidRPr="00BF3F0E">
        <w:rPr>
          <w:sz w:val="32"/>
          <w:szCs w:val="32"/>
        </w:rPr>
        <w:t xml:space="preserve">adjustment will be </w:t>
      </w:r>
      <w:r w:rsidRPr="00BF3F0E">
        <w:rPr>
          <w:sz w:val="32"/>
          <w:szCs w:val="32"/>
        </w:rPr>
        <w:lastRenderedPageBreak/>
        <w:t>i</w:t>
      </w:r>
      <w:r>
        <w:rPr>
          <w:sz w:val="32"/>
          <w:szCs w:val="32"/>
        </w:rPr>
        <w:t>mplemented on the ex-right day.</w:t>
      </w:r>
      <w:r w:rsidRPr="00BF3F0E">
        <w:rPr>
          <w:sz w:val="32"/>
          <w:szCs w:val="32"/>
        </w:rPr>
        <w:cr/>
        <w:t>For other corporation events, such as second offering and</w:t>
      </w:r>
      <w:r>
        <w:rPr>
          <w:sz w:val="32"/>
          <w:szCs w:val="32"/>
        </w:rPr>
        <w:t xml:space="preserve"> </w:t>
      </w:r>
      <w:r w:rsidRPr="00BF3F0E">
        <w:rPr>
          <w:sz w:val="32"/>
          <w:szCs w:val="32"/>
        </w:rPr>
        <w:t>exercise of warrants, if the accumulated change of</w:t>
      </w:r>
      <w:r>
        <w:rPr>
          <w:sz w:val="32"/>
          <w:szCs w:val="32"/>
        </w:rPr>
        <w:t xml:space="preserve"> </w:t>
      </w:r>
      <w:proofErr w:type="gramStart"/>
      <w:r>
        <w:rPr>
          <w:sz w:val="32"/>
          <w:szCs w:val="32"/>
        </w:rPr>
        <w:t>constituents</w:t>
      </w:r>
      <w:proofErr w:type="gramEnd"/>
      <w:r>
        <w:rPr>
          <w:sz w:val="32"/>
          <w:szCs w:val="32"/>
        </w:rPr>
        <w:t xml:space="preserve"> </w:t>
      </w:r>
      <w:r w:rsidRPr="00BF3F0E">
        <w:rPr>
          <w:sz w:val="32"/>
          <w:szCs w:val="32"/>
        </w:rPr>
        <w:t xml:space="preserve">shares is more than 5%, the adjustment will be implemented immediately. If the accumulated change of </w:t>
      </w:r>
      <w:proofErr w:type="gramStart"/>
      <w:r w:rsidRPr="00BF3F0E">
        <w:rPr>
          <w:sz w:val="32"/>
          <w:szCs w:val="32"/>
        </w:rPr>
        <w:t>constituents</w:t>
      </w:r>
      <w:proofErr w:type="gramEnd"/>
      <w:r w:rsidRPr="00BF3F0E">
        <w:rPr>
          <w:sz w:val="32"/>
          <w:szCs w:val="32"/>
        </w:rPr>
        <w:t xml:space="preserve"> shares is less than 5%, the adjustment will be implemented in the next r</w:t>
      </w:r>
      <w:r>
        <w:rPr>
          <w:sz w:val="32"/>
          <w:szCs w:val="32"/>
        </w:rPr>
        <w:t>egular review.</w:t>
      </w:r>
      <w:r w:rsidRPr="00BF3F0E">
        <w:rPr>
          <w:sz w:val="32"/>
          <w:szCs w:val="32"/>
        </w:rPr>
        <w:cr/>
        <w:t>Usually, the effective date of shares adjustment is consistent with that of indicated in the announcement of listed companies which make the shares change larger than 5%.</w:t>
      </w:r>
      <w:r>
        <w:rPr>
          <w:sz w:val="32"/>
          <w:szCs w:val="32"/>
        </w:rPr>
        <w:t xml:space="preserve"> </w:t>
      </w:r>
      <w:r w:rsidRPr="00BF3F0E">
        <w:rPr>
          <w:sz w:val="32"/>
          <w:szCs w:val="32"/>
        </w:rPr>
        <w:t>If the</w:t>
      </w:r>
      <w:r>
        <w:rPr>
          <w:sz w:val="32"/>
          <w:szCs w:val="32"/>
        </w:rPr>
        <w:t xml:space="preserve"> </w:t>
      </w:r>
      <w:r w:rsidRPr="00BF3F0E">
        <w:rPr>
          <w:sz w:val="32"/>
          <w:szCs w:val="32"/>
        </w:rPr>
        <w:t>announcement</w:t>
      </w:r>
      <w:r>
        <w:rPr>
          <w:sz w:val="32"/>
          <w:szCs w:val="32"/>
        </w:rPr>
        <w:t xml:space="preserve"> date of</w:t>
      </w:r>
      <w:r w:rsidRPr="00BF3F0E">
        <w:rPr>
          <w:sz w:val="32"/>
          <w:szCs w:val="32"/>
        </w:rPr>
        <w:t xml:space="preserve"> listed companies is later than the effective date, then the effective date of shares adjustment</w:t>
      </w:r>
      <w:r>
        <w:rPr>
          <w:sz w:val="32"/>
          <w:szCs w:val="32"/>
        </w:rPr>
        <w:t xml:space="preserve"> </w:t>
      </w:r>
      <w:r w:rsidRPr="00BF3F0E">
        <w:rPr>
          <w:sz w:val="32"/>
          <w:szCs w:val="32"/>
        </w:rPr>
        <w:t>is</w:t>
      </w:r>
      <w:r>
        <w:rPr>
          <w:sz w:val="32"/>
          <w:szCs w:val="32"/>
        </w:rPr>
        <w:t xml:space="preserve"> </w:t>
      </w:r>
      <w:r w:rsidRPr="00BF3F0E">
        <w:rPr>
          <w:sz w:val="32"/>
          <w:szCs w:val="32"/>
        </w:rPr>
        <w:t>the</w:t>
      </w:r>
      <w:r>
        <w:rPr>
          <w:sz w:val="32"/>
          <w:szCs w:val="32"/>
        </w:rPr>
        <w:t xml:space="preserve"> </w:t>
      </w:r>
      <w:r w:rsidRPr="00BF3F0E">
        <w:rPr>
          <w:sz w:val="32"/>
          <w:szCs w:val="32"/>
        </w:rPr>
        <w:t>trading day after the announcement date.</w:t>
      </w:r>
      <w:r>
        <w:rPr>
          <w:sz w:val="32"/>
          <w:szCs w:val="32"/>
        </w:rPr>
        <w:t xml:space="preserve"> NEEQ and </w:t>
      </w:r>
      <w:r w:rsidRPr="00BF3F0E">
        <w:rPr>
          <w:sz w:val="32"/>
          <w:szCs w:val="32"/>
        </w:rPr>
        <w:t xml:space="preserve">CSI would provide notice in the CA files after the market close of the day when we find out 5% threshold is breached. </w:t>
      </w:r>
      <w:r w:rsidRPr="00BF3F0E">
        <w:rPr>
          <w:sz w:val="32"/>
          <w:szCs w:val="32"/>
        </w:rPr>
        <w:cr/>
      </w:r>
    </w:p>
    <w:p w:rsidR="0021381C" w:rsidRDefault="0021381C" w:rsidP="0021381C">
      <w:pPr>
        <w:rPr>
          <w:sz w:val="32"/>
          <w:szCs w:val="32"/>
        </w:rPr>
      </w:pPr>
      <w:r w:rsidRPr="00800941">
        <w:rPr>
          <w:b/>
          <w:sz w:val="32"/>
          <w:szCs w:val="32"/>
        </w:rPr>
        <w:t>9. Information Distribution</w:t>
      </w:r>
      <w:r w:rsidRPr="00800941">
        <w:rPr>
          <w:b/>
          <w:sz w:val="32"/>
          <w:szCs w:val="32"/>
        </w:rPr>
        <w:cr/>
      </w:r>
      <w:r>
        <w:rPr>
          <w:sz w:val="32"/>
          <w:szCs w:val="32"/>
        </w:rPr>
        <w:t>NEEQ and CSI has established restrict information distribution rules to ensure the objectivity, neutrality and authority of NEEQ index:</w:t>
      </w:r>
    </w:p>
    <w:p w:rsidR="0021381C" w:rsidRDefault="0021381C" w:rsidP="0021381C">
      <w:pPr>
        <w:rPr>
          <w:sz w:val="32"/>
          <w:szCs w:val="32"/>
        </w:rPr>
      </w:pPr>
      <w:r>
        <w:rPr>
          <w:sz w:val="32"/>
          <w:szCs w:val="32"/>
        </w:rPr>
        <w:t>Don’t</w:t>
      </w:r>
      <w:r>
        <w:rPr>
          <w:rFonts w:hint="eastAsia"/>
          <w:sz w:val="32"/>
          <w:szCs w:val="32"/>
        </w:rPr>
        <w:t xml:space="preserve"> </w:t>
      </w:r>
      <w:r>
        <w:rPr>
          <w:sz w:val="32"/>
          <w:szCs w:val="32"/>
        </w:rPr>
        <w:t>release any relative information to public until official distribution;</w:t>
      </w:r>
    </w:p>
    <w:p w:rsidR="0021381C" w:rsidRDefault="0021381C" w:rsidP="0021381C">
      <w:pPr>
        <w:rPr>
          <w:sz w:val="32"/>
          <w:szCs w:val="32"/>
        </w:rPr>
      </w:pPr>
      <w:r>
        <w:rPr>
          <w:sz w:val="32"/>
          <w:szCs w:val="32"/>
        </w:rPr>
        <w:lastRenderedPageBreak/>
        <w:t>Don’t be interviewed privately;</w:t>
      </w:r>
    </w:p>
    <w:p w:rsidR="0021381C" w:rsidRDefault="0021381C" w:rsidP="0021381C">
      <w:pPr>
        <w:rPr>
          <w:sz w:val="32"/>
          <w:szCs w:val="32"/>
        </w:rPr>
      </w:pPr>
      <w:r>
        <w:rPr>
          <w:sz w:val="32"/>
          <w:szCs w:val="32"/>
        </w:rPr>
        <w:t>Published daily through the internet at NEEQ and CSI’s official website.</w:t>
      </w:r>
    </w:p>
    <w:p w:rsidR="0021381C" w:rsidRPr="00BF3F0E" w:rsidRDefault="0021381C" w:rsidP="0021381C">
      <w:pPr>
        <w:rPr>
          <w:sz w:val="32"/>
          <w:szCs w:val="32"/>
        </w:rPr>
      </w:pPr>
      <w:r>
        <w:rPr>
          <w:sz w:val="32"/>
          <w:szCs w:val="32"/>
        </w:rPr>
        <w:t>Usually, t</w:t>
      </w:r>
      <w:r>
        <w:rPr>
          <w:rFonts w:hint="eastAsia"/>
          <w:sz w:val="32"/>
          <w:szCs w:val="32"/>
        </w:rPr>
        <w:t xml:space="preserve">he </w:t>
      </w:r>
      <w:r>
        <w:rPr>
          <w:sz w:val="32"/>
          <w:szCs w:val="32"/>
        </w:rPr>
        <w:t>results of constituents periodical review are disseminated a week before effective date; temporary adjustment of constituents are disseminated as early as possible; significant adjustment of index methodology and maintenance are disseminated two weeks before effective date.</w:t>
      </w:r>
    </w:p>
    <w:p w:rsidR="0021381C" w:rsidRDefault="0021381C"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Default="00044F2F" w:rsidP="0021381C">
      <w:pPr>
        <w:rPr>
          <w:sz w:val="32"/>
          <w:szCs w:val="32"/>
        </w:rPr>
      </w:pPr>
    </w:p>
    <w:p w:rsidR="00044F2F" w:rsidRPr="00BF3F0E" w:rsidRDefault="00044F2F" w:rsidP="0021381C">
      <w:pPr>
        <w:rPr>
          <w:rFonts w:hint="eastAsia"/>
          <w:sz w:val="32"/>
          <w:szCs w:val="32"/>
        </w:rPr>
      </w:pPr>
    </w:p>
    <w:p w:rsidR="0021381C" w:rsidRPr="00BF3F0E" w:rsidRDefault="0021381C" w:rsidP="0021381C">
      <w:pPr>
        <w:rPr>
          <w:sz w:val="32"/>
          <w:szCs w:val="32"/>
        </w:rPr>
      </w:pPr>
      <w:r w:rsidRPr="00F755FB">
        <w:rPr>
          <w:b/>
          <w:sz w:val="32"/>
          <w:szCs w:val="32"/>
        </w:rPr>
        <w:lastRenderedPageBreak/>
        <w:t>Appendix A: Definition</w:t>
      </w:r>
      <w:r w:rsidRPr="00BF3F0E">
        <w:rPr>
          <w:sz w:val="32"/>
          <w:szCs w:val="32"/>
        </w:rPr>
        <w:cr/>
        <w:t xml:space="preserve">1. </w:t>
      </w:r>
      <w:r>
        <w:rPr>
          <w:sz w:val="32"/>
          <w:szCs w:val="32"/>
        </w:rPr>
        <w:t>NEEQ</w:t>
      </w:r>
      <w:r w:rsidRPr="00BF3F0E">
        <w:rPr>
          <w:sz w:val="32"/>
          <w:szCs w:val="32"/>
        </w:rPr>
        <w:t>–</w:t>
      </w:r>
      <w:r>
        <w:rPr>
          <w:sz w:val="32"/>
          <w:szCs w:val="32"/>
        </w:rPr>
        <w:t xml:space="preserve"> </w:t>
      </w:r>
      <w:r w:rsidRPr="00F755FB">
        <w:rPr>
          <w:sz w:val="32"/>
          <w:szCs w:val="32"/>
        </w:rPr>
        <w:t>National Equities Exchange and Quotations</w:t>
      </w:r>
      <w:r>
        <w:rPr>
          <w:sz w:val="32"/>
          <w:szCs w:val="32"/>
        </w:rPr>
        <w:t>.</w:t>
      </w:r>
      <w:r w:rsidRPr="00BF3F0E">
        <w:rPr>
          <w:sz w:val="32"/>
          <w:szCs w:val="32"/>
        </w:rPr>
        <w:cr/>
      </w:r>
      <w:r>
        <w:rPr>
          <w:sz w:val="32"/>
          <w:szCs w:val="32"/>
        </w:rPr>
        <w:t>2</w:t>
      </w:r>
      <w:r w:rsidRPr="00BF3F0E">
        <w:rPr>
          <w:sz w:val="32"/>
          <w:szCs w:val="32"/>
        </w:rPr>
        <w:t>. ST stocks –ST stocks refer to stocks that ar</w:t>
      </w:r>
      <w:r>
        <w:rPr>
          <w:sz w:val="32"/>
          <w:szCs w:val="32"/>
        </w:rPr>
        <w:t>e special treated by regulators.</w:t>
      </w:r>
    </w:p>
    <w:p w:rsidR="0021381C" w:rsidRPr="00BF3F0E" w:rsidRDefault="0021381C" w:rsidP="0021381C">
      <w:pPr>
        <w:rPr>
          <w:sz w:val="32"/>
          <w:szCs w:val="32"/>
        </w:rPr>
      </w:pPr>
      <w:r>
        <w:rPr>
          <w:sz w:val="32"/>
          <w:szCs w:val="32"/>
        </w:rPr>
        <w:t>3</w:t>
      </w:r>
      <w:r w:rsidRPr="00BF3F0E">
        <w:rPr>
          <w:sz w:val="32"/>
          <w:szCs w:val="32"/>
        </w:rPr>
        <w:t xml:space="preserve">. Adjusted price of ex-dividend and ex-right–The reference price issued by the exchanges on the ex-right (dividend) day which is used to remind investors that the internal value of the stocks have been diluted due to dividend or rights </w:t>
      </w:r>
      <w:r>
        <w:rPr>
          <w:sz w:val="32"/>
          <w:szCs w:val="32"/>
        </w:rPr>
        <w:t>offering.</w:t>
      </w:r>
      <w:r w:rsidRPr="00BF3F0E">
        <w:rPr>
          <w:sz w:val="32"/>
          <w:szCs w:val="32"/>
        </w:rPr>
        <w:cr/>
      </w:r>
      <w:r>
        <w:rPr>
          <w:sz w:val="32"/>
          <w:szCs w:val="32"/>
        </w:rPr>
        <w:t>a) Dividend</w:t>
      </w:r>
      <w:r w:rsidRPr="00BF3F0E">
        <w:rPr>
          <w:sz w:val="32"/>
          <w:szCs w:val="32"/>
        </w:rPr>
        <w:cr/>
      </w:r>
      <w:r w:rsidRPr="00BF3F0E">
        <w:rPr>
          <w:rFonts w:hint="eastAsia"/>
          <w:sz w:val="32"/>
          <w:szCs w:val="32"/>
        </w:rPr>
        <w:t>Ex-dividend price=Closing price before ex-dividend</w:t>
      </w:r>
      <w:r>
        <w:rPr>
          <w:rFonts w:hint="eastAsia"/>
          <w:sz w:val="32"/>
          <w:szCs w:val="32"/>
        </w:rPr>
        <w:t xml:space="preserve"> day</w:t>
      </w:r>
      <w:r w:rsidRPr="00BF3F0E">
        <w:rPr>
          <w:rFonts w:hint="eastAsia"/>
          <w:sz w:val="32"/>
          <w:szCs w:val="32"/>
        </w:rPr>
        <w:t>－</w:t>
      </w:r>
      <w:r w:rsidRPr="00BF3F0E">
        <w:rPr>
          <w:rFonts w:hint="eastAsia"/>
          <w:sz w:val="32"/>
          <w:szCs w:val="32"/>
        </w:rPr>
        <w:t xml:space="preserve">Dividend </w:t>
      </w:r>
      <w:r>
        <w:rPr>
          <w:sz w:val="32"/>
          <w:szCs w:val="32"/>
        </w:rPr>
        <w:t>per share</w:t>
      </w:r>
    </w:p>
    <w:p w:rsidR="0021381C" w:rsidRPr="00BF3F0E" w:rsidRDefault="0021381C" w:rsidP="0021381C">
      <w:pPr>
        <w:rPr>
          <w:sz w:val="32"/>
          <w:szCs w:val="32"/>
        </w:rPr>
      </w:pPr>
      <w:r w:rsidRPr="00BF3F0E">
        <w:rPr>
          <w:sz w:val="32"/>
          <w:szCs w:val="32"/>
        </w:rPr>
        <w:t>b</w:t>
      </w:r>
      <w:r>
        <w:rPr>
          <w:sz w:val="32"/>
          <w:szCs w:val="32"/>
        </w:rPr>
        <w:t>) Bonus issue</w:t>
      </w:r>
    </w:p>
    <w:p w:rsidR="0021381C" w:rsidRPr="00BF3F0E" w:rsidRDefault="0021381C" w:rsidP="0021381C">
      <w:pPr>
        <w:rPr>
          <w:sz w:val="32"/>
          <w:szCs w:val="32"/>
        </w:rPr>
      </w:pPr>
      <w:r w:rsidRPr="00BF3F0E">
        <w:rPr>
          <w:sz w:val="32"/>
          <w:szCs w:val="32"/>
        </w:rPr>
        <w:t>Closing price before ex-bonus day</w:t>
      </w:r>
      <w:r>
        <w:rPr>
          <w:sz w:val="32"/>
          <w:szCs w:val="32"/>
        </w:rPr>
        <w:t>=</w:t>
      </w:r>
      <w:r w:rsidRPr="00BF3F0E">
        <w:rPr>
          <w:sz w:val="32"/>
          <w:szCs w:val="32"/>
        </w:rPr>
        <w:t>Ex-right price</w:t>
      </w:r>
      <w:r>
        <w:rPr>
          <w:sz w:val="32"/>
          <w:szCs w:val="32"/>
        </w:rPr>
        <w:t>/ (1+Bonus issue ratio)</w:t>
      </w:r>
    </w:p>
    <w:p w:rsidR="0021381C" w:rsidRDefault="0021381C" w:rsidP="0021381C">
      <w:pPr>
        <w:rPr>
          <w:sz w:val="32"/>
          <w:szCs w:val="32"/>
        </w:rPr>
      </w:pPr>
      <w:r w:rsidRPr="00BF3F0E">
        <w:rPr>
          <w:sz w:val="32"/>
          <w:szCs w:val="32"/>
        </w:rPr>
        <w:t>c</w:t>
      </w:r>
      <w:r>
        <w:rPr>
          <w:sz w:val="32"/>
          <w:szCs w:val="32"/>
        </w:rPr>
        <w:t>) Rights issue</w:t>
      </w:r>
      <w:r w:rsidRPr="00BF3F0E">
        <w:rPr>
          <w:sz w:val="32"/>
          <w:szCs w:val="32"/>
        </w:rPr>
        <w:cr/>
        <w:t>Ex-right price</w:t>
      </w:r>
      <w:r>
        <w:rPr>
          <w:sz w:val="32"/>
          <w:szCs w:val="32"/>
        </w:rPr>
        <w:t>= (</w:t>
      </w:r>
      <w:r w:rsidRPr="00BF3F0E">
        <w:rPr>
          <w:sz w:val="32"/>
          <w:szCs w:val="32"/>
        </w:rPr>
        <w:t>Closing price before ex-right day</w:t>
      </w:r>
      <w:r>
        <w:rPr>
          <w:sz w:val="32"/>
          <w:szCs w:val="32"/>
        </w:rPr>
        <w:t xml:space="preserve"> +</w:t>
      </w:r>
      <w:r w:rsidRPr="00BF3F0E">
        <w:rPr>
          <w:sz w:val="32"/>
          <w:szCs w:val="32"/>
        </w:rPr>
        <w:t>Righ</w:t>
      </w:r>
      <w:r>
        <w:rPr>
          <w:sz w:val="32"/>
          <w:szCs w:val="32"/>
        </w:rPr>
        <w:t>t issue price right issue ratio)/ (</w:t>
      </w:r>
      <w:r w:rsidRPr="00BF3F0E">
        <w:rPr>
          <w:sz w:val="32"/>
          <w:szCs w:val="32"/>
        </w:rPr>
        <w:t>1</w:t>
      </w:r>
      <w:r>
        <w:rPr>
          <w:sz w:val="32"/>
          <w:szCs w:val="32"/>
        </w:rPr>
        <w:t>+Right issue ratio)</w:t>
      </w:r>
      <w:r w:rsidRPr="00BF3F0E">
        <w:rPr>
          <w:sz w:val="32"/>
          <w:szCs w:val="32"/>
        </w:rPr>
        <w:cr/>
      </w:r>
    </w:p>
    <w:p w:rsidR="0021381C" w:rsidRPr="00B730D4" w:rsidRDefault="0021381C" w:rsidP="0021381C">
      <w:pPr>
        <w:rPr>
          <w:sz w:val="32"/>
          <w:szCs w:val="32"/>
        </w:rPr>
      </w:pPr>
    </w:p>
    <w:p w:rsidR="0021381C" w:rsidRDefault="0021381C" w:rsidP="0021381C">
      <w:pPr>
        <w:rPr>
          <w:sz w:val="32"/>
          <w:szCs w:val="32"/>
        </w:rPr>
      </w:pPr>
    </w:p>
    <w:p w:rsidR="0021381C" w:rsidRDefault="0021381C" w:rsidP="0021381C">
      <w:pPr>
        <w:rPr>
          <w:sz w:val="32"/>
          <w:szCs w:val="32"/>
        </w:rPr>
      </w:pPr>
    </w:p>
    <w:p w:rsidR="0021381C" w:rsidRPr="00BF3F0E" w:rsidRDefault="0021381C" w:rsidP="0021381C">
      <w:pPr>
        <w:rPr>
          <w:sz w:val="32"/>
          <w:szCs w:val="32"/>
        </w:rPr>
      </w:pPr>
    </w:p>
    <w:p w:rsidR="0021381C" w:rsidRPr="00522038" w:rsidRDefault="0021381C" w:rsidP="0021381C">
      <w:pPr>
        <w:rPr>
          <w:b/>
          <w:sz w:val="32"/>
          <w:szCs w:val="32"/>
        </w:rPr>
      </w:pPr>
      <w:r w:rsidRPr="00522038">
        <w:rPr>
          <w:rFonts w:hint="eastAsia"/>
          <w:b/>
          <w:sz w:val="32"/>
          <w:szCs w:val="32"/>
        </w:rPr>
        <w:lastRenderedPageBreak/>
        <w:t>Appendix B</w:t>
      </w:r>
      <w:r w:rsidRPr="00522038">
        <w:rPr>
          <w:rFonts w:hint="eastAsia"/>
          <w:b/>
          <w:sz w:val="32"/>
          <w:szCs w:val="32"/>
        </w:rPr>
        <w:t>：</w:t>
      </w:r>
      <w:r w:rsidRPr="00522038">
        <w:rPr>
          <w:rFonts w:hint="eastAsia"/>
          <w:b/>
          <w:sz w:val="32"/>
          <w:szCs w:val="32"/>
        </w:rPr>
        <w:t>Examples for Index Calculation</w:t>
      </w:r>
    </w:p>
    <w:p w:rsidR="0021381C" w:rsidRDefault="0021381C" w:rsidP="0021381C">
      <w:pPr>
        <w:spacing w:before="100" w:line="360" w:lineRule="auto"/>
        <w:ind w:leftChars="33" w:left="69"/>
        <w:rPr>
          <w:sz w:val="32"/>
          <w:szCs w:val="32"/>
        </w:rPr>
      </w:pPr>
      <w:r w:rsidRPr="00BF3F0E">
        <w:rPr>
          <w:sz w:val="32"/>
          <w:szCs w:val="32"/>
        </w:rPr>
        <w:t xml:space="preserve">3 stocks are selected as constituent stocks. The base period is the adjusted total market cap of 3 stocks on base day. The base index is 1000 points. </w:t>
      </w:r>
    </w:p>
    <w:p w:rsidR="0021381C" w:rsidRPr="002224E2" w:rsidRDefault="0021381C" w:rsidP="0021381C">
      <w:pPr>
        <w:numPr>
          <w:ilvl w:val="0"/>
          <w:numId w:val="1"/>
        </w:numPr>
        <w:spacing w:before="100" w:line="360" w:lineRule="auto"/>
        <w:rPr>
          <w:rFonts w:eastAsia="仿宋_GB2312"/>
          <w:b/>
          <w:sz w:val="28"/>
        </w:rPr>
      </w:pPr>
      <w:r w:rsidRPr="00BF3F0E">
        <w:rPr>
          <w:sz w:val="32"/>
          <w:szCs w:val="32"/>
        </w:rPr>
        <w:t>No adjustment is required. Index is calculated as usual</w:t>
      </w:r>
    </w:p>
    <w:p w:rsidR="0021381C" w:rsidRPr="00405AE0" w:rsidRDefault="0021381C" w:rsidP="0021381C">
      <w:pPr>
        <w:spacing w:before="100" w:line="360" w:lineRule="auto"/>
        <w:ind w:leftChars="33" w:left="69"/>
        <w:rPr>
          <w:sz w:val="32"/>
          <w:szCs w:val="32"/>
        </w:rPr>
      </w:pPr>
      <w:r w:rsidRPr="00405AE0">
        <w:rPr>
          <w:rFonts w:hint="eastAsia"/>
          <w:sz w:val="32"/>
          <w:szCs w:val="32"/>
        </w:rPr>
        <w:t>B</w:t>
      </w:r>
      <w:r w:rsidRPr="00405AE0">
        <w:rPr>
          <w:sz w:val="32"/>
          <w:szCs w:val="32"/>
        </w:rPr>
        <w:t>ase Day</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C</w:t>
            </w:r>
            <w:r>
              <w:t>losing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100,000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9,000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45,000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B</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36,000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5,000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5,000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20</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100,000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181,000</w:t>
            </w:r>
          </w:p>
        </w:tc>
      </w:tr>
    </w:tbl>
    <w:p w:rsidR="0021381C" w:rsidRPr="00405AE0" w:rsidRDefault="0021381C" w:rsidP="0021381C">
      <w:pPr>
        <w:spacing w:before="100" w:line="360" w:lineRule="auto"/>
        <w:rPr>
          <w:sz w:val="32"/>
          <w:szCs w:val="32"/>
        </w:rPr>
      </w:pPr>
      <w:r w:rsidRPr="00405AE0">
        <w:rPr>
          <w:rFonts w:hint="eastAsia"/>
          <w:sz w:val="32"/>
          <w:szCs w:val="32"/>
        </w:rPr>
        <w:t>I</w:t>
      </w:r>
      <w:r w:rsidRPr="00405AE0">
        <w:rPr>
          <w:sz w:val="32"/>
          <w:szCs w:val="32"/>
        </w:rPr>
        <w:t>ndex Calculation</w:t>
      </w: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1720"/>
        <w:gridCol w:w="1020"/>
        <w:gridCol w:w="1020"/>
        <w:gridCol w:w="2024"/>
      </w:tblGrid>
      <w:tr w:rsidR="0021381C" w:rsidRPr="002224E2" w:rsidTr="00E6447A">
        <w:trPr>
          <w:trHeight w:val="315"/>
        </w:trPr>
        <w:tc>
          <w:tcPr>
            <w:tcW w:w="17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Adjusted Market Cap(Yuan)</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Divisor</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B</w:t>
            </w:r>
            <w:r>
              <w:t>ase Index</w:t>
            </w:r>
          </w:p>
        </w:tc>
        <w:tc>
          <w:tcPr>
            <w:tcW w:w="2024"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Pr>
                <w:rFonts w:hint="eastAsia"/>
                <w:b/>
              </w:rPr>
              <w:t>C</w:t>
            </w:r>
            <w:r>
              <w:rPr>
                <w:b/>
              </w:rPr>
              <w:t>losing Index</w:t>
            </w:r>
          </w:p>
        </w:tc>
      </w:tr>
      <w:tr w:rsidR="0021381C" w:rsidRPr="002224E2" w:rsidTr="00E6447A">
        <w:trPr>
          <w:trHeight w:val="315"/>
        </w:trPr>
        <w:tc>
          <w:tcPr>
            <w:tcW w:w="17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202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1</w:t>
            </w:r>
            <w:r w:rsidRPr="002224E2">
              <w:t>）</w:t>
            </w:r>
            <w:r w:rsidRPr="002224E2">
              <w:t>/</w:t>
            </w:r>
            <w:r w:rsidRPr="002224E2">
              <w:t>（</w:t>
            </w:r>
            <w:r w:rsidRPr="002224E2">
              <w:t>2</w:t>
            </w:r>
            <w:r w:rsidRPr="002224E2">
              <w:t>）</w:t>
            </w:r>
          </w:p>
        </w:tc>
      </w:tr>
      <w:tr w:rsidR="0021381C" w:rsidRPr="002224E2" w:rsidTr="00E6447A">
        <w:trPr>
          <w:trHeight w:val="315"/>
        </w:trPr>
        <w:tc>
          <w:tcPr>
            <w:tcW w:w="17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181,000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181,000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1000</w:t>
            </w:r>
          </w:p>
        </w:tc>
        <w:tc>
          <w:tcPr>
            <w:tcW w:w="2024"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1000</w:t>
            </w:r>
          </w:p>
        </w:tc>
      </w:tr>
    </w:tbl>
    <w:p w:rsidR="0021381C" w:rsidRPr="00405AE0" w:rsidRDefault="0021381C" w:rsidP="0021381C">
      <w:pPr>
        <w:spacing w:before="100" w:line="360" w:lineRule="auto"/>
        <w:ind w:leftChars="33" w:left="69"/>
        <w:rPr>
          <w:sz w:val="32"/>
          <w:szCs w:val="32"/>
        </w:rPr>
      </w:pPr>
      <w:r w:rsidRPr="00405AE0">
        <w:rPr>
          <w:rFonts w:hint="eastAsia"/>
          <w:sz w:val="32"/>
          <w:szCs w:val="32"/>
        </w:rPr>
        <w:t>D</w:t>
      </w:r>
      <w:r w:rsidRPr="00405AE0">
        <w:rPr>
          <w:sz w:val="32"/>
          <w:szCs w:val="32"/>
        </w:rPr>
        <w:t>ay 1</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C</w:t>
            </w:r>
            <w:r>
              <w:t>losing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100,000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9,000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5.1</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45,900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lastRenderedPageBreak/>
              <w:t>B</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9.05</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36,200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5,000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5,000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19</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95,000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177,100</w:t>
            </w:r>
          </w:p>
        </w:tc>
      </w:tr>
    </w:tbl>
    <w:p w:rsidR="0021381C" w:rsidRPr="00405AE0" w:rsidRDefault="0021381C" w:rsidP="0021381C">
      <w:pPr>
        <w:spacing w:before="100" w:line="360" w:lineRule="auto"/>
        <w:rPr>
          <w:sz w:val="32"/>
          <w:szCs w:val="32"/>
        </w:rPr>
      </w:pPr>
      <w:r w:rsidRPr="00405AE0">
        <w:rPr>
          <w:rFonts w:hint="eastAsia"/>
          <w:sz w:val="32"/>
          <w:szCs w:val="32"/>
        </w:rPr>
        <w:t>I</w:t>
      </w:r>
      <w:r w:rsidRPr="00405AE0">
        <w:rPr>
          <w:sz w:val="32"/>
          <w:szCs w:val="32"/>
        </w:rPr>
        <w:t>ndex Calculation</w:t>
      </w: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1720"/>
        <w:gridCol w:w="1020"/>
        <w:gridCol w:w="1020"/>
        <w:gridCol w:w="2024"/>
      </w:tblGrid>
      <w:tr w:rsidR="0021381C" w:rsidRPr="002224E2" w:rsidTr="00E6447A">
        <w:trPr>
          <w:trHeight w:val="315"/>
        </w:trPr>
        <w:tc>
          <w:tcPr>
            <w:tcW w:w="17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Adjusted Market Cap(Yuan)</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Divisor</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B</w:t>
            </w:r>
            <w:r>
              <w:t>ase Index</w:t>
            </w:r>
          </w:p>
        </w:tc>
        <w:tc>
          <w:tcPr>
            <w:tcW w:w="2024"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Pr>
                <w:rFonts w:hint="eastAsia"/>
                <w:b/>
              </w:rPr>
              <w:t>C</w:t>
            </w:r>
            <w:r>
              <w:rPr>
                <w:b/>
              </w:rPr>
              <w:t>losing Index</w:t>
            </w:r>
          </w:p>
        </w:tc>
      </w:tr>
      <w:tr w:rsidR="0021381C" w:rsidRPr="002224E2" w:rsidTr="00E6447A">
        <w:trPr>
          <w:trHeight w:val="315"/>
        </w:trPr>
        <w:tc>
          <w:tcPr>
            <w:tcW w:w="17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202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1</w:t>
            </w:r>
            <w:r w:rsidRPr="002224E2">
              <w:t>）</w:t>
            </w:r>
            <w:r w:rsidRPr="002224E2">
              <w:t>/</w:t>
            </w:r>
            <w:r w:rsidRPr="002224E2">
              <w:t>（</w:t>
            </w:r>
            <w:r w:rsidRPr="002224E2">
              <w:t>2</w:t>
            </w:r>
            <w:r w:rsidRPr="002224E2">
              <w:t>）</w:t>
            </w:r>
          </w:p>
        </w:tc>
      </w:tr>
      <w:tr w:rsidR="0021381C" w:rsidRPr="002224E2" w:rsidTr="00E6447A">
        <w:trPr>
          <w:trHeight w:val="315"/>
        </w:trPr>
        <w:tc>
          <w:tcPr>
            <w:tcW w:w="17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177,100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181,000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1000</w:t>
            </w:r>
          </w:p>
        </w:tc>
        <w:tc>
          <w:tcPr>
            <w:tcW w:w="2024" w:type="dxa"/>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sidRPr="002224E2">
              <w:rPr>
                <w:b/>
              </w:rPr>
              <w:t>978.45</w:t>
            </w:r>
          </w:p>
        </w:tc>
      </w:tr>
    </w:tbl>
    <w:p w:rsidR="0021381C" w:rsidRPr="002224E2" w:rsidRDefault="0021381C" w:rsidP="0021381C">
      <w:pPr>
        <w:numPr>
          <w:ilvl w:val="0"/>
          <w:numId w:val="1"/>
        </w:numPr>
        <w:spacing w:before="100" w:line="360" w:lineRule="auto"/>
        <w:rPr>
          <w:rFonts w:eastAsia="仿宋_GB2312"/>
          <w:b/>
          <w:sz w:val="28"/>
        </w:rPr>
      </w:pPr>
      <w:r w:rsidRPr="00BF3F0E">
        <w:rPr>
          <w:sz w:val="32"/>
          <w:szCs w:val="32"/>
        </w:rPr>
        <w:t>No index adjustment is required for dividend payment</w:t>
      </w:r>
    </w:p>
    <w:p w:rsidR="0021381C" w:rsidRDefault="0021381C" w:rsidP="0021381C">
      <w:pPr>
        <w:rPr>
          <w:rFonts w:eastAsia="仿宋_GB2312"/>
          <w:sz w:val="28"/>
        </w:rPr>
      </w:pPr>
      <w:r w:rsidRPr="00BF3F0E">
        <w:rPr>
          <w:rFonts w:hint="eastAsia"/>
          <w:sz w:val="32"/>
          <w:szCs w:val="32"/>
        </w:rPr>
        <w:t>Stock B distributes cash dividend:</w:t>
      </w:r>
      <w:r w:rsidRPr="00BF3F0E">
        <w:rPr>
          <w:rFonts w:hint="eastAsia"/>
          <w:sz w:val="32"/>
          <w:szCs w:val="32"/>
        </w:rPr>
        <w:t>￥</w:t>
      </w:r>
      <w:r w:rsidRPr="00BF3F0E">
        <w:rPr>
          <w:rFonts w:hint="eastAsia"/>
          <w:sz w:val="32"/>
          <w:szCs w:val="32"/>
        </w:rPr>
        <w:t xml:space="preserve">0.50/share. Today is ex-dividend day. No </w:t>
      </w:r>
      <w:r w:rsidRPr="00BF3F0E">
        <w:rPr>
          <w:sz w:val="32"/>
          <w:szCs w:val="32"/>
        </w:rPr>
        <w:t>adjustment is required.</w:t>
      </w:r>
    </w:p>
    <w:p w:rsidR="0021381C" w:rsidRPr="00FF6E73" w:rsidRDefault="0021381C" w:rsidP="0021381C">
      <w:pPr>
        <w:rPr>
          <w:sz w:val="32"/>
          <w:szCs w:val="32"/>
        </w:rPr>
      </w:pPr>
      <w:r w:rsidRPr="00FF6E73">
        <w:rPr>
          <w:rFonts w:hint="eastAsia"/>
          <w:sz w:val="32"/>
          <w:szCs w:val="32"/>
        </w:rPr>
        <w:t>Day</w:t>
      </w:r>
      <w:r>
        <w:rPr>
          <w:sz w:val="32"/>
          <w:szCs w:val="32"/>
        </w:rPr>
        <w:t xml:space="preserve"> </w:t>
      </w:r>
      <w:r w:rsidRPr="00FF6E73">
        <w:rPr>
          <w:rFonts w:hint="eastAsia"/>
          <w:sz w:val="32"/>
          <w:szCs w:val="32"/>
        </w:rPr>
        <w:t>2</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C</w:t>
            </w:r>
            <w:r>
              <w:t>losing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100,000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9,000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5.05</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45,450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B</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9.1</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36,400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5,000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5,000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19.2</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96,000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177,850</w:t>
            </w:r>
          </w:p>
        </w:tc>
      </w:tr>
    </w:tbl>
    <w:p w:rsidR="0021381C" w:rsidRPr="00405AE0" w:rsidRDefault="0021381C" w:rsidP="0021381C">
      <w:pPr>
        <w:spacing w:before="100" w:line="360" w:lineRule="auto"/>
        <w:rPr>
          <w:sz w:val="32"/>
          <w:szCs w:val="32"/>
        </w:rPr>
      </w:pPr>
      <w:r w:rsidRPr="00405AE0">
        <w:rPr>
          <w:rFonts w:hint="eastAsia"/>
          <w:sz w:val="32"/>
          <w:szCs w:val="32"/>
        </w:rPr>
        <w:t>I</w:t>
      </w:r>
      <w:r w:rsidRPr="00405AE0">
        <w:rPr>
          <w:sz w:val="32"/>
          <w:szCs w:val="32"/>
        </w:rPr>
        <w:t>ndex Calculation</w:t>
      </w: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1720"/>
        <w:gridCol w:w="1020"/>
        <w:gridCol w:w="1020"/>
        <w:gridCol w:w="2024"/>
      </w:tblGrid>
      <w:tr w:rsidR="0021381C" w:rsidRPr="002224E2" w:rsidTr="00E6447A">
        <w:trPr>
          <w:trHeight w:val="315"/>
        </w:trPr>
        <w:tc>
          <w:tcPr>
            <w:tcW w:w="17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Adjusted Market Cap(Yuan)</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Divisor</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B</w:t>
            </w:r>
            <w:r>
              <w:t>ase Index</w:t>
            </w:r>
          </w:p>
        </w:tc>
        <w:tc>
          <w:tcPr>
            <w:tcW w:w="2024"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Pr>
                <w:rFonts w:hint="eastAsia"/>
                <w:b/>
              </w:rPr>
              <w:t>C</w:t>
            </w:r>
            <w:r>
              <w:rPr>
                <w:b/>
              </w:rPr>
              <w:t>losing Index</w:t>
            </w:r>
          </w:p>
        </w:tc>
      </w:tr>
      <w:tr w:rsidR="0021381C" w:rsidRPr="002224E2" w:rsidTr="00E6447A">
        <w:trPr>
          <w:trHeight w:val="315"/>
        </w:trPr>
        <w:tc>
          <w:tcPr>
            <w:tcW w:w="17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lastRenderedPageBreak/>
              <w:t>（</w:t>
            </w:r>
            <w:r w:rsidRPr="002224E2">
              <w:t>1</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202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1</w:t>
            </w:r>
            <w:r w:rsidRPr="002224E2">
              <w:t>）</w:t>
            </w:r>
            <w:r w:rsidRPr="002224E2">
              <w:t>/</w:t>
            </w:r>
            <w:r w:rsidRPr="002224E2">
              <w:t>（</w:t>
            </w:r>
            <w:r w:rsidRPr="002224E2">
              <w:t>2</w:t>
            </w:r>
            <w:r w:rsidRPr="002224E2">
              <w:t>）</w:t>
            </w:r>
          </w:p>
        </w:tc>
      </w:tr>
      <w:tr w:rsidR="0021381C" w:rsidRPr="002224E2" w:rsidTr="00E6447A">
        <w:trPr>
          <w:trHeight w:val="315"/>
        </w:trPr>
        <w:tc>
          <w:tcPr>
            <w:tcW w:w="1720" w:type="dxa"/>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177,850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181,000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1000</w:t>
            </w:r>
          </w:p>
        </w:tc>
        <w:tc>
          <w:tcPr>
            <w:tcW w:w="2024" w:type="dxa"/>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sidRPr="002224E2">
              <w:rPr>
                <w:b/>
              </w:rPr>
              <w:t>982.60</w:t>
            </w:r>
          </w:p>
        </w:tc>
      </w:tr>
    </w:tbl>
    <w:p w:rsidR="0021381C" w:rsidRPr="002224E2" w:rsidRDefault="0021381C" w:rsidP="0021381C">
      <w:pPr>
        <w:numPr>
          <w:ilvl w:val="0"/>
          <w:numId w:val="1"/>
        </w:numPr>
        <w:spacing w:before="100" w:line="360" w:lineRule="auto"/>
        <w:rPr>
          <w:rFonts w:eastAsia="仿宋_GB2312"/>
          <w:b/>
          <w:sz w:val="28"/>
        </w:rPr>
      </w:pPr>
      <w:r w:rsidRPr="00BF3F0E">
        <w:rPr>
          <w:sz w:val="32"/>
          <w:szCs w:val="32"/>
        </w:rPr>
        <w:t>Bonus issue, rights issue</w:t>
      </w:r>
    </w:p>
    <w:p w:rsidR="0021381C" w:rsidRDefault="0021381C" w:rsidP="0021381C">
      <w:pPr>
        <w:rPr>
          <w:sz w:val="32"/>
          <w:szCs w:val="32"/>
        </w:rPr>
      </w:pPr>
      <w:r w:rsidRPr="00BF3F0E">
        <w:rPr>
          <w:sz w:val="32"/>
          <w:szCs w:val="32"/>
        </w:rPr>
        <w:t>Stock B is to be traded ex-bonus for all shareholders at the ratio of 10 for 10 and the next day is ex-right day. Stock C is to be</w:t>
      </w:r>
      <w:r>
        <w:rPr>
          <w:sz w:val="32"/>
          <w:szCs w:val="32"/>
        </w:rPr>
        <w:t xml:space="preserve"> </w:t>
      </w:r>
      <w:r w:rsidRPr="00BF3F0E">
        <w:rPr>
          <w:sz w:val="32"/>
          <w:szCs w:val="32"/>
        </w:rPr>
        <w:t>traded ex-right for all</w:t>
      </w:r>
      <w:r>
        <w:rPr>
          <w:sz w:val="32"/>
          <w:szCs w:val="32"/>
        </w:rPr>
        <w:t xml:space="preserve"> </w:t>
      </w:r>
      <w:r w:rsidRPr="00BF3F0E">
        <w:rPr>
          <w:rFonts w:hint="eastAsia"/>
          <w:sz w:val="32"/>
          <w:szCs w:val="32"/>
        </w:rPr>
        <w:t xml:space="preserve">shareholders at the ratio of 3 for 10 at  </w:t>
      </w:r>
      <w:r w:rsidRPr="00BF3F0E">
        <w:rPr>
          <w:rFonts w:hint="eastAsia"/>
          <w:sz w:val="32"/>
          <w:szCs w:val="32"/>
        </w:rPr>
        <w:t>￥</w:t>
      </w:r>
      <w:r w:rsidRPr="00BF3F0E">
        <w:rPr>
          <w:rFonts w:hint="eastAsia"/>
          <w:sz w:val="32"/>
          <w:szCs w:val="32"/>
        </w:rPr>
        <w:t xml:space="preserve">18/share and it is to be suspended </w:t>
      </w:r>
      <w:r w:rsidRPr="00BF3F0E">
        <w:rPr>
          <w:sz w:val="32"/>
          <w:szCs w:val="32"/>
        </w:rPr>
        <w:t xml:space="preserve">from trading the next day. </w:t>
      </w:r>
      <w:r w:rsidRPr="00BF3F0E">
        <w:rPr>
          <w:rFonts w:hint="eastAsia"/>
          <w:sz w:val="32"/>
          <w:szCs w:val="32"/>
        </w:rPr>
        <w:t>Ex-right price for stock B is 9.1/(1+1)=</w:t>
      </w:r>
      <w:r w:rsidRPr="00BF3F0E">
        <w:rPr>
          <w:rFonts w:hint="eastAsia"/>
          <w:sz w:val="32"/>
          <w:szCs w:val="32"/>
        </w:rPr>
        <w:t>￥</w:t>
      </w:r>
      <w:r w:rsidRPr="00BF3F0E">
        <w:rPr>
          <w:rFonts w:hint="eastAsia"/>
          <w:sz w:val="32"/>
          <w:szCs w:val="32"/>
        </w:rPr>
        <w:t>4.55</w:t>
      </w:r>
      <w:r>
        <w:rPr>
          <w:rFonts w:hint="eastAsia"/>
          <w:sz w:val="32"/>
          <w:szCs w:val="32"/>
        </w:rPr>
        <w:t>. Index adjustment is required.</w:t>
      </w:r>
    </w:p>
    <w:p w:rsidR="0021381C" w:rsidRPr="002224E2" w:rsidRDefault="0021381C" w:rsidP="0021381C">
      <w:pPr>
        <w:rPr>
          <w:rFonts w:eastAsia="仿宋_GB2312"/>
          <w:sz w:val="28"/>
        </w:rPr>
      </w:pPr>
      <w:r>
        <w:rPr>
          <w:rFonts w:hint="eastAsia"/>
          <w:sz w:val="32"/>
          <w:szCs w:val="32"/>
        </w:rPr>
        <w:t>Index A</w:t>
      </w:r>
      <w:r w:rsidRPr="00BF3F0E">
        <w:rPr>
          <w:rFonts w:hint="eastAsia"/>
          <w:sz w:val="32"/>
          <w:szCs w:val="32"/>
        </w:rPr>
        <w:t>djustment</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51"/>
        <w:gridCol w:w="1309"/>
        <w:gridCol w:w="1517"/>
        <w:gridCol w:w="2367"/>
        <w:gridCol w:w="2362"/>
      </w:tblGrid>
      <w:tr w:rsidR="0021381C" w:rsidRPr="002224E2" w:rsidTr="00E6447A">
        <w:trPr>
          <w:trHeight w:val="285"/>
        </w:trPr>
        <w:tc>
          <w:tcPr>
            <w:tcW w:w="45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91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42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t>Ex-right Price</w:t>
            </w:r>
            <w:r w:rsidRPr="002224E2">
              <w:t>（</w:t>
            </w:r>
            <w:r>
              <w:t>Yuan</w:t>
            </w:r>
            <w:r w:rsidRPr="002224E2">
              <w:t>）</w:t>
            </w:r>
          </w:p>
        </w:tc>
        <w:tc>
          <w:tcPr>
            <w:tcW w:w="142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5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A</w:t>
            </w:r>
          </w:p>
        </w:tc>
        <w:tc>
          <w:tcPr>
            <w:tcW w:w="78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100,000</w:t>
            </w:r>
          </w:p>
        </w:tc>
        <w:tc>
          <w:tcPr>
            <w:tcW w:w="91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9,000</w:t>
            </w:r>
          </w:p>
        </w:tc>
        <w:tc>
          <w:tcPr>
            <w:tcW w:w="142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5.05</w:t>
            </w:r>
          </w:p>
        </w:tc>
        <w:tc>
          <w:tcPr>
            <w:tcW w:w="142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45,450</w:t>
            </w:r>
          </w:p>
        </w:tc>
      </w:tr>
      <w:tr w:rsidR="0021381C" w:rsidRPr="002224E2" w:rsidTr="00E6447A">
        <w:trPr>
          <w:trHeight w:val="315"/>
        </w:trPr>
        <w:tc>
          <w:tcPr>
            <w:tcW w:w="452" w:type="pct"/>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B</w:t>
            </w:r>
          </w:p>
        </w:tc>
        <w:tc>
          <w:tcPr>
            <w:tcW w:w="788" w:type="pct"/>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16,000</w:t>
            </w:r>
          </w:p>
        </w:tc>
        <w:tc>
          <w:tcPr>
            <w:tcW w:w="913" w:type="pct"/>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8,000</w:t>
            </w:r>
          </w:p>
        </w:tc>
        <w:tc>
          <w:tcPr>
            <w:tcW w:w="1425" w:type="pct"/>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4.55</w:t>
            </w:r>
          </w:p>
        </w:tc>
        <w:tc>
          <w:tcPr>
            <w:tcW w:w="1422" w:type="pct"/>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36,400</w:t>
            </w:r>
          </w:p>
        </w:tc>
      </w:tr>
      <w:tr w:rsidR="0021381C" w:rsidRPr="002224E2" w:rsidTr="00E6447A">
        <w:trPr>
          <w:trHeight w:val="315"/>
        </w:trPr>
        <w:tc>
          <w:tcPr>
            <w:tcW w:w="45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C</w:t>
            </w:r>
          </w:p>
        </w:tc>
        <w:tc>
          <w:tcPr>
            <w:tcW w:w="78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5,000</w:t>
            </w:r>
          </w:p>
        </w:tc>
        <w:tc>
          <w:tcPr>
            <w:tcW w:w="91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5,000</w:t>
            </w:r>
          </w:p>
        </w:tc>
        <w:tc>
          <w:tcPr>
            <w:tcW w:w="142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19.2</w:t>
            </w:r>
          </w:p>
        </w:tc>
        <w:tc>
          <w:tcPr>
            <w:tcW w:w="142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96,000</w:t>
            </w:r>
          </w:p>
        </w:tc>
      </w:tr>
      <w:tr w:rsidR="0021381C" w:rsidRPr="002224E2" w:rsidTr="00E6447A">
        <w:trPr>
          <w:trHeight w:val="285"/>
        </w:trPr>
        <w:tc>
          <w:tcPr>
            <w:tcW w:w="45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p>
        </w:tc>
        <w:tc>
          <w:tcPr>
            <w:tcW w:w="78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p>
        </w:tc>
        <w:tc>
          <w:tcPr>
            <w:tcW w:w="91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p>
        </w:tc>
        <w:tc>
          <w:tcPr>
            <w:tcW w:w="1425"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line="360" w:lineRule="auto"/>
              <w:jc w:val="center"/>
              <w:rPr>
                <w:sz w:val="24"/>
              </w:rPr>
            </w:pPr>
            <w:r>
              <w:rPr>
                <w:rFonts w:hint="eastAsia"/>
              </w:rPr>
              <w:t>T</w:t>
            </w:r>
            <w:r>
              <w:t>otal Adjusted Market Cap</w:t>
            </w:r>
          </w:p>
        </w:tc>
        <w:tc>
          <w:tcPr>
            <w:tcW w:w="142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177,850</w:t>
            </w:r>
          </w:p>
        </w:tc>
      </w:tr>
    </w:tbl>
    <w:p w:rsidR="0021381C" w:rsidRPr="002224E2" w:rsidRDefault="0021381C" w:rsidP="0021381C">
      <w:pPr>
        <w:spacing w:before="100" w:line="360" w:lineRule="auto"/>
        <w:rPr>
          <w:rFonts w:eastAsia="仿宋_GB2312"/>
          <w:b/>
          <w:sz w:val="28"/>
        </w:rPr>
      </w:pP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2060"/>
        <w:gridCol w:w="3108"/>
        <w:gridCol w:w="1399"/>
        <w:gridCol w:w="1769"/>
      </w:tblGrid>
      <w:tr w:rsidR="0021381C" w:rsidRPr="002224E2" w:rsidTr="00E6447A">
        <w:trPr>
          <w:trHeight w:val="315"/>
        </w:trPr>
        <w:tc>
          <w:tcPr>
            <w:tcW w:w="206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T</w:t>
            </w:r>
            <w:r>
              <w:t>otal Adjusted Market Cap before Adjustment (Yuan)</w:t>
            </w:r>
          </w:p>
        </w:tc>
        <w:tc>
          <w:tcPr>
            <w:tcW w:w="3108"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T</w:t>
            </w:r>
            <w:r>
              <w:t>otal Adjusted Market Cap after Adjustment (Yuan)</w:t>
            </w:r>
          </w:p>
        </w:tc>
        <w:tc>
          <w:tcPr>
            <w:tcW w:w="1399"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O</w:t>
            </w:r>
            <w:r>
              <w:t>ld Divisor</w:t>
            </w:r>
          </w:p>
        </w:tc>
        <w:tc>
          <w:tcPr>
            <w:tcW w:w="1769" w:type="dxa"/>
            <w:tcBorders>
              <w:bottom w:val="single" w:sz="6" w:space="0" w:color="808080"/>
            </w:tcBorders>
            <w:tcMar>
              <w:top w:w="15" w:type="dxa"/>
              <w:left w:w="15" w:type="dxa"/>
              <w:bottom w:w="0" w:type="dxa"/>
              <w:right w:w="15" w:type="dxa"/>
            </w:tcMar>
            <w:vAlign w:val="center"/>
          </w:tcPr>
          <w:p w:rsidR="0021381C" w:rsidRPr="00196B7E" w:rsidRDefault="0021381C" w:rsidP="00E6447A">
            <w:pPr>
              <w:spacing w:line="360" w:lineRule="auto"/>
              <w:jc w:val="center"/>
              <w:rPr>
                <w:sz w:val="24"/>
              </w:rPr>
            </w:pPr>
            <w:r w:rsidRPr="00196B7E">
              <w:t>New Divisor</w:t>
            </w:r>
          </w:p>
        </w:tc>
      </w:tr>
      <w:tr w:rsidR="0021381C" w:rsidRPr="002224E2" w:rsidTr="00E6447A">
        <w:trPr>
          <w:trHeight w:val="315"/>
        </w:trPr>
        <w:tc>
          <w:tcPr>
            <w:tcW w:w="206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w:t>
            </w:r>
            <w:r w:rsidRPr="002224E2">
              <w:t>1</w:t>
            </w:r>
            <w:r w:rsidRPr="002224E2">
              <w:t>）</w:t>
            </w:r>
          </w:p>
        </w:tc>
        <w:tc>
          <w:tcPr>
            <w:tcW w:w="3108"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w:t>
            </w:r>
            <w:r w:rsidRPr="002224E2">
              <w:t>2</w:t>
            </w:r>
            <w:r w:rsidRPr="002224E2">
              <w:t>）</w:t>
            </w:r>
          </w:p>
        </w:tc>
        <w:tc>
          <w:tcPr>
            <w:tcW w:w="1399"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w:t>
            </w:r>
            <w:r w:rsidRPr="002224E2">
              <w:t>3</w:t>
            </w:r>
            <w:r w:rsidRPr="002224E2">
              <w:t>）</w:t>
            </w:r>
          </w:p>
        </w:tc>
        <w:tc>
          <w:tcPr>
            <w:tcW w:w="1769"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sidRPr="002224E2">
              <w:t>（</w:t>
            </w:r>
            <w:r w:rsidRPr="002224E2">
              <w:t>3</w:t>
            </w:r>
            <w:r w:rsidRPr="002224E2">
              <w:t>）</w:t>
            </w:r>
            <w:r w:rsidRPr="002224E2">
              <w:t>*</w:t>
            </w:r>
            <w:r w:rsidRPr="002224E2">
              <w:t>（</w:t>
            </w:r>
            <w:r w:rsidRPr="002224E2">
              <w:t>2</w:t>
            </w:r>
            <w:r w:rsidRPr="002224E2">
              <w:t>）</w:t>
            </w:r>
            <w:r w:rsidRPr="002224E2">
              <w:t>/</w:t>
            </w:r>
            <w:r w:rsidRPr="002224E2">
              <w:t>（</w:t>
            </w:r>
            <w:r w:rsidRPr="002224E2">
              <w:t>1</w:t>
            </w:r>
            <w:r w:rsidRPr="002224E2">
              <w:t>）</w:t>
            </w:r>
          </w:p>
        </w:tc>
      </w:tr>
      <w:tr w:rsidR="0021381C" w:rsidRPr="002224E2" w:rsidTr="00E6447A">
        <w:trPr>
          <w:trHeight w:val="285"/>
        </w:trPr>
        <w:tc>
          <w:tcPr>
            <w:tcW w:w="2060" w:type="dxa"/>
            <w:tcMar>
              <w:top w:w="15" w:type="dxa"/>
              <w:left w:w="15" w:type="dxa"/>
              <w:bottom w:w="0" w:type="dxa"/>
              <w:right w:w="15" w:type="dxa"/>
            </w:tcMar>
            <w:vAlign w:val="bottom"/>
          </w:tcPr>
          <w:p w:rsidR="0021381C" w:rsidRPr="002224E2" w:rsidRDefault="0021381C" w:rsidP="00E6447A">
            <w:pPr>
              <w:spacing w:line="360" w:lineRule="auto"/>
              <w:jc w:val="center"/>
              <w:rPr>
                <w:sz w:val="24"/>
              </w:rPr>
            </w:pPr>
            <w:r w:rsidRPr="002224E2">
              <w:t>177,850</w:t>
            </w:r>
          </w:p>
        </w:tc>
        <w:tc>
          <w:tcPr>
            <w:tcW w:w="3108" w:type="dxa"/>
            <w:tcMar>
              <w:top w:w="15" w:type="dxa"/>
              <w:left w:w="15" w:type="dxa"/>
              <w:bottom w:w="0" w:type="dxa"/>
              <w:right w:w="15" w:type="dxa"/>
            </w:tcMar>
            <w:vAlign w:val="bottom"/>
          </w:tcPr>
          <w:p w:rsidR="0021381C" w:rsidRPr="002224E2" w:rsidRDefault="0021381C" w:rsidP="00E6447A">
            <w:pPr>
              <w:spacing w:line="360" w:lineRule="auto"/>
              <w:jc w:val="center"/>
              <w:rPr>
                <w:sz w:val="24"/>
              </w:rPr>
            </w:pPr>
            <w:r w:rsidRPr="002224E2">
              <w:t>177,850</w:t>
            </w:r>
          </w:p>
        </w:tc>
        <w:tc>
          <w:tcPr>
            <w:tcW w:w="1399" w:type="dxa"/>
            <w:tcMar>
              <w:top w:w="15" w:type="dxa"/>
              <w:left w:w="15" w:type="dxa"/>
              <w:bottom w:w="0" w:type="dxa"/>
              <w:right w:w="15" w:type="dxa"/>
            </w:tcMar>
            <w:vAlign w:val="bottom"/>
          </w:tcPr>
          <w:p w:rsidR="0021381C" w:rsidRPr="002224E2" w:rsidRDefault="0021381C" w:rsidP="00E6447A">
            <w:pPr>
              <w:spacing w:line="360" w:lineRule="auto"/>
              <w:jc w:val="center"/>
              <w:rPr>
                <w:sz w:val="24"/>
              </w:rPr>
            </w:pPr>
            <w:r w:rsidRPr="002224E2">
              <w:t>181,000</w:t>
            </w:r>
          </w:p>
        </w:tc>
        <w:tc>
          <w:tcPr>
            <w:tcW w:w="1769" w:type="dxa"/>
            <w:tcMar>
              <w:top w:w="15" w:type="dxa"/>
              <w:left w:w="15" w:type="dxa"/>
              <w:bottom w:w="0" w:type="dxa"/>
              <w:right w:w="15" w:type="dxa"/>
            </w:tcMar>
            <w:vAlign w:val="bottom"/>
          </w:tcPr>
          <w:p w:rsidR="0021381C" w:rsidRPr="002224E2" w:rsidRDefault="0021381C" w:rsidP="00E6447A">
            <w:pPr>
              <w:spacing w:line="360" w:lineRule="auto"/>
              <w:jc w:val="center"/>
              <w:rPr>
                <w:sz w:val="24"/>
              </w:rPr>
            </w:pPr>
            <w:r w:rsidRPr="002224E2">
              <w:t>181,000</w:t>
            </w:r>
          </w:p>
        </w:tc>
      </w:tr>
    </w:tbl>
    <w:p w:rsidR="0021381C" w:rsidRPr="00FF6E73" w:rsidRDefault="0021381C" w:rsidP="0021381C">
      <w:pPr>
        <w:rPr>
          <w:sz w:val="32"/>
          <w:szCs w:val="32"/>
        </w:rPr>
      </w:pPr>
      <w:r>
        <w:rPr>
          <w:rFonts w:hint="eastAsia"/>
          <w:sz w:val="32"/>
          <w:szCs w:val="32"/>
        </w:rPr>
        <w:t>Day</w:t>
      </w:r>
      <w:r>
        <w:rPr>
          <w:sz w:val="32"/>
          <w:szCs w:val="32"/>
        </w:rPr>
        <w:t xml:space="preserve"> </w:t>
      </w:r>
      <w:r>
        <w:rPr>
          <w:rFonts w:hint="eastAsia"/>
          <w:sz w:val="32"/>
          <w:szCs w:val="32"/>
        </w:rPr>
        <w:t>3</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lastRenderedPageBreak/>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C</w:t>
            </w:r>
            <w:r>
              <w:t>losing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100,000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9,000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4.9</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44,100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B</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16,000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4.5</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36,000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5,000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5,000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19.2</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96,000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176,100</w:t>
            </w:r>
          </w:p>
        </w:tc>
      </w:tr>
    </w:tbl>
    <w:p w:rsidR="0021381C" w:rsidRPr="00405AE0" w:rsidRDefault="0021381C" w:rsidP="0021381C">
      <w:pPr>
        <w:spacing w:before="100" w:line="360" w:lineRule="auto"/>
        <w:rPr>
          <w:sz w:val="32"/>
          <w:szCs w:val="32"/>
        </w:rPr>
      </w:pPr>
      <w:r w:rsidRPr="00405AE0">
        <w:rPr>
          <w:rFonts w:hint="eastAsia"/>
          <w:sz w:val="32"/>
          <w:szCs w:val="32"/>
        </w:rPr>
        <w:t>I</w:t>
      </w:r>
      <w:r w:rsidRPr="00405AE0">
        <w:rPr>
          <w:sz w:val="32"/>
          <w:szCs w:val="32"/>
        </w:rPr>
        <w:t>ndex Calculation</w:t>
      </w: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1720"/>
        <w:gridCol w:w="1020"/>
        <w:gridCol w:w="1020"/>
        <w:gridCol w:w="2024"/>
      </w:tblGrid>
      <w:tr w:rsidR="0021381C" w:rsidRPr="002224E2" w:rsidTr="00E6447A">
        <w:trPr>
          <w:trHeight w:val="315"/>
        </w:trPr>
        <w:tc>
          <w:tcPr>
            <w:tcW w:w="17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Adjusted Market Cap(Yuan)</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Divisor</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B</w:t>
            </w:r>
            <w:r>
              <w:t>ase Index</w:t>
            </w:r>
          </w:p>
        </w:tc>
        <w:tc>
          <w:tcPr>
            <w:tcW w:w="2024"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Pr>
                <w:rFonts w:hint="eastAsia"/>
                <w:b/>
              </w:rPr>
              <w:t>C</w:t>
            </w:r>
            <w:r>
              <w:rPr>
                <w:b/>
              </w:rPr>
              <w:t>losing Index</w:t>
            </w:r>
          </w:p>
        </w:tc>
      </w:tr>
      <w:tr w:rsidR="0021381C" w:rsidRPr="002224E2" w:rsidTr="00E6447A">
        <w:trPr>
          <w:trHeight w:val="315"/>
        </w:trPr>
        <w:tc>
          <w:tcPr>
            <w:tcW w:w="17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202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1</w:t>
            </w:r>
            <w:r w:rsidRPr="002224E2">
              <w:t>）</w:t>
            </w:r>
            <w:r w:rsidRPr="002224E2">
              <w:t>/</w:t>
            </w:r>
            <w:r w:rsidRPr="002224E2">
              <w:t>（</w:t>
            </w:r>
            <w:r w:rsidRPr="002224E2">
              <w:t>2</w:t>
            </w:r>
            <w:r w:rsidRPr="002224E2">
              <w:t>）</w:t>
            </w:r>
          </w:p>
        </w:tc>
      </w:tr>
      <w:tr w:rsidR="0021381C" w:rsidRPr="002224E2" w:rsidTr="00E6447A">
        <w:trPr>
          <w:trHeight w:val="315"/>
        </w:trPr>
        <w:tc>
          <w:tcPr>
            <w:tcW w:w="17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176,100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181,000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1000</w:t>
            </w:r>
          </w:p>
        </w:tc>
        <w:tc>
          <w:tcPr>
            <w:tcW w:w="2024" w:type="dxa"/>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sidRPr="002224E2">
              <w:rPr>
                <w:b/>
              </w:rPr>
              <w:t>972.93</w:t>
            </w:r>
          </w:p>
        </w:tc>
      </w:tr>
    </w:tbl>
    <w:p w:rsidR="0021381C" w:rsidRPr="002224E2" w:rsidRDefault="0021381C" w:rsidP="0021381C">
      <w:pPr>
        <w:numPr>
          <w:ilvl w:val="0"/>
          <w:numId w:val="1"/>
        </w:numPr>
        <w:spacing w:before="100" w:line="360" w:lineRule="auto"/>
        <w:rPr>
          <w:rFonts w:eastAsia="仿宋_GB2312"/>
          <w:b/>
          <w:sz w:val="28"/>
        </w:rPr>
      </w:pPr>
      <w:r>
        <w:rPr>
          <w:sz w:val="32"/>
          <w:szCs w:val="32"/>
        </w:rPr>
        <w:t>Secondary offering</w:t>
      </w:r>
      <w:r w:rsidRPr="00BF3F0E">
        <w:rPr>
          <w:sz w:val="32"/>
          <w:szCs w:val="32"/>
        </w:rPr>
        <w:t>, rights issue</w:t>
      </w:r>
    </w:p>
    <w:p w:rsidR="0021381C" w:rsidRPr="00BF3F0E" w:rsidRDefault="0021381C" w:rsidP="0021381C">
      <w:pPr>
        <w:rPr>
          <w:sz w:val="32"/>
          <w:szCs w:val="32"/>
        </w:rPr>
      </w:pPr>
      <w:r w:rsidRPr="00BF3F0E">
        <w:rPr>
          <w:sz w:val="32"/>
          <w:szCs w:val="32"/>
        </w:rPr>
        <w:t>Stock A is going to issue</w:t>
      </w:r>
      <w:r>
        <w:rPr>
          <w:sz w:val="32"/>
          <w:szCs w:val="32"/>
        </w:rPr>
        <w:t xml:space="preserve"> 1</w:t>
      </w:r>
      <w:r w:rsidRPr="00BF3F0E">
        <w:rPr>
          <w:sz w:val="32"/>
          <w:szCs w:val="32"/>
        </w:rPr>
        <w:t>000 shares the next day.</w:t>
      </w:r>
      <w:r>
        <w:rPr>
          <w:sz w:val="32"/>
          <w:szCs w:val="32"/>
        </w:rPr>
        <w:t xml:space="preserve"> The change of total shares occupies 1%. No adjustment is required. </w:t>
      </w:r>
      <w:r w:rsidRPr="00BF3F0E">
        <w:rPr>
          <w:sz w:val="32"/>
          <w:szCs w:val="32"/>
        </w:rPr>
        <w:t xml:space="preserve">Stock B is </w:t>
      </w:r>
      <w:r>
        <w:rPr>
          <w:sz w:val="32"/>
          <w:szCs w:val="32"/>
        </w:rPr>
        <w:t xml:space="preserve">going </w:t>
      </w:r>
      <w:r w:rsidRPr="00BF3F0E">
        <w:rPr>
          <w:sz w:val="32"/>
          <w:szCs w:val="32"/>
        </w:rPr>
        <w:t>to</w:t>
      </w:r>
      <w:r>
        <w:rPr>
          <w:sz w:val="32"/>
          <w:szCs w:val="32"/>
        </w:rPr>
        <w:t xml:space="preserve"> be suspended from </w:t>
      </w:r>
      <w:r w:rsidRPr="00BF3F0E">
        <w:rPr>
          <w:sz w:val="32"/>
          <w:szCs w:val="32"/>
        </w:rPr>
        <w:t xml:space="preserve">trading the next day. The rights offering of Stock C succeeds. Stock C is to resume trading the next day which is also the ex-right date of stock C. Ex-right </w:t>
      </w:r>
      <w:r w:rsidRPr="00BF3F0E">
        <w:rPr>
          <w:rFonts w:hint="eastAsia"/>
          <w:sz w:val="32"/>
          <w:szCs w:val="32"/>
        </w:rPr>
        <w:t xml:space="preserve">price for stock C </w:t>
      </w:r>
      <w:r w:rsidRPr="00BF3F0E">
        <w:rPr>
          <w:sz w:val="32"/>
          <w:szCs w:val="32"/>
        </w:rPr>
        <w:t xml:space="preserve">is </w:t>
      </w:r>
      <w:r w:rsidRPr="00BF3F0E">
        <w:rPr>
          <w:sz w:val="32"/>
          <w:szCs w:val="32"/>
        </w:rPr>
        <w:t>（</w:t>
      </w:r>
      <w:r w:rsidRPr="00BF3F0E">
        <w:rPr>
          <w:rFonts w:hint="eastAsia"/>
          <w:sz w:val="32"/>
          <w:szCs w:val="32"/>
        </w:rPr>
        <w:t>19.2+18</w:t>
      </w:r>
      <w:r w:rsidRPr="00BF3F0E">
        <w:rPr>
          <w:rFonts w:hint="eastAsia"/>
          <w:sz w:val="32"/>
          <w:szCs w:val="32"/>
        </w:rPr>
        <w:t>×</w:t>
      </w:r>
      <w:r w:rsidRPr="00BF3F0E">
        <w:rPr>
          <w:rFonts w:hint="eastAsia"/>
          <w:sz w:val="32"/>
          <w:szCs w:val="32"/>
        </w:rPr>
        <w:t>0.3</w:t>
      </w:r>
      <w:r w:rsidRPr="00BF3F0E">
        <w:rPr>
          <w:rFonts w:hint="eastAsia"/>
          <w:sz w:val="32"/>
          <w:szCs w:val="32"/>
        </w:rPr>
        <w:t>）</w:t>
      </w:r>
      <w:r w:rsidRPr="00BF3F0E">
        <w:rPr>
          <w:rFonts w:hint="eastAsia"/>
          <w:sz w:val="32"/>
          <w:szCs w:val="32"/>
        </w:rPr>
        <w:t>/</w:t>
      </w:r>
      <w:r w:rsidRPr="00BF3F0E">
        <w:rPr>
          <w:rFonts w:hint="eastAsia"/>
          <w:sz w:val="32"/>
          <w:szCs w:val="32"/>
        </w:rPr>
        <w:t>（</w:t>
      </w:r>
      <w:r w:rsidRPr="00BF3F0E">
        <w:rPr>
          <w:rFonts w:hint="eastAsia"/>
          <w:sz w:val="32"/>
          <w:szCs w:val="32"/>
        </w:rPr>
        <w:t>1+0.3</w:t>
      </w:r>
      <w:r w:rsidRPr="00BF3F0E">
        <w:rPr>
          <w:rFonts w:hint="eastAsia"/>
          <w:sz w:val="32"/>
          <w:szCs w:val="32"/>
        </w:rPr>
        <w:t>）＝￥</w:t>
      </w:r>
      <w:r w:rsidRPr="00BF3F0E">
        <w:rPr>
          <w:rFonts w:hint="eastAsia"/>
          <w:sz w:val="32"/>
          <w:szCs w:val="32"/>
        </w:rPr>
        <w:t>18.923.</w:t>
      </w:r>
    </w:p>
    <w:p w:rsidR="0021381C" w:rsidRPr="004355A3" w:rsidRDefault="0021381C" w:rsidP="0021381C">
      <w:pPr>
        <w:spacing w:before="100" w:line="360" w:lineRule="auto"/>
        <w:rPr>
          <w:rFonts w:eastAsia="仿宋_GB2312"/>
          <w:sz w:val="28"/>
        </w:rPr>
      </w:pPr>
      <w:r>
        <w:rPr>
          <w:sz w:val="32"/>
          <w:szCs w:val="32"/>
        </w:rPr>
        <w:t>Index Adjustment</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t>Ex-right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100,000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9,000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4.9</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44,100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lastRenderedPageBreak/>
              <w:t>B</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16,000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4.5</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36,000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18.923</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123,000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203,100</w:t>
            </w:r>
          </w:p>
        </w:tc>
      </w:tr>
    </w:tbl>
    <w:p w:rsidR="0021381C" w:rsidRPr="002224E2" w:rsidRDefault="0021381C" w:rsidP="0021381C">
      <w:pPr>
        <w:spacing w:before="100" w:line="360" w:lineRule="auto"/>
        <w:rPr>
          <w:rFonts w:eastAsia="仿宋_GB2312"/>
          <w:b/>
          <w:sz w:val="28"/>
        </w:rPr>
      </w:pP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2060"/>
        <w:gridCol w:w="2060"/>
        <w:gridCol w:w="765"/>
        <w:gridCol w:w="1769"/>
      </w:tblGrid>
      <w:tr w:rsidR="0021381C" w:rsidRPr="002224E2" w:rsidTr="00E6447A">
        <w:trPr>
          <w:trHeight w:val="315"/>
        </w:trPr>
        <w:tc>
          <w:tcPr>
            <w:tcW w:w="206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T</w:t>
            </w:r>
            <w:r>
              <w:t>otal Adjusted Market Cap before Adjustment (Yuan)</w:t>
            </w:r>
          </w:p>
        </w:tc>
        <w:tc>
          <w:tcPr>
            <w:tcW w:w="206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T</w:t>
            </w:r>
            <w:r>
              <w:t>otal Adjusted Market Cap after Adjustment (Yuan)</w:t>
            </w:r>
          </w:p>
        </w:tc>
        <w:tc>
          <w:tcPr>
            <w:tcW w:w="765"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O</w:t>
            </w:r>
            <w:r>
              <w:t>ld Divisor</w:t>
            </w:r>
          </w:p>
        </w:tc>
        <w:tc>
          <w:tcPr>
            <w:tcW w:w="1769" w:type="dxa"/>
            <w:tcBorders>
              <w:bottom w:val="single" w:sz="6" w:space="0" w:color="808080"/>
            </w:tcBorders>
            <w:tcMar>
              <w:top w:w="15" w:type="dxa"/>
              <w:left w:w="15" w:type="dxa"/>
              <w:bottom w:w="0" w:type="dxa"/>
              <w:right w:w="15" w:type="dxa"/>
            </w:tcMar>
            <w:vAlign w:val="center"/>
          </w:tcPr>
          <w:p w:rsidR="0021381C" w:rsidRPr="00196B7E" w:rsidRDefault="0021381C" w:rsidP="00E6447A">
            <w:pPr>
              <w:spacing w:line="360" w:lineRule="auto"/>
              <w:jc w:val="center"/>
              <w:rPr>
                <w:sz w:val="24"/>
              </w:rPr>
            </w:pPr>
            <w:r w:rsidRPr="00196B7E">
              <w:t>New Divisor</w:t>
            </w:r>
          </w:p>
        </w:tc>
      </w:tr>
      <w:tr w:rsidR="0021381C" w:rsidRPr="002224E2" w:rsidTr="00E6447A">
        <w:trPr>
          <w:trHeight w:val="315"/>
        </w:trPr>
        <w:tc>
          <w:tcPr>
            <w:tcW w:w="206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206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765"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1769"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2</w:t>
            </w:r>
            <w:r w:rsidRPr="002224E2">
              <w:t>）</w:t>
            </w:r>
            <w:r w:rsidRPr="002224E2">
              <w:t>/</w:t>
            </w:r>
            <w:r w:rsidRPr="002224E2">
              <w:t>（</w:t>
            </w:r>
            <w:r w:rsidRPr="002224E2">
              <w:t>1</w:t>
            </w:r>
            <w:r w:rsidRPr="002224E2">
              <w:t>）</w:t>
            </w:r>
          </w:p>
        </w:tc>
      </w:tr>
      <w:tr w:rsidR="0021381C" w:rsidRPr="002224E2" w:rsidTr="00E6447A">
        <w:trPr>
          <w:trHeight w:val="285"/>
        </w:trPr>
        <w:tc>
          <w:tcPr>
            <w:tcW w:w="206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176,100</w:t>
            </w:r>
          </w:p>
        </w:tc>
        <w:tc>
          <w:tcPr>
            <w:tcW w:w="206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203,100</w:t>
            </w:r>
          </w:p>
        </w:tc>
        <w:tc>
          <w:tcPr>
            <w:tcW w:w="765"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bookmarkStart w:id="1" w:name="OLE_LINK8"/>
            <w:bookmarkStart w:id="2" w:name="OLE_LINK9"/>
            <w:r w:rsidRPr="002224E2">
              <w:t>181,000</w:t>
            </w:r>
            <w:bookmarkEnd w:id="1"/>
            <w:bookmarkEnd w:id="2"/>
          </w:p>
        </w:tc>
        <w:tc>
          <w:tcPr>
            <w:tcW w:w="1769"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208,751</w:t>
            </w:r>
          </w:p>
        </w:tc>
      </w:tr>
    </w:tbl>
    <w:p w:rsidR="0021381C" w:rsidRPr="00FF6E73" w:rsidRDefault="0021381C" w:rsidP="0021381C">
      <w:pPr>
        <w:rPr>
          <w:sz w:val="32"/>
          <w:szCs w:val="32"/>
        </w:rPr>
      </w:pPr>
      <w:r>
        <w:rPr>
          <w:rFonts w:hint="eastAsia"/>
          <w:sz w:val="32"/>
          <w:szCs w:val="32"/>
        </w:rPr>
        <w:t>Day</w:t>
      </w:r>
      <w:r>
        <w:rPr>
          <w:sz w:val="32"/>
          <w:szCs w:val="32"/>
        </w:rPr>
        <w:t xml:space="preserve"> </w:t>
      </w:r>
      <w:r>
        <w:rPr>
          <w:rFonts w:hint="eastAsia"/>
          <w:sz w:val="32"/>
          <w:szCs w:val="32"/>
        </w:rPr>
        <w:t>4</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C</w:t>
            </w:r>
            <w:r>
              <w:t>losing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100,000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9,000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4.8</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43,200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B</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16,000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4.5</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36,000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19.1</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124,150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203,350</w:t>
            </w:r>
          </w:p>
        </w:tc>
      </w:tr>
    </w:tbl>
    <w:p w:rsidR="0021381C" w:rsidRPr="00405AE0" w:rsidRDefault="0021381C" w:rsidP="0021381C">
      <w:pPr>
        <w:spacing w:before="100" w:line="360" w:lineRule="auto"/>
        <w:rPr>
          <w:sz w:val="32"/>
          <w:szCs w:val="32"/>
        </w:rPr>
      </w:pPr>
      <w:r w:rsidRPr="00405AE0">
        <w:rPr>
          <w:rFonts w:hint="eastAsia"/>
          <w:sz w:val="32"/>
          <w:szCs w:val="32"/>
        </w:rPr>
        <w:t>I</w:t>
      </w:r>
      <w:r w:rsidRPr="00405AE0">
        <w:rPr>
          <w:sz w:val="32"/>
          <w:szCs w:val="32"/>
        </w:rPr>
        <w:t>ndex Calculation</w:t>
      </w: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1720"/>
        <w:gridCol w:w="1020"/>
        <w:gridCol w:w="1020"/>
        <w:gridCol w:w="2024"/>
      </w:tblGrid>
      <w:tr w:rsidR="0021381C" w:rsidRPr="002224E2" w:rsidTr="00E6447A">
        <w:trPr>
          <w:trHeight w:val="315"/>
        </w:trPr>
        <w:tc>
          <w:tcPr>
            <w:tcW w:w="17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Adjusted Market Cap(Yuan)</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Divisor</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B</w:t>
            </w:r>
            <w:r>
              <w:t>ase Index</w:t>
            </w:r>
          </w:p>
        </w:tc>
        <w:tc>
          <w:tcPr>
            <w:tcW w:w="2024"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Pr>
                <w:rFonts w:hint="eastAsia"/>
                <w:b/>
              </w:rPr>
              <w:t>C</w:t>
            </w:r>
            <w:r>
              <w:rPr>
                <w:b/>
              </w:rPr>
              <w:t>losing Index</w:t>
            </w:r>
          </w:p>
        </w:tc>
      </w:tr>
      <w:tr w:rsidR="0021381C" w:rsidRPr="002224E2" w:rsidTr="00E6447A">
        <w:trPr>
          <w:trHeight w:val="315"/>
        </w:trPr>
        <w:tc>
          <w:tcPr>
            <w:tcW w:w="17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202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1</w:t>
            </w:r>
            <w:r w:rsidRPr="002224E2">
              <w:t>）</w:t>
            </w:r>
            <w:r w:rsidRPr="002224E2">
              <w:t>/</w:t>
            </w:r>
            <w:r w:rsidRPr="002224E2">
              <w:t>（</w:t>
            </w:r>
            <w:r w:rsidRPr="002224E2">
              <w:t>2</w:t>
            </w:r>
            <w:r w:rsidRPr="002224E2">
              <w:t>）</w:t>
            </w:r>
          </w:p>
        </w:tc>
      </w:tr>
      <w:tr w:rsidR="0021381C" w:rsidRPr="002224E2" w:rsidTr="00E6447A">
        <w:trPr>
          <w:trHeight w:val="315"/>
        </w:trPr>
        <w:tc>
          <w:tcPr>
            <w:tcW w:w="17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203,350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208,751</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1000</w:t>
            </w:r>
          </w:p>
        </w:tc>
        <w:tc>
          <w:tcPr>
            <w:tcW w:w="2024" w:type="dxa"/>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sidRPr="002224E2">
              <w:rPr>
                <w:b/>
              </w:rPr>
              <w:t>974.13</w:t>
            </w:r>
          </w:p>
        </w:tc>
      </w:tr>
    </w:tbl>
    <w:p w:rsidR="0021381C" w:rsidRPr="004C4571" w:rsidRDefault="0021381C" w:rsidP="0021381C">
      <w:pPr>
        <w:numPr>
          <w:ilvl w:val="0"/>
          <w:numId w:val="1"/>
        </w:numPr>
        <w:spacing w:before="100" w:line="360" w:lineRule="auto"/>
        <w:rPr>
          <w:sz w:val="32"/>
          <w:szCs w:val="32"/>
        </w:rPr>
      </w:pPr>
      <w:r w:rsidRPr="004C4571">
        <w:rPr>
          <w:rFonts w:hint="eastAsia"/>
          <w:sz w:val="32"/>
          <w:szCs w:val="32"/>
        </w:rPr>
        <w:lastRenderedPageBreak/>
        <w:t>S</w:t>
      </w:r>
      <w:r w:rsidRPr="004C4571">
        <w:rPr>
          <w:sz w:val="32"/>
          <w:szCs w:val="32"/>
        </w:rPr>
        <w:t>econdary Offering</w:t>
      </w:r>
    </w:p>
    <w:p w:rsidR="0021381C" w:rsidRDefault="0021381C" w:rsidP="0021381C">
      <w:pPr>
        <w:spacing w:before="100" w:line="360" w:lineRule="auto"/>
        <w:rPr>
          <w:sz w:val="32"/>
          <w:szCs w:val="32"/>
        </w:rPr>
      </w:pPr>
      <w:r w:rsidRPr="00BF3F0E">
        <w:rPr>
          <w:sz w:val="32"/>
          <w:szCs w:val="32"/>
        </w:rPr>
        <w:t>Stock A is going to issue</w:t>
      </w:r>
      <w:r>
        <w:rPr>
          <w:sz w:val="32"/>
          <w:szCs w:val="32"/>
        </w:rPr>
        <w:t xml:space="preserve"> 116</w:t>
      </w:r>
      <w:r w:rsidRPr="00BF3F0E">
        <w:rPr>
          <w:sz w:val="32"/>
          <w:szCs w:val="32"/>
        </w:rPr>
        <w:t xml:space="preserve">00 shares the next day. </w:t>
      </w:r>
      <w:r>
        <w:rPr>
          <w:sz w:val="32"/>
          <w:szCs w:val="32"/>
        </w:rPr>
        <w:t xml:space="preserve">The change of total shares occupies 12.6%. Index adjustment is required. </w:t>
      </w:r>
      <w:r w:rsidRPr="00BF3F0E">
        <w:rPr>
          <w:sz w:val="32"/>
          <w:szCs w:val="32"/>
        </w:rPr>
        <w:t>Stock B is to</w:t>
      </w:r>
      <w:r>
        <w:rPr>
          <w:sz w:val="32"/>
          <w:szCs w:val="32"/>
        </w:rPr>
        <w:t xml:space="preserve"> be resume </w:t>
      </w:r>
      <w:r w:rsidRPr="00BF3F0E">
        <w:rPr>
          <w:sz w:val="32"/>
          <w:szCs w:val="32"/>
        </w:rPr>
        <w:t>trading the next day.</w:t>
      </w:r>
    </w:p>
    <w:p w:rsidR="0021381C" w:rsidRPr="004C4571" w:rsidRDefault="0021381C" w:rsidP="0021381C">
      <w:pPr>
        <w:spacing w:before="100" w:line="360" w:lineRule="auto"/>
        <w:rPr>
          <w:rFonts w:eastAsia="仿宋_GB2312"/>
          <w:sz w:val="28"/>
        </w:rPr>
      </w:pPr>
      <w:r>
        <w:rPr>
          <w:sz w:val="32"/>
          <w:szCs w:val="32"/>
        </w:rPr>
        <w:t>Index Adjustment</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t>Ex-right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112,600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21,600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4.8</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103,680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B</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16,000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4.5</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36,000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6,500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6,500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19.1</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124,150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263,830</w:t>
            </w:r>
          </w:p>
        </w:tc>
      </w:tr>
    </w:tbl>
    <w:p w:rsidR="0021381C" w:rsidRPr="002224E2" w:rsidRDefault="0021381C" w:rsidP="0021381C">
      <w:pPr>
        <w:spacing w:before="100" w:line="360" w:lineRule="auto"/>
        <w:rPr>
          <w:rFonts w:eastAsia="仿宋_GB2312"/>
          <w:b/>
          <w:sz w:val="28"/>
        </w:rPr>
      </w:pP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2315"/>
        <w:gridCol w:w="2419"/>
        <w:gridCol w:w="1021"/>
        <w:gridCol w:w="2024"/>
      </w:tblGrid>
      <w:tr w:rsidR="0021381C" w:rsidRPr="002224E2" w:rsidTr="00E6447A">
        <w:trPr>
          <w:trHeight w:val="315"/>
        </w:trPr>
        <w:tc>
          <w:tcPr>
            <w:tcW w:w="2315"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T</w:t>
            </w:r>
            <w:r>
              <w:t>otal Adjusted Market Cap before Adjustment (Yuan)</w:t>
            </w:r>
          </w:p>
        </w:tc>
        <w:tc>
          <w:tcPr>
            <w:tcW w:w="2419"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T</w:t>
            </w:r>
            <w:r>
              <w:t>otal Adjusted Market Cap after Adjustment (Yuan)</w:t>
            </w:r>
          </w:p>
        </w:tc>
        <w:tc>
          <w:tcPr>
            <w:tcW w:w="1021"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O</w:t>
            </w:r>
            <w:r>
              <w:t>ld Divisor</w:t>
            </w:r>
          </w:p>
        </w:tc>
        <w:tc>
          <w:tcPr>
            <w:tcW w:w="2024" w:type="dxa"/>
            <w:tcBorders>
              <w:bottom w:val="single" w:sz="6" w:space="0" w:color="808080"/>
            </w:tcBorders>
            <w:tcMar>
              <w:top w:w="15" w:type="dxa"/>
              <w:left w:w="15" w:type="dxa"/>
              <w:bottom w:w="0" w:type="dxa"/>
              <w:right w:w="15" w:type="dxa"/>
            </w:tcMar>
            <w:vAlign w:val="center"/>
          </w:tcPr>
          <w:p w:rsidR="0021381C" w:rsidRPr="00196B7E" w:rsidRDefault="0021381C" w:rsidP="00E6447A">
            <w:pPr>
              <w:spacing w:line="360" w:lineRule="auto"/>
              <w:jc w:val="center"/>
              <w:rPr>
                <w:sz w:val="24"/>
              </w:rPr>
            </w:pPr>
            <w:r w:rsidRPr="00196B7E">
              <w:t>New Divisor</w:t>
            </w:r>
          </w:p>
        </w:tc>
      </w:tr>
      <w:tr w:rsidR="0021381C" w:rsidRPr="002224E2" w:rsidTr="00E6447A">
        <w:trPr>
          <w:trHeight w:val="315"/>
        </w:trPr>
        <w:tc>
          <w:tcPr>
            <w:tcW w:w="2315"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2419"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1021"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202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2</w:t>
            </w:r>
            <w:r w:rsidRPr="002224E2">
              <w:t>）</w:t>
            </w:r>
            <w:r w:rsidRPr="002224E2">
              <w:t>/</w:t>
            </w:r>
            <w:r w:rsidRPr="002224E2">
              <w:t>（</w:t>
            </w:r>
            <w:r w:rsidRPr="002224E2">
              <w:t>1</w:t>
            </w:r>
            <w:r w:rsidRPr="002224E2">
              <w:t>）</w:t>
            </w:r>
          </w:p>
        </w:tc>
      </w:tr>
      <w:tr w:rsidR="0021381C" w:rsidRPr="002224E2" w:rsidTr="00E6447A">
        <w:trPr>
          <w:trHeight w:val="285"/>
        </w:trPr>
        <w:tc>
          <w:tcPr>
            <w:tcW w:w="2315"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203,350</w:t>
            </w:r>
          </w:p>
        </w:tc>
        <w:tc>
          <w:tcPr>
            <w:tcW w:w="2419" w:type="dxa"/>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263,830</w:t>
            </w:r>
          </w:p>
        </w:tc>
        <w:tc>
          <w:tcPr>
            <w:tcW w:w="1021"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208,751</w:t>
            </w:r>
          </w:p>
        </w:tc>
        <w:tc>
          <w:tcPr>
            <w:tcW w:w="2024" w:type="dxa"/>
            <w:tcMar>
              <w:top w:w="15" w:type="dxa"/>
              <w:left w:w="15" w:type="dxa"/>
              <w:bottom w:w="0" w:type="dxa"/>
              <w:right w:w="15" w:type="dxa"/>
            </w:tcMar>
            <w:vAlign w:val="bottom"/>
          </w:tcPr>
          <w:p w:rsidR="0021381C" w:rsidRPr="002224E2" w:rsidRDefault="0021381C" w:rsidP="00E6447A">
            <w:pPr>
              <w:spacing w:before="100" w:line="360" w:lineRule="auto"/>
              <w:jc w:val="center"/>
            </w:pPr>
            <w:r w:rsidRPr="002224E2">
              <w:t>270,837</w:t>
            </w:r>
          </w:p>
        </w:tc>
      </w:tr>
    </w:tbl>
    <w:p w:rsidR="0021381C" w:rsidRPr="00FF6E73" w:rsidRDefault="0021381C" w:rsidP="0021381C">
      <w:pPr>
        <w:rPr>
          <w:sz w:val="32"/>
          <w:szCs w:val="32"/>
        </w:rPr>
      </w:pPr>
      <w:r>
        <w:rPr>
          <w:rFonts w:hint="eastAsia"/>
          <w:sz w:val="32"/>
          <w:szCs w:val="32"/>
        </w:rPr>
        <w:t>Day</w:t>
      </w:r>
      <w:r>
        <w:rPr>
          <w:sz w:val="32"/>
          <w:szCs w:val="32"/>
        </w:rPr>
        <w:t xml:space="preserve"> </w:t>
      </w:r>
      <w:r>
        <w:rPr>
          <w:rFonts w:hint="eastAsia"/>
          <w:sz w:val="32"/>
          <w:szCs w:val="32"/>
        </w:rPr>
        <w:t>5</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C</w:t>
            </w:r>
            <w:r>
              <w:t>losing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112,600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21,600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4.85</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104,760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B</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16,000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4.6</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36,800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19.1</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124,150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265,710</w:t>
            </w:r>
          </w:p>
        </w:tc>
      </w:tr>
    </w:tbl>
    <w:p w:rsidR="0021381C" w:rsidRPr="00405AE0" w:rsidRDefault="0021381C" w:rsidP="0021381C">
      <w:pPr>
        <w:spacing w:before="100" w:line="360" w:lineRule="auto"/>
        <w:rPr>
          <w:sz w:val="32"/>
          <w:szCs w:val="32"/>
        </w:rPr>
      </w:pPr>
      <w:r w:rsidRPr="00405AE0">
        <w:rPr>
          <w:rFonts w:hint="eastAsia"/>
          <w:sz w:val="32"/>
          <w:szCs w:val="32"/>
        </w:rPr>
        <w:t>I</w:t>
      </w:r>
      <w:r w:rsidRPr="00405AE0">
        <w:rPr>
          <w:sz w:val="32"/>
          <w:szCs w:val="32"/>
        </w:rPr>
        <w:t>ndex Calculation</w:t>
      </w: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1720"/>
        <w:gridCol w:w="1020"/>
        <w:gridCol w:w="1020"/>
        <w:gridCol w:w="2024"/>
      </w:tblGrid>
      <w:tr w:rsidR="0021381C" w:rsidRPr="002224E2" w:rsidTr="00E6447A">
        <w:trPr>
          <w:trHeight w:val="315"/>
        </w:trPr>
        <w:tc>
          <w:tcPr>
            <w:tcW w:w="17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Adjusted Market Cap(Yuan)</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Divisor</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B</w:t>
            </w:r>
            <w:r>
              <w:t>ase Index</w:t>
            </w:r>
          </w:p>
        </w:tc>
        <w:tc>
          <w:tcPr>
            <w:tcW w:w="2024"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Pr>
                <w:rFonts w:hint="eastAsia"/>
                <w:b/>
              </w:rPr>
              <w:t>C</w:t>
            </w:r>
            <w:r>
              <w:rPr>
                <w:b/>
              </w:rPr>
              <w:t>losing Index</w:t>
            </w:r>
          </w:p>
        </w:tc>
      </w:tr>
      <w:tr w:rsidR="0021381C" w:rsidRPr="002224E2" w:rsidTr="00E6447A">
        <w:trPr>
          <w:trHeight w:val="315"/>
        </w:trPr>
        <w:tc>
          <w:tcPr>
            <w:tcW w:w="17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202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1</w:t>
            </w:r>
            <w:r w:rsidRPr="002224E2">
              <w:t>）</w:t>
            </w:r>
            <w:r w:rsidRPr="002224E2">
              <w:t>/</w:t>
            </w:r>
            <w:r w:rsidRPr="002224E2">
              <w:t>（</w:t>
            </w:r>
            <w:r w:rsidRPr="002224E2">
              <w:t>2</w:t>
            </w:r>
            <w:r w:rsidRPr="002224E2">
              <w:t>）</w:t>
            </w:r>
          </w:p>
        </w:tc>
      </w:tr>
      <w:tr w:rsidR="0021381C" w:rsidRPr="002224E2" w:rsidTr="00E6447A">
        <w:trPr>
          <w:trHeight w:val="315"/>
        </w:trPr>
        <w:tc>
          <w:tcPr>
            <w:tcW w:w="17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265,710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270,837</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1000</w:t>
            </w:r>
          </w:p>
        </w:tc>
        <w:tc>
          <w:tcPr>
            <w:tcW w:w="2024" w:type="dxa"/>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sidRPr="002224E2">
              <w:rPr>
                <w:b/>
              </w:rPr>
              <w:t>981.07</w:t>
            </w:r>
          </w:p>
        </w:tc>
      </w:tr>
    </w:tbl>
    <w:p w:rsidR="0021381C" w:rsidRPr="00FF6E73" w:rsidRDefault="0021381C" w:rsidP="0021381C">
      <w:pPr>
        <w:rPr>
          <w:sz w:val="32"/>
          <w:szCs w:val="32"/>
        </w:rPr>
      </w:pPr>
      <w:r>
        <w:rPr>
          <w:rFonts w:hint="eastAsia"/>
          <w:sz w:val="32"/>
          <w:szCs w:val="32"/>
        </w:rPr>
        <w:t>Day</w:t>
      </w:r>
      <w:r>
        <w:rPr>
          <w:sz w:val="32"/>
          <w:szCs w:val="32"/>
        </w:rPr>
        <w:t xml:space="preserve"> </w:t>
      </w:r>
      <w:r>
        <w:rPr>
          <w:rFonts w:hint="eastAsia"/>
          <w:sz w:val="32"/>
          <w:szCs w:val="32"/>
        </w:rPr>
        <w:t>6</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C</w:t>
            </w:r>
            <w:r>
              <w:t>losing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112,600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21,600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4.8</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103,680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B</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16,000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4.65</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37,200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19.5</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126,750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267,630</w:t>
            </w:r>
          </w:p>
        </w:tc>
      </w:tr>
    </w:tbl>
    <w:p w:rsidR="0021381C" w:rsidRPr="00405AE0" w:rsidRDefault="0021381C" w:rsidP="0021381C">
      <w:pPr>
        <w:spacing w:before="100" w:line="360" w:lineRule="auto"/>
        <w:rPr>
          <w:sz w:val="32"/>
          <w:szCs w:val="32"/>
        </w:rPr>
      </w:pPr>
      <w:r w:rsidRPr="00405AE0">
        <w:rPr>
          <w:rFonts w:hint="eastAsia"/>
          <w:sz w:val="32"/>
          <w:szCs w:val="32"/>
        </w:rPr>
        <w:t>I</w:t>
      </w:r>
      <w:r w:rsidRPr="00405AE0">
        <w:rPr>
          <w:sz w:val="32"/>
          <w:szCs w:val="32"/>
        </w:rPr>
        <w:t>ndex Calculation</w:t>
      </w: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1720"/>
        <w:gridCol w:w="1020"/>
        <w:gridCol w:w="1020"/>
        <w:gridCol w:w="2024"/>
      </w:tblGrid>
      <w:tr w:rsidR="0021381C" w:rsidRPr="002224E2" w:rsidTr="00E6447A">
        <w:trPr>
          <w:trHeight w:val="315"/>
        </w:trPr>
        <w:tc>
          <w:tcPr>
            <w:tcW w:w="17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Adjusted Market Cap(Yuan)</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Divisor</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B</w:t>
            </w:r>
            <w:r>
              <w:t>ase Index</w:t>
            </w:r>
          </w:p>
        </w:tc>
        <w:tc>
          <w:tcPr>
            <w:tcW w:w="2024"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Pr>
                <w:rFonts w:hint="eastAsia"/>
                <w:b/>
              </w:rPr>
              <w:t>C</w:t>
            </w:r>
            <w:r>
              <w:rPr>
                <w:b/>
              </w:rPr>
              <w:t>losing Index</w:t>
            </w:r>
          </w:p>
        </w:tc>
      </w:tr>
      <w:tr w:rsidR="0021381C" w:rsidRPr="002224E2" w:rsidTr="00E6447A">
        <w:trPr>
          <w:trHeight w:val="315"/>
        </w:trPr>
        <w:tc>
          <w:tcPr>
            <w:tcW w:w="17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202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1</w:t>
            </w:r>
            <w:r w:rsidRPr="002224E2">
              <w:t>）</w:t>
            </w:r>
            <w:r w:rsidRPr="002224E2">
              <w:t>/</w:t>
            </w:r>
            <w:r w:rsidRPr="002224E2">
              <w:t>（</w:t>
            </w:r>
            <w:r w:rsidRPr="002224E2">
              <w:t>2</w:t>
            </w:r>
            <w:r w:rsidRPr="002224E2">
              <w:t>）</w:t>
            </w:r>
          </w:p>
        </w:tc>
      </w:tr>
      <w:tr w:rsidR="0021381C" w:rsidRPr="002224E2" w:rsidTr="00E6447A">
        <w:trPr>
          <w:trHeight w:val="315"/>
        </w:trPr>
        <w:tc>
          <w:tcPr>
            <w:tcW w:w="17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267,630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270,837</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1000</w:t>
            </w:r>
          </w:p>
        </w:tc>
        <w:tc>
          <w:tcPr>
            <w:tcW w:w="2024" w:type="dxa"/>
            <w:tcMar>
              <w:top w:w="15" w:type="dxa"/>
              <w:left w:w="15" w:type="dxa"/>
              <w:bottom w:w="0" w:type="dxa"/>
              <w:right w:w="15" w:type="dxa"/>
            </w:tcMar>
            <w:vAlign w:val="center"/>
          </w:tcPr>
          <w:p w:rsidR="0021381C" w:rsidRPr="002224E2" w:rsidRDefault="0021381C" w:rsidP="00E6447A">
            <w:pPr>
              <w:spacing w:before="100" w:line="360" w:lineRule="auto"/>
              <w:jc w:val="center"/>
              <w:rPr>
                <w:b/>
              </w:rPr>
            </w:pPr>
            <w:r w:rsidRPr="002224E2">
              <w:rPr>
                <w:b/>
              </w:rPr>
              <w:t>988.16</w:t>
            </w:r>
          </w:p>
        </w:tc>
      </w:tr>
    </w:tbl>
    <w:p w:rsidR="0021381C" w:rsidRPr="002224E2" w:rsidRDefault="0021381C" w:rsidP="0021381C">
      <w:pPr>
        <w:numPr>
          <w:ilvl w:val="0"/>
          <w:numId w:val="1"/>
        </w:numPr>
        <w:spacing w:before="100" w:line="360" w:lineRule="auto"/>
        <w:rPr>
          <w:rFonts w:eastAsia="仿宋_GB2312"/>
          <w:b/>
          <w:sz w:val="28"/>
        </w:rPr>
      </w:pPr>
      <w:r w:rsidRPr="00BF3F0E">
        <w:rPr>
          <w:sz w:val="32"/>
          <w:szCs w:val="32"/>
        </w:rPr>
        <w:t>Share changes</w:t>
      </w:r>
    </w:p>
    <w:p w:rsidR="0021381C" w:rsidRPr="002224E2" w:rsidRDefault="0021381C" w:rsidP="0021381C">
      <w:pPr>
        <w:spacing w:before="100" w:line="360" w:lineRule="auto"/>
        <w:rPr>
          <w:rFonts w:eastAsia="仿宋_GB2312"/>
          <w:sz w:val="28"/>
        </w:rPr>
      </w:pPr>
      <w:r w:rsidRPr="00BF3F0E">
        <w:rPr>
          <w:sz w:val="32"/>
          <w:szCs w:val="32"/>
        </w:rPr>
        <w:t>Stock C announces share change and listing of right offerings:   The total shares</w:t>
      </w:r>
      <w:r>
        <w:rPr>
          <w:sz w:val="32"/>
          <w:szCs w:val="32"/>
        </w:rPr>
        <w:t xml:space="preserve"> and negotiable shares changes to</w:t>
      </w:r>
      <w:r w:rsidRPr="00BF3F0E">
        <w:rPr>
          <w:sz w:val="32"/>
          <w:szCs w:val="32"/>
        </w:rPr>
        <w:t xml:space="preserve"> </w:t>
      </w:r>
      <w:r>
        <w:rPr>
          <w:sz w:val="32"/>
          <w:szCs w:val="32"/>
        </w:rPr>
        <w:t>6470</w:t>
      </w:r>
      <w:r w:rsidRPr="00BF3F0E">
        <w:rPr>
          <w:sz w:val="32"/>
          <w:szCs w:val="32"/>
        </w:rPr>
        <w:t>.</w:t>
      </w:r>
      <w:r>
        <w:rPr>
          <w:sz w:val="32"/>
          <w:szCs w:val="32"/>
        </w:rPr>
        <w:t xml:space="preserve"> No </w:t>
      </w:r>
      <w:r>
        <w:rPr>
          <w:sz w:val="32"/>
          <w:szCs w:val="32"/>
        </w:rPr>
        <w:lastRenderedPageBreak/>
        <w:t>adjustment is required.</w:t>
      </w:r>
      <w:r w:rsidRPr="00BF3F0E">
        <w:rPr>
          <w:sz w:val="32"/>
          <w:szCs w:val="32"/>
        </w:rPr>
        <w:t xml:space="preserve"> The next day is the listing date o</w:t>
      </w:r>
      <w:r>
        <w:rPr>
          <w:sz w:val="32"/>
          <w:szCs w:val="32"/>
        </w:rPr>
        <w:t>f the right offerings.</w:t>
      </w:r>
    </w:p>
    <w:p w:rsidR="0021381C" w:rsidRPr="00FF6E73" w:rsidRDefault="0021381C" w:rsidP="0021381C">
      <w:pPr>
        <w:rPr>
          <w:sz w:val="32"/>
          <w:szCs w:val="32"/>
        </w:rPr>
      </w:pPr>
      <w:r>
        <w:rPr>
          <w:rFonts w:hint="eastAsia"/>
          <w:sz w:val="32"/>
          <w:szCs w:val="32"/>
        </w:rPr>
        <w:t>Day</w:t>
      </w:r>
      <w:r>
        <w:rPr>
          <w:sz w:val="32"/>
          <w:szCs w:val="32"/>
        </w:rPr>
        <w:t xml:space="preserve"> </w:t>
      </w:r>
      <w:r>
        <w:rPr>
          <w:rFonts w:hint="eastAsia"/>
          <w:sz w:val="32"/>
          <w:szCs w:val="32"/>
        </w:rPr>
        <w:t>7</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C</w:t>
            </w:r>
            <w:r>
              <w:t>losing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112,600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21,600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4.9</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105,840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B</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16,000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4.6</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36,800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6,500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6,500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19.6</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127,400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Cs w:val="21"/>
              </w:rPr>
            </w:pPr>
            <w:r w:rsidRPr="002224E2">
              <w:rPr>
                <w:szCs w:val="21"/>
              </w:rPr>
              <w:t>270,040</w:t>
            </w:r>
          </w:p>
        </w:tc>
      </w:tr>
    </w:tbl>
    <w:p w:rsidR="0021381C" w:rsidRPr="00405AE0" w:rsidRDefault="0021381C" w:rsidP="0021381C">
      <w:pPr>
        <w:spacing w:before="100" w:line="360" w:lineRule="auto"/>
        <w:rPr>
          <w:sz w:val="32"/>
          <w:szCs w:val="32"/>
        </w:rPr>
      </w:pPr>
      <w:r w:rsidRPr="00405AE0">
        <w:rPr>
          <w:rFonts w:hint="eastAsia"/>
          <w:sz w:val="32"/>
          <w:szCs w:val="32"/>
        </w:rPr>
        <w:t>I</w:t>
      </w:r>
      <w:r w:rsidRPr="00405AE0">
        <w:rPr>
          <w:sz w:val="32"/>
          <w:szCs w:val="32"/>
        </w:rPr>
        <w:t>ndex Calculation</w:t>
      </w: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1720"/>
        <w:gridCol w:w="1020"/>
        <w:gridCol w:w="1020"/>
        <w:gridCol w:w="2024"/>
      </w:tblGrid>
      <w:tr w:rsidR="0021381C" w:rsidRPr="002224E2" w:rsidTr="00E6447A">
        <w:trPr>
          <w:trHeight w:val="315"/>
        </w:trPr>
        <w:tc>
          <w:tcPr>
            <w:tcW w:w="17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Adjusted Market Cap(Yuan)</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Divisor</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B</w:t>
            </w:r>
            <w:r>
              <w:t>ase Index</w:t>
            </w:r>
          </w:p>
        </w:tc>
        <w:tc>
          <w:tcPr>
            <w:tcW w:w="2024"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Pr>
                <w:rFonts w:hint="eastAsia"/>
                <w:b/>
              </w:rPr>
              <w:t>C</w:t>
            </w:r>
            <w:r>
              <w:rPr>
                <w:b/>
              </w:rPr>
              <w:t>losing Index</w:t>
            </w:r>
          </w:p>
        </w:tc>
      </w:tr>
      <w:tr w:rsidR="0021381C" w:rsidRPr="002224E2" w:rsidTr="00E6447A">
        <w:trPr>
          <w:trHeight w:val="315"/>
        </w:trPr>
        <w:tc>
          <w:tcPr>
            <w:tcW w:w="17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102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202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1</w:t>
            </w:r>
            <w:r w:rsidRPr="002224E2">
              <w:t>）</w:t>
            </w:r>
            <w:r w:rsidRPr="002224E2">
              <w:t>/</w:t>
            </w:r>
            <w:r w:rsidRPr="002224E2">
              <w:t>（</w:t>
            </w:r>
            <w:r w:rsidRPr="002224E2">
              <w:t>2</w:t>
            </w:r>
            <w:r w:rsidRPr="002224E2">
              <w:t>）</w:t>
            </w:r>
          </w:p>
        </w:tc>
      </w:tr>
      <w:tr w:rsidR="0021381C" w:rsidRPr="002224E2" w:rsidTr="00E6447A">
        <w:trPr>
          <w:trHeight w:val="315"/>
        </w:trPr>
        <w:tc>
          <w:tcPr>
            <w:tcW w:w="1720" w:type="dxa"/>
            <w:tcMar>
              <w:top w:w="15" w:type="dxa"/>
              <w:left w:w="15" w:type="dxa"/>
              <w:bottom w:w="0" w:type="dxa"/>
              <w:right w:w="15" w:type="dxa"/>
            </w:tcMar>
            <w:vAlign w:val="bottom"/>
          </w:tcPr>
          <w:p w:rsidR="0021381C" w:rsidRPr="002224E2" w:rsidRDefault="0021381C" w:rsidP="00E6447A">
            <w:pPr>
              <w:spacing w:before="100" w:line="360" w:lineRule="auto"/>
              <w:jc w:val="center"/>
              <w:rPr>
                <w:szCs w:val="21"/>
              </w:rPr>
            </w:pPr>
            <w:r w:rsidRPr="002224E2">
              <w:rPr>
                <w:szCs w:val="21"/>
              </w:rPr>
              <w:t>270,040</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270,837</w:t>
            </w:r>
          </w:p>
        </w:tc>
        <w:tc>
          <w:tcPr>
            <w:tcW w:w="102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1000</w:t>
            </w:r>
          </w:p>
        </w:tc>
        <w:tc>
          <w:tcPr>
            <w:tcW w:w="2024" w:type="dxa"/>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sidRPr="002224E2">
              <w:rPr>
                <w:b/>
              </w:rPr>
              <w:t>997.06</w:t>
            </w:r>
          </w:p>
        </w:tc>
      </w:tr>
    </w:tbl>
    <w:p w:rsidR="0021381C" w:rsidRPr="002224E2" w:rsidRDefault="0021381C" w:rsidP="0021381C">
      <w:pPr>
        <w:numPr>
          <w:ilvl w:val="0"/>
          <w:numId w:val="1"/>
        </w:numPr>
        <w:spacing w:before="100" w:line="360" w:lineRule="auto"/>
        <w:rPr>
          <w:rFonts w:eastAsia="仿宋_GB2312"/>
          <w:b/>
          <w:sz w:val="28"/>
        </w:rPr>
      </w:pPr>
      <w:r>
        <w:rPr>
          <w:sz w:val="32"/>
          <w:szCs w:val="32"/>
        </w:rPr>
        <w:t>Periodical Adjustment</w:t>
      </w:r>
    </w:p>
    <w:p w:rsidR="0021381C" w:rsidRDefault="0021381C" w:rsidP="0021381C">
      <w:pPr>
        <w:rPr>
          <w:rFonts w:eastAsia="仿宋_GB2312"/>
          <w:sz w:val="28"/>
        </w:rPr>
      </w:pPr>
      <w:r w:rsidRPr="00BF3F0E">
        <w:rPr>
          <w:sz w:val="32"/>
          <w:szCs w:val="32"/>
        </w:rPr>
        <w:t xml:space="preserve">Stock B is </w:t>
      </w:r>
      <w:r>
        <w:rPr>
          <w:sz w:val="32"/>
          <w:szCs w:val="32"/>
        </w:rPr>
        <w:t>not qualified in periodical review and is going to be removed from the index</w:t>
      </w:r>
      <w:r w:rsidRPr="00BF3F0E">
        <w:rPr>
          <w:sz w:val="32"/>
          <w:szCs w:val="32"/>
        </w:rPr>
        <w:t xml:space="preserve">. Stock D is </w:t>
      </w:r>
      <w:r>
        <w:rPr>
          <w:sz w:val="32"/>
          <w:szCs w:val="32"/>
        </w:rPr>
        <w:t>going to</w:t>
      </w:r>
      <w:r w:rsidRPr="00BF3F0E">
        <w:rPr>
          <w:sz w:val="32"/>
          <w:szCs w:val="32"/>
        </w:rPr>
        <w:t xml:space="preserve"> </w:t>
      </w:r>
      <w:r>
        <w:rPr>
          <w:sz w:val="32"/>
          <w:szCs w:val="32"/>
        </w:rPr>
        <w:t xml:space="preserve">be added </w:t>
      </w:r>
      <w:r w:rsidRPr="00BF3F0E">
        <w:rPr>
          <w:sz w:val="32"/>
          <w:szCs w:val="32"/>
        </w:rPr>
        <w:t>t</w:t>
      </w:r>
      <w:r>
        <w:rPr>
          <w:sz w:val="32"/>
          <w:szCs w:val="32"/>
        </w:rPr>
        <w:t>o the index</w:t>
      </w:r>
      <w:r w:rsidRPr="00BF3F0E">
        <w:rPr>
          <w:sz w:val="32"/>
          <w:szCs w:val="32"/>
        </w:rPr>
        <w:t>.</w:t>
      </w:r>
    </w:p>
    <w:p w:rsidR="0021381C" w:rsidRPr="004C4571" w:rsidRDefault="0021381C" w:rsidP="0021381C">
      <w:pPr>
        <w:spacing w:before="100" w:line="360" w:lineRule="auto"/>
        <w:rPr>
          <w:rFonts w:eastAsia="仿宋_GB2312"/>
          <w:sz w:val="28"/>
        </w:rPr>
      </w:pPr>
      <w:r>
        <w:rPr>
          <w:sz w:val="32"/>
          <w:szCs w:val="32"/>
        </w:rPr>
        <w:t>Index Adjustment</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t>Ex-right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112,600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21,600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4.9</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105,840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lastRenderedPageBreak/>
              <w:t>C</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19.6</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pPr>
            <w:r w:rsidRPr="002224E2">
              <w:t>127,400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D</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6,400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9.1</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58,240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ind w:firstLineChars="200" w:firstLine="420"/>
              <w:rPr>
                <w:szCs w:val="21"/>
              </w:rPr>
            </w:pPr>
            <w:r w:rsidRPr="002224E2">
              <w:rPr>
                <w:szCs w:val="21"/>
              </w:rPr>
              <w:t>291,480</w:t>
            </w:r>
          </w:p>
        </w:tc>
      </w:tr>
    </w:tbl>
    <w:p w:rsidR="0021381C" w:rsidRPr="002224E2" w:rsidRDefault="0021381C" w:rsidP="0021381C">
      <w:pPr>
        <w:spacing w:before="100" w:line="360" w:lineRule="auto"/>
        <w:rPr>
          <w:rFonts w:eastAsia="仿宋_GB2312"/>
          <w:b/>
          <w:sz w:val="28"/>
        </w:rPr>
      </w:pP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2060"/>
        <w:gridCol w:w="2165"/>
        <w:gridCol w:w="830"/>
        <w:gridCol w:w="1704"/>
      </w:tblGrid>
      <w:tr w:rsidR="0021381C" w:rsidRPr="002224E2" w:rsidTr="00E6447A">
        <w:trPr>
          <w:trHeight w:val="315"/>
        </w:trPr>
        <w:tc>
          <w:tcPr>
            <w:tcW w:w="206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T</w:t>
            </w:r>
            <w:r>
              <w:t>otal Adjusted Market Cap before Adjustment (Yuan)</w:t>
            </w:r>
          </w:p>
        </w:tc>
        <w:tc>
          <w:tcPr>
            <w:tcW w:w="2165"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T</w:t>
            </w:r>
            <w:r>
              <w:t>otal Adjusted Market Cap after Adjustment (Yuan)</w:t>
            </w:r>
          </w:p>
        </w:tc>
        <w:tc>
          <w:tcPr>
            <w:tcW w:w="83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O</w:t>
            </w:r>
            <w:r>
              <w:t>ld Divisor</w:t>
            </w:r>
          </w:p>
        </w:tc>
        <w:tc>
          <w:tcPr>
            <w:tcW w:w="1704" w:type="dxa"/>
            <w:tcBorders>
              <w:bottom w:val="single" w:sz="6" w:space="0" w:color="808080"/>
            </w:tcBorders>
            <w:tcMar>
              <w:top w:w="15" w:type="dxa"/>
              <w:left w:w="15" w:type="dxa"/>
              <w:bottom w:w="0" w:type="dxa"/>
              <w:right w:w="15" w:type="dxa"/>
            </w:tcMar>
            <w:vAlign w:val="center"/>
          </w:tcPr>
          <w:p w:rsidR="0021381C" w:rsidRPr="00196B7E" w:rsidRDefault="0021381C" w:rsidP="00E6447A">
            <w:pPr>
              <w:spacing w:line="360" w:lineRule="auto"/>
              <w:jc w:val="center"/>
              <w:rPr>
                <w:sz w:val="24"/>
              </w:rPr>
            </w:pPr>
            <w:r w:rsidRPr="00196B7E">
              <w:t>New Divisor</w:t>
            </w:r>
          </w:p>
        </w:tc>
      </w:tr>
      <w:tr w:rsidR="0021381C" w:rsidRPr="002224E2" w:rsidTr="00E6447A">
        <w:trPr>
          <w:trHeight w:val="315"/>
        </w:trPr>
        <w:tc>
          <w:tcPr>
            <w:tcW w:w="206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2165"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83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170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2</w:t>
            </w:r>
            <w:r w:rsidRPr="002224E2">
              <w:t>）</w:t>
            </w:r>
            <w:r w:rsidRPr="002224E2">
              <w:t>/</w:t>
            </w:r>
            <w:r w:rsidRPr="002224E2">
              <w:t>（</w:t>
            </w:r>
            <w:r w:rsidRPr="002224E2">
              <w:t>1</w:t>
            </w:r>
            <w:r w:rsidRPr="002224E2">
              <w:t>）</w:t>
            </w:r>
          </w:p>
        </w:tc>
      </w:tr>
      <w:tr w:rsidR="0021381C" w:rsidRPr="002224E2" w:rsidTr="00E6447A">
        <w:trPr>
          <w:trHeight w:val="285"/>
        </w:trPr>
        <w:tc>
          <w:tcPr>
            <w:tcW w:w="2060" w:type="dxa"/>
            <w:tcMar>
              <w:top w:w="15" w:type="dxa"/>
              <w:left w:w="15" w:type="dxa"/>
              <w:bottom w:w="0" w:type="dxa"/>
              <w:right w:w="15" w:type="dxa"/>
            </w:tcMar>
            <w:vAlign w:val="bottom"/>
          </w:tcPr>
          <w:p w:rsidR="0021381C" w:rsidRPr="002224E2" w:rsidRDefault="0021381C" w:rsidP="00E6447A">
            <w:pPr>
              <w:spacing w:before="100" w:line="360" w:lineRule="auto"/>
              <w:jc w:val="center"/>
              <w:rPr>
                <w:szCs w:val="21"/>
              </w:rPr>
            </w:pPr>
            <w:r w:rsidRPr="002224E2">
              <w:rPr>
                <w:szCs w:val="21"/>
              </w:rPr>
              <w:t>270,040</w:t>
            </w:r>
          </w:p>
        </w:tc>
        <w:tc>
          <w:tcPr>
            <w:tcW w:w="2165" w:type="dxa"/>
            <w:tcMar>
              <w:top w:w="15" w:type="dxa"/>
              <w:left w:w="15" w:type="dxa"/>
              <w:bottom w:w="0" w:type="dxa"/>
              <w:right w:w="15" w:type="dxa"/>
            </w:tcMar>
            <w:vAlign w:val="center"/>
          </w:tcPr>
          <w:p w:rsidR="0021381C" w:rsidRPr="002224E2" w:rsidRDefault="0021381C" w:rsidP="00E6447A">
            <w:pPr>
              <w:spacing w:before="100" w:line="360" w:lineRule="auto"/>
              <w:jc w:val="center"/>
              <w:rPr>
                <w:szCs w:val="21"/>
              </w:rPr>
            </w:pPr>
            <w:r w:rsidRPr="002224E2">
              <w:rPr>
                <w:szCs w:val="21"/>
              </w:rPr>
              <w:t>291,480</w:t>
            </w:r>
          </w:p>
        </w:tc>
        <w:tc>
          <w:tcPr>
            <w:tcW w:w="83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270,837</w:t>
            </w:r>
          </w:p>
        </w:tc>
        <w:tc>
          <w:tcPr>
            <w:tcW w:w="1704"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292,340</w:t>
            </w:r>
          </w:p>
        </w:tc>
      </w:tr>
    </w:tbl>
    <w:p w:rsidR="0021381C" w:rsidRPr="00FF6E73" w:rsidRDefault="0021381C" w:rsidP="0021381C">
      <w:pPr>
        <w:rPr>
          <w:sz w:val="32"/>
          <w:szCs w:val="32"/>
        </w:rPr>
      </w:pPr>
      <w:r>
        <w:rPr>
          <w:rFonts w:hint="eastAsia"/>
          <w:sz w:val="32"/>
          <w:szCs w:val="32"/>
        </w:rPr>
        <w:t>Day</w:t>
      </w:r>
      <w:r>
        <w:rPr>
          <w:sz w:val="32"/>
          <w:szCs w:val="32"/>
        </w:rPr>
        <w:t xml:space="preserve"> </w:t>
      </w:r>
      <w:r>
        <w:rPr>
          <w:rFonts w:hint="eastAsia"/>
          <w:sz w:val="32"/>
          <w:szCs w:val="32"/>
        </w:rPr>
        <w:t>8</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C</w:t>
            </w:r>
            <w:r>
              <w:t>losing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112,600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21,600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5.1</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110,160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C</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6,500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20</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Cs w:val="21"/>
              </w:rPr>
            </w:pPr>
            <w:r w:rsidRPr="002224E2">
              <w:rPr>
                <w:szCs w:val="21"/>
              </w:rPr>
              <w:t>130,000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D</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6,400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9.5</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60,800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Cs w:val="21"/>
              </w:rPr>
            </w:pPr>
            <w:r w:rsidRPr="002224E2">
              <w:rPr>
                <w:szCs w:val="21"/>
              </w:rPr>
              <w:t>300,960</w:t>
            </w:r>
          </w:p>
        </w:tc>
      </w:tr>
    </w:tbl>
    <w:p w:rsidR="0021381C" w:rsidRPr="00405AE0" w:rsidRDefault="0021381C" w:rsidP="0021381C">
      <w:pPr>
        <w:spacing w:before="100" w:line="360" w:lineRule="auto"/>
        <w:rPr>
          <w:sz w:val="32"/>
          <w:szCs w:val="32"/>
        </w:rPr>
      </w:pPr>
      <w:r w:rsidRPr="00405AE0">
        <w:rPr>
          <w:rFonts w:hint="eastAsia"/>
          <w:sz w:val="32"/>
          <w:szCs w:val="32"/>
        </w:rPr>
        <w:t>I</w:t>
      </w:r>
      <w:r w:rsidRPr="00405AE0">
        <w:rPr>
          <w:sz w:val="32"/>
          <w:szCs w:val="32"/>
        </w:rPr>
        <w:t>ndex Calculation</w:t>
      </w: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1720"/>
        <w:gridCol w:w="1020"/>
        <w:gridCol w:w="1020"/>
        <w:gridCol w:w="2024"/>
      </w:tblGrid>
      <w:tr w:rsidR="0021381C" w:rsidRPr="002224E2" w:rsidTr="00E6447A">
        <w:trPr>
          <w:trHeight w:val="315"/>
        </w:trPr>
        <w:tc>
          <w:tcPr>
            <w:tcW w:w="1720" w:type="dxa"/>
            <w:tcBorders>
              <w:top w:val="single" w:sz="12" w:space="0" w:color="808080"/>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Adjusted Market Cap(Yuan)</w:t>
            </w:r>
          </w:p>
        </w:tc>
        <w:tc>
          <w:tcPr>
            <w:tcW w:w="1020" w:type="dxa"/>
            <w:tcBorders>
              <w:top w:val="single" w:sz="12" w:space="0" w:color="808080"/>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Divisor</w:t>
            </w:r>
          </w:p>
        </w:tc>
        <w:tc>
          <w:tcPr>
            <w:tcW w:w="1020" w:type="dxa"/>
            <w:tcBorders>
              <w:top w:val="single" w:sz="12" w:space="0" w:color="808080"/>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B</w:t>
            </w:r>
            <w:r>
              <w:t>ase Index</w:t>
            </w:r>
          </w:p>
        </w:tc>
        <w:tc>
          <w:tcPr>
            <w:tcW w:w="2024" w:type="dxa"/>
            <w:tcBorders>
              <w:top w:val="single" w:sz="12" w:space="0" w:color="808080"/>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Pr>
                <w:rFonts w:hint="eastAsia"/>
                <w:b/>
              </w:rPr>
              <w:t>C</w:t>
            </w:r>
            <w:r>
              <w:rPr>
                <w:b/>
              </w:rPr>
              <w:t>losing Index</w:t>
            </w:r>
          </w:p>
        </w:tc>
      </w:tr>
      <w:tr w:rsidR="0021381C" w:rsidRPr="002224E2" w:rsidTr="00E6447A">
        <w:trPr>
          <w:trHeight w:val="315"/>
        </w:trPr>
        <w:tc>
          <w:tcPr>
            <w:tcW w:w="1720" w:type="dxa"/>
            <w:tcBorders>
              <w:bottom w:val="single" w:sz="6" w:space="0" w:color="808080"/>
            </w:tcBorders>
            <w:tcMar>
              <w:top w:w="15" w:type="dxa"/>
              <w:left w:w="15" w:type="dxa"/>
              <w:bottom w:w="0" w:type="dxa"/>
              <w:right w:w="15" w:type="dxa"/>
            </w:tcMar>
            <w:vAlign w:val="center"/>
          </w:tcPr>
          <w:p w:rsidR="0021381C" w:rsidRPr="002224E2" w:rsidRDefault="0021381C" w:rsidP="00E6447A">
            <w:pPr>
              <w:tabs>
                <w:tab w:val="num" w:pos="420"/>
              </w:tabs>
              <w:spacing w:before="100" w:line="360" w:lineRule="auto"/>
              <w:ind w:left="420" w:hanging="420"/>
            </w:pPr>
            <w:r w:rsidRPr="002224E2">
              <w:t>（</w:t>
            </w:r>
            <w:r w:rsidRPr="002224E2">
              <w:t>1</w:t>
            </w:r>
            <w:r w:rsidRPr="002224E2">
              <w:t>）</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tabs>
                <w:tab w:val="num" w:pos="420"/>
              </w:tabs>
              <w:spacing w:before="100" w:line="360" w:lineRule="auto"/>
              <w:ind w:left="420" w:hanging="420"/>
            </w:pPr>
            <w:r w:rsidRPr="002224E2">
              <w:t>（</w:t>
            </w:r>
            <w:r w:rsidRPr="002224E2">
              <w:t>2</w:t>
            </w:r>
            <w:r w:rsidRPr="002224E2">
              <w:t>）</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tabs>
                <w:tab w:val="num" w:pos="420"/>
              </w:tabs>
              <w:spacing w:before="100" w:line="360" w:lineRule="auto"/>
              <w:ind w:left="420" w:hanging="420"/>
            </w:pPr>
            <w:r w:rsidRPr="002224E2">
              <w:t>（</w:t>
            </w:r>
            <w:r w:rsidRPr="002224E2">
              <w:t>3</w:t>
            </w:r>
            <w:r w:rsidRPr="002224E2">
              <w:t>）</w:t>
            </w:r>
          </w:p>
        </w:tc>
        <w:tc>
          <w:tcPr>
            <w:tcW w:w="2024" w:type="dxa"/>
            <w:tcBorders>
              <w:bottom w:val="single" w:sz="6" w:space="0" w:color="808080"/>
            </w:tcBorders>
            <w:tcMar>
              <w:top w:w="15" w:type="dxa"/>
              <w:left w:w="15" w:type="dxa"/>
              <w:bottom w:w="0" w:type="dxa"/>
              <w:right w:w="15" w:type="dxa"/>
            </w:tcMar>
            <w:vAlign w:val="center"/>
          </w:tcPr>
          <w:p w:rsidR="0021381C" w:rsidRPr="002224E2" w:rsidRDefault="0021381C" w:rsidP="00E6447A">
            <w:pPr>
              <w:tabs>
                <w:tab w:val="num" w:pos="420"/>
              </w:tabs>
              <w:spacing w:before="100" w:line="360" w:lineRule="auto"/>
              <w:ind w:left="420" w:hanging="420"/>
              <w:rPr>
                <w:b/>
              </w:rPr>
            </w:pPr>
            <w:r w:rsidRPr="002224E2">
              <w:rPr>
                <w:b/>
              </w:rPr>
              <w:t>（</w:t>
            </w:r>
            <w:r w:rsidRPr="002224E2">
              <w:rPr>
                <w:b/>
              </w:rPr>
              <w:t>3</w:t>
            </w:r>
            <w:r w:rsidRPr="002224E2">
              <w:rPr>
                <w:b/>
              </w:rPr>
              <w:t>）</w:t>
            </w:r>
            <w:r w:rsidRPr="002224E2">
              <w:rPr>
                <w:b/>
              </w:rPr>
              <w:t>*</w:t>
            </w:r>
            <w:r w:rsidRPr="002224E2">
              <w:rPr>
                <w:b/>
              </w:rPr>
              <w:t>（</w:t>
            </w:r>
            <w:r w:rsidRPr="002224E2">
              <w:rPr>
                <w:b/>
              </w:rPr>
              <w:t>1</w:t>
            </w:r>
            <w:r w:rsidRPr="002224E2">
              <w:rPr>
                <w:b/>
              </w:rPr>
              <w:t>）</w:t>
            </w:r>
            <w:r w:rsidRPr="002224E2">
              <w:rPr>
                <w:b/>
              </w:rPr>
              <w:t>/</w:t>
            </w:r>
            <w:r w:rsidRPr="002224E2">
              <w:rPr>
                <w:b/>
              </w:rPr>
              <w:t>（</w:t>
            </w:r>
            <w:r w:rsidRPr="002224E2">
              <w:rPr>
                <w:b/>
              </w:rPr>
              <w:t>2</w:t>
            </w:r>
            <w:r w:rsidRPr="002224E2">
              <w:rPr>
                <w:b/>
              </w:rPr>
              <w:t>）</w:t>
            </w:r>
          </w:p>
        </w:tc>
      </w:tr>
      <w:tr w:rsidR="0021381C" w:rsidRPr="002224E2" w:rsidTr="00E6447A">
        <w:trPr>
          <w:trHeight w:val="315"/>
        </w:trPr>
        <w:tc>
          <w:tcPr>
            <w:tcW w:w="1720" w:type="dxa"/>
            <w:tcBorders>
              <w:bottom w:val="single" w:sz="6" w:space="0" w:color="808080"/>
            </w:tcBorders>
            <w:tcMar>
              <w:top w:w="15" w:type="dxa"/>
              <w:left w:w="15" w:type="dxa"/>
              <w:bottom w:w="0" w:type="dxa"/>
              <w:right w:w="15" w:type="dxa"/>
            </w:tcMar>
            <w:vAlign w:val="center"/>
          </w:tcPr>
          <w:p w:rsidR="0021381C" w:rsidRPr="002224E2" w:rsidRDefault="0021381C" w:rsidP="00E6447A">
            <w:pPr>
              <w:tabs>
                <w:tab w:val="num" w:pos="420"/>
              </w:tabs>
              <w:spacing w:before="100" w:line="360" w:lineRule="auto"/>
              <w:ind w:left="420" w:hanging="420"/>
            </w:pPr>
            <w:r w:rsidRPr="002224E2">
              <w:t>300,960</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tabs>
                <w:tab w:val="num" w:pos="420"/>
              </w:tabs>
              <w:spacing w:before="100" w:line="360" w:lineRule="auto"/>
              <w:ind w:left="420" w:hanging="420"/>
            </w:pPr>
            <w:r w:rsidRPr="002224E2">
              <w:t>292,340</w:t>
            </w:r>
          </w:p>
        </w:tc>
        <w:tc>
          <w:tcPr>
            <w:tcW w:w="1020" w:type="dxa"/>
            <w:tcBorders>
              <w:bottom w:val="single" w:sz="6" w:space="0" w:color="808080"/>
            </w:tcBorders>
            <w:tcMar>
              <w:top w:w="15" w:type="dxa"/>
              <w:left w:w="15" w:type="dxa"/>
              <w:bottom w:w="0" w:type="dxa"/>
              <w:right w:w="15" w:type="dxa"/>
            </w:tcMar>
            <w:vAlign w:val="center"/>
          </w:tcPr>
          <w:p w:rsidR="0021381C" w:rsidRPr="002224E2" w:rsidRDefault="0021381C" w:rsidP="00E6447A">
            <w:pPr>
              <w:tabs>
                <w:tab w:val="num" w:pos="420"/>
              </w:tabs>
              <w:spacing w:before="100" w:line="360" w:lineRule="auto"/>
              <w:ind w:left="420" w:hanging="420"/>
            </w:pPr>
            <w:r w:rsidRPr="002224E2">
              <w:t>1000</w:t>
            </w:r>
          </w:p>
        </w:tc>
        <w:tc>
          <w:tcPr>
            <w:tcW w:w="2024" w:type="dxa"/>
            <w:tcBorders>
              <w:bottom w:val="single" w:sz="6" w:space="0" w:color="808080"/>
            </w:tcBorders>
            <w:tcMar>
              <w:top w:w="15" w:type="dxa"/>
              <w:left w:w="15" w:type="dxa"/>
              <w:bottom w:w="0" w:type="dxa"/>
              <w:right w:w="15" w:type="dxa"/>
            </w:tcMar>
            <w:vAlign w:val="center"/>
          </w:tcPr>
          <w:p w:rsidR="0021381C" w:rsidRPr="002224E2" w:rsidRDefault="0021381C" w:rsidP="00E6447A">
            <w:pPr>
              <w:tabs>
                <w:tab w:val="num" w:pos="420"/>
              </w:tabs>
              <w:spacing w:before="100" w:line="360" w:lineRule="auto"/>
              <w:ind w:left="420" w:hanging="420"/>
              <w:rPr>
                <w:b/>
              </w:rPr>
            </w:pPr>
            <w:r w:rsidRPr="002224E2">
              <w:rPr>
                <w:b/>
              </w:rPr>
              <w:t>1029.49</w:t>
            </w:r>
          </w:p>
        </w:tc>
      </w:tr>
    </w:tbl>
    <w:p w:rsidR="0021381C" w:rsidRPr="007D7CE9" w:rsidRDefault="0021381C" w:rsidP="0021381C">
      <w:pPr>
        <w:pStyle w:val="a5"/>
        <w:numPr>
          <w:ilvl w:val="0"/>
          <w:numId w:val="1"/>
        </w:numPr>
        <w:ind w:firstLineChars="0"/>
        <w:rPr>
          <w:sz w:val="32"/>
          <w:szCs w:val="32"/>
        </w:rPr>
      </w:pPr>
      <w:r w:rsidRPr="007D7CE9">
        <w:rPr>
          <w:sz w:val="32"/>
          <w:szCs w:val="32"/>
        </w:rPr>
        <w:lastRenderedPageBreak/>
        <w:t>Dividend Payment and Bonus Issue</w:t>
      </w:r>
    </w:p>
    <w:p w:rsidR="0021381C" w:rsidRPr="007D7CE9" w:rsidRDefault="0021381C" w:rsidP="0021381C">
      <w:pPr>
        <w:rPr>
          <w:sz w:val="32"/>
          <w:szCs w:val="32"/>
        </w:rPr>
      </w:pPr>
      <w:r w:rsidRPr="00BF3F0E">
        <w:rPr>
          <w:rFonts w:hint="eastAsia"/>
          <w:sz w:val="32"/>
          <w:szCs w:val="32"/>
        </w:rPr>
        <w:t>Stock C distributes cash dividend</w:t>
      </w:r>
      <w:r>
        <w:rPr>
          <w:sz w:val="32"/>
          <w:szCs w:val="32"/>
        </w:rPr>
        <w:t xml:space="preserve"> </w:t>
      </w:r>
      <w:r w:rsidRPr="00BF3F0E">
        <w:rPr>
          <w:rFonts w:hint="eastAsia"/>
          <w:sz w:val="32"/>
          <w:szCs w:val="32"/>
        </w:rPr>
        <w:t>￥</w:t>
      </w:r>
      <w:r w:rsidRPr="00BF3F0E">
        <w:rPr>
          <w:rFonts w:hint="eastAsia"/>
          <w:sz w:val="32"/>
          <w:szCs w:val="32"/>
        </w:rPr>
        <w:t>1/share, a</w:t>
      </w:r>
      <w:r>
        <w:rPr>
          <w:rFonts w:hint="eastAsia"/>
          <w:sz w:val="32"/>
          <w:szCs w:val="32"/>
        </w:rPr>
        <w:t>nd is to be traded ex-bonus for</w:t>
      </w:r>
      <w:r>
        <w:rPr>
          <w:sz w:val="32"/>
          <w:szCs w:val="32"/>
        </w:rPr>
        <w:t xml:space="preserve"> </w:t>
      </w:r>
      <w:r w:rsidRPr="00BF3F0E">
        <w:rPr>
          <w:sz w:val="32"/>
          <w:szCs w:val="32"/>
        </w:rPr>
        <w:t xml:space="preserve">all shareholders at the ratio of 10 for 10. </w:t>
      </w:r>
      <w:r>
        <w:rPr>
          <w:sz w:val="32"/>
          <w:szCs w:val="32"/>
        </w:rPr>
        <w:t>The next day is ex-right day.</w:t>
      </w:r>
    </w:p>
    <w:p w:rsidR="0021381C" w:rsidRPr="004C4571" w:rsidRDefault="0021381C" w:rsidP="0021381C">
      <w:pPr>
        <w:spacing w:before="100" w:line="360" w:lineRule="auto"/>
        <w:rPr>
          <w:rFonts w:eastAsia="仿宋_GB2312"/>
          <w:sz w:val="28"/>
        </w:rPr>
      </w:pPr>
      <w:r>
        <w:rPr>
          <w:sz w:val="32"/>
          <w:szCs w:val="32"/>
        </w:rPr>
        <w:t>Index Adjustment</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t>Ex-right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112,600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21,600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5.1</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110,160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C</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13,000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13,000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10</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Cs w:val="21"/>
              </w:rPr>
            </w:pPr>
            <w:r w:rsidRPr="002224E2">
              <w:rPr>
                <w:szCs w:val="21"/>
              </w:rPr>
              <w:t>130,000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D</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8,000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6,400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9.5</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60,800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Cs w:val="21"/>
              </w:rPr>
            </w:pPr>
            <w:r w:rsidRPr="002224E2">
              <w:rPr>
                <w:szCs w:val="21"/>
              </w:rPr>
              <w:t>300,960</w:t>
            </w:r>
          </w:p>
        </w:tc>
      </w:tr>
    </w:tbl>
    <w:p w:rsidR="0021381C" w:rsidRPr="002224E2" w:rsidRDefault="0021381C" w:rsidP="0021381C">
      <w:pPr>
        <w:spacing w:before="100" w:line="360" w:lineRule="auto"/>
        <w:ind w:firstLineChars="200" w:firstLine="560"/>
        <w:rPr>
          <w:rFonts w:eastAsia="仿宋_GB2312"/>
          <w:sz w:val="28"/>
        </w:rPr>
      </w:pPr>
    </w:p>
    <w:tbl>
      <w:tblPr>
        <w:tblW w:w="0" w:type="auto"/>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2060"/>
        <w:gridCol w:w="2165"/>
        <w:gridCol w:w="830"/>
        <w:gridCol w:w="1704"/>
      </w:tblGrid>
      <w:tr w:rsidR="0021381C" w:rsidRPr="002224E2" w:rsidTr="00E6447A">
        <w:trPr>
          <w:trHeight w:val="315"/>
        </w:trPr>
        <w:tc>
          <w:tcPr>
            <w:tcW w:w="206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T</w:t>
            </w:r>
            <w:r>
              <w:t>otal Adjusted Market Cap before Adjustment (Yuan)</w:t>
            </w:r>
          </w:p>
        </w:tc>
        <w:tc>
          <w:tcPr>
            <w:tcW w:w="2165"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T</w:t>
            </w:r>
            <w:r>
              <w:t>otal Adjusted Market Cap after Adjustment (Yuan)</w:t>
            </w:r>
          </w:p>
        </w:tc>
        <w:tc>
          <w:tcPr>
            <w:tcW w:w="830" w:type="dxa"/>
            <w:tcBorders>
              <w:bottom w:val="single" w:sz="6" w:space="0" w:color="808080"/>
            </w:tcBorders>
            <w:tcMar>
              <w:top w:w="15" w:type="dxa"/>
              <w:left w:w="15" w:type="dxa"/>
              <w:bottom w:w="0" w:type="dxa"/>
              <w:right w:w="15" w:type="dxa"/>
            </w:tcMar>
            <w:vAlign w:val="center"/>
          </w:tcPr>
          <w:p w:rsidR="0021381C" w:rsidRPr="002224E2" w:rsidRDefault="0021381C" w:rsidP="00E6447A">
            <w:pPr>
              <w:spacing w:line="360" w:lineRule="auto"/>
              <w:jc w:val="center"/>
              <w:rPr>
                <w:sz w:val="24"/>
              </w:rPr>
            </w:pPr>
            <w:r>
              <w:rPr>
                <w:rFonts w:hint="eastAsia"/>
              </w:rPr>
              <w:t>O</w:t>
            </w:r>
            <w:r>
              <w:t>ld Divisor</w:t>
            </w:r>
          </w:p>
        </w:tc>
        <w:tc>
          <w:tcPr>
            <w:tcW w:w="1704" w:type="dxa"/>
            <w:tcBorders>
              <w:bottom w:val="single" w:sz="6" w:space="0" w:color="808080"/>
            </w:tcBorders>
            <w:tcMar>
              <w:top w:w="15" w:type="dxa"/>
              <w:left w:w="15" w:type="dxa"/>
              <w:bottom w:w="0" w:type="dxa"/>
              <w:right w:w="15" w:type="dxa"/>
            </w:tcMar>
            <w:vAlign w:val="center"/>
          </w:tcPr>
          <w:p w:rsidR="0021381C" w:rsidRPr="00196B7E" w:rsidRDefault="0021381C" w:rsidP="00E6447A">
            <w:pPr>
              <w:spacing w:line="360" w:lineRule="auto"/>
              <w:jc w:val="center"/>
              <w:rPr>
                <w:sz w:val="24"/>
              </w:rPr>
            </w:pPr>
            <w:r w:rsidRPr="00196B7E">
              <w:t>New Divisor</w:t>
            </w:r>
          </w:p>
        </w:tc>
      </w:tr>
      <w:tr w:rsidR="0021381C" w:rsidRPr="002224E2" w:rsidTr="00E6447A">
        <w:trPr>
          <w:trHeight w:val="315"/>
        </w:trPr>
        <w:tc>
          <w:tcPr>
            <w:tcW w:w="206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1</w:t>
            </w:r>
            <w:r w:rsidRPr="002224E2">
              <w:t>）</w:t>
            </w:r>
          </w:p>
        </w:tc>
        <w:tc>
          <w:tcPr>
            <w:tcW w:w="2165"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2</w:t>
            </w:r>
            <w:r w:rsidRPr="002224E2">
              <w:t>）</w:t>
            </w:r>
          </w:p>
        </w:tc>
        <w:tc>
          <w:tcPr>
            <w:tcW w:w="830"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p>
        </w:tc>
        <w:tc>
          <w:tcPr>
            <w:tcW w:w="1704" w:type="dxa"/>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w:t>
            </w:r>
            <w:r w:rsidRPr="002224E2">
              <w:t>3</w:t>
            </w:r>
            <w:r w:rsidRPr="002224E2">
              <w:t>）</w:t>
            </w:r>
            <w:r w:rsidRPr="002224E2">
              <w:t>*</w:t>
            </w:r>
            <w:r w:rsidRPr="002224E2">
              <w:t>（</w:t>
            </w:r>
            <w:r w:rsidRPr="002224E2">
              <w:t>2</w:t>
            </w:r>
            <w:r w:rsidRPr="002224E2">
              <w:t>）</w:t>
            </w:r>
            <w:r w:rsidRPr="002224E2">
              <w:t>/</w:t>
            </w:r>
            <w:r w:rsidRPr="002224E2">
              <w:t>（</w:t>
            </w:r>
            <w:r w:rsidRPr="002224E2">
              <w:t>1</w:t>
            </w:r>
            <w:r w:rsidRPr="002224E2">
              <w:t>）</w:t>
            </w:r>
          </w:p>
        </w:tc>
      </w:tr>
      <w:tr w:rsidR="0021381C" w:rsidRPr="002224E2" w:rsidTr="00E6447A">
        <w:trPr>
          <w:trHeight w:val="285"/>
        </w:trPr>
        <w:tc>
          <w:tcPr>
            <w:tcW w:w="2060" w:type="dxa"/>
            <w:tcMar>
              <w:top w:w="15" w:type="dxa"/>
              <w:left w:w="15" w:type="dxa"/>
              <w:bottom w:w="0" w:type="dxa"/>
              <w:right w:w="15" w:type="dxa"/>
            </w:tcMar>
            <w:vAlign w:val="bottom"/>
          </w:tcPr>
          <w:p w:rsidR="0021381C" w:rsidRPr="002224E2" w:rsidRDefault="0021381C" w:rsidP="00E6447A">
            <w:pPr>
              <w:spacing w:before="100" w:line="360" w:lineRule="auto"/>
              <w:jc w:val="center"/>
              <w:rPr>
                <w:szCs w:val="21"/>
              </w:rPr>
            </w:pPr>
            <w:r w:rsidRPr="002224E2">
              <w:rPr>
                <w:szCs w:val="21"/>
              </w:rPr>
              <w:t>300,960</w:t>
            </w:r>
          </w:p>
        </w:tc>
        <w:tc>
          <w:tcPr>
            <w:tcW w:w="2165" w:type="dxa"/>
            <w:tcMar>
              <w:top w:w="15" w:type="dxa"/>
              <w:left w:w="15" w:type="dxa"/>
              <w:bottom w:w="0" w:type="dxa"/>
              <w:right w:w="15" w:type="dxa"/>
            </w:tcMar>
            <w:vAlign w:val="center"/>
          </w:tcPr>
          <w:p w:rsidR="0021381C" w:rsidRPr="002224E2" w:rsidRDefault="0021381C" w:rsidP="00E6447A">
            <w:pPr>
              <w:spacing w:before="100" w:line="360" w:lineRule="auto"/>
              <w:jc w:val="center"/>
              <w:rPr>
                <w:szCs w:val="21"/>
              </w:rPr>
            </w:pPr>
            <w:r w:rsidRPr="002224E2">
              <w:rPr>
                <w:szCs w:val="21"/>
              </w:rPr>
              <w:t>300,960</w:t>
            </w:r>
          </w:p>
        </w:tc>
        <w:tc>
          <w:tcPr>
            <w:tcW w:w="830" w:type="dxa"/>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sidRPr="002224E2">
              <w:t>292,340</w:t>
            </w:r>
          </w:p>
        </w:tc>
        <w:tc>
          <w:tcPr>
            <w:tcW w:w="1704" w:type="dxa"/>
            <w:tcMar>
              <w:top w:w="15" w:type="dxa"/>
              <w:left w:w="15" w:type="dxa"/>
              <w:bottom w:w="0" w:type="dxa"/>
              <w:right w:w="15" w:type="dxa"/>
            </w:tcMar>
            <w:vAlign w:val="bottom"/>
          </w:tcPr>
          <w:p w:rsidR="0021381C" w:rsidRPr="002224E2" w:rsidRDefault="0021381C" w:rsidP="00E6447A">
            <w:pPr>
              <w:spacing w:before="100" w:line="360" w:lineRule="auto"/>
              <w:jc w:val="center"/>
              <w:rPr>
                <w:szCs w:val="21"/>
              </w:rPr>
            </w:pPr>
            <w:r w:rsidRPr="002224E2">
              <w:t>292,340</w:t>
            </w:r>
          </w:p>
        </w:tc>
      </w:tr>
    </w:tbl>
    <w:p w:rsidR="0021381C" w:rsidRPr="00FF6E73" w:rsidRDefault="0021381C" w:rsidP="0021381C">
      <w:pPr>
        <w:rPr>
          <w:sz w:val="32"/>
          <w:szCs w:val="32"/>
        </w:rPr>
      </w:pPr>
      <w:r>
        <w:rPr>
          <w:rFonts w:hint="eastAsia"/>
          <w:sz w:val="32"/>
          <w:szCs w:val="32"/>
        </w:rPr>
        <w:t>Day</w:t>
      </w:r>
      <w:r>
        <w:rPr>
          <w:sz w:val="32"/>
          <w:szCs w:val="32"/>
        </w:rPr>
        <w:t xml:space="preserve"> </w:t>
      </w:r>
      <w:r>
        <w:rPr>
          <w:rFonts w:hint="eastAsia"/>
          <w:sz w:val="32"/>
          <w:szCs w:val="32"/>
        </w:rPr>
        <w:t>9</w:t>
      </w:r>
    </w:p>
    <w:tbl>
      <w:tblPr>
        <w:tblW w:w="5000" w:type="pct"/>
        <w:tblBorders>
          <w:top w:val="single" w:sz="12" w:space="0" w:color="808080"/>
          <w:bottom w:val="single" w:sz="12" w:space="0" w:color="808080"/>
        </w:tblBorders>
        <w:tblCellMar>
          <w:left w:w="0" w:type="dxa"/>
          <w:right w:w="0" w:type="dxa"/>
        </w:tblCellMar>
        <w:tblLook w:val="0000" w:firstRow="0" w:lastRow="0" w:firstColumn="0" w:lastColumn="0" w:noHBand="0" w:noVBand="0"/>
      </w:tblPr>
      <w:tblGrid>
        <w:gridCol w:w="767"/>
        <w:gridCol w:w="1304"/>
        <w:gridCol w:w="1482"/>
        <w:gridCol w:w="2198"/>
        <w:gridCol w:w="2555"/>
      </w:tblGrid>
      <w:tr w:rsidR="0021381C" w:rsidRPr="002224E2" w:rsidTr="00E6447A">
        <w:trPr>
          <w:trHeight w:val="28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S</w:t>
            </w:r>
            <w:r>
              <w:t>tock</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Shares</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Tradable Shares</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C</w:t>
            </w:r>
            <w:r>
              <w:t>losing Price</w:t>
            </w:r>
            <w:r w:rsidRPr="002224E2">
              <w:t>（</w:t>
            </w:r>
            <w:r>
              <w:t>Yuan</w:t>
            </w:r>
            <w:r w:rsidRPr="002224E2">
              <w:t>）</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A</w:t>
            </w:r>
            <w:r>
              <w:t>djusted Market Cap</w:t>
            </w:r>
            <w:r w:rsidRPr="002224E2">
              <w:t>（</w:t>
            </w:r>
            <w:r>
              <w:rPr>
                <w:rFonts w:hint="eastAsia"/>
              </w:rPr>
              <w:t>Y</w:t>
            </w:r>
            <w:r>
              <w:t>uan</w:t>
            </w:r>
            <w:r w:rsidRPr="002224E2">
              <w:t>）</w:t>
            </w:r>
          </w:p>
        </w:tc>
      </w:tr>
      <w:tr w:rsidR="0021381C" w:rsidRPr="002224E2" w:rsidTr="00E6447A">
        <w:trPr>
          <w:trHeight w:val="31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A</w:t>
            </w: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t>112</w:t>
            </w:r>
            <w:r w:rsidRPr="002224E2">
              <w:rPr>
                <w:kern w:val="0"/>
                <w:szCs w:val="21"/>
              </w:rPr>
              <w:t>,600</w:t>
            </w: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21,600</w:t>
            </w:r>
          </w:p>
        </w:tc>
        <w:tc>
          <w:tcPr>
            <w:tcW w:w="1323"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5</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108,000</w:t>
            </w:r>
          </w:p>
        </w:tc>
      </w:tr>
      <w:tr w:rsidR="0021381C" w:rsidRPr="002224E2" w:rsidTr="00E6447A">
        <w:trPr>
          <w:trHeight w:val="315"/>
        </w:trPr>
        <w:tc>
          <w:tcPr>
            <w:tcW w:w="46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C</w:t>
            </w:r>
          </w:p>
        </w:tc>
        <w:tc>
          <w:tcPr>
            <w:tcW w:w="785"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13,000</w:t>
            </w:r>
          </w:p>
        </w:tc>
        <w:tc>
          <w:tcPr>
            <w:tcW w:w="892"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13,000</w:t>
            </w:r>
          </w:p>
        </w:tc>
        <w:tc>
          <w:tcPr>
            <w:tcW w:w="1323" w:type="pct"/>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9</w:t>
            </w:r>
          </w:p>
        </w:tc>
        <w:tc>
          <w:tcPr>
            <w:tcW w:w="1538" w:type="pct"/>
            <w:tcMar>
              <w:top w:w="15" w:type="dxa"/>
              <w:left w:w="15" w:type="dxa"/>
              <w:bottom w:w="0" w:type="dxa"/>
              <w:right w:w="15" w:type="dxa"/>
            </w:tcMar>
            <w:vAlign w:val="center"/>
          </w:tcPr>
          <w:p w:rsidR="0021381C" w:rsidRPr="002224E2" w:rsidRDefault="0021381C" w:rsidP="00E6447A">
            <w:pPr>
              <w:spacing w:before="100" w:line="360" w:lineRule="auto"/>
              <w:jc w:val="center"/>
              <w:rPr>
                <w:szCs w:val="21"/>
              </w:rPr>
            </w:pPr>
            <w:r w:rsidRPr="002224E2">
              <w:rPr>
                <w:szCs w:val="21"/>
              </w:rPr>
              <w:t>117,000</w:t>
            </w:r>
          </w:p>
        </w:tc>
      </w:tr>
      <w:tr w:rsidR="0021381C" w:rsidRPr="002224E2" w:rsidTr="00E6447A">
        <w:trPr>
          <w:trHeight w:val="315"/>
        </w:trPr>
        <w:tc>
          <w:tcPr>
            <w:tcW w:w="46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lastRenderedPageBreak/>
              <w:t>D</w:t>
            </w:r>
          </w:p>
        </w:tc>
        <w:tc>
          <w:tcPr>
            <w:tcW w:w="785"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8,000</w:t>
            </w:r>
          </w:p>
        </w:tc>
        <w:tc>
          <w:tcPr>
            <w:tcW w:w="892"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6,400</w:t>
            </w:r>
          </w:p>
        </w:tc>
        <w:tc>
          <w:tcPr>
            <w:tcW w:w="1323"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10.5</w:t>
            </w:r>
          </w:p>
        </w:tc>
        <w:tc>
          <w:tcPr>
            <w:tcW w:w="1538" w:type="pct"/>
            <w:tcBorders>
              <w:bottom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sidRPr="002224E2">
              <w:rPr>
                <w:kern w:val="0"/>
                <w:szCs w:val="21"/>
              </w:rPr>
              <w:t>67,200</w:t>
            </w:r>
          </w:p>
        </w:tc>
      </w:tr>
      <w:tr w:rsidR="0021381C" w:rsidRPr="002224E2" w:rsidTr="00E6447A">
        <w:trPr>
          <w:trHeight w:val="285"/>
        </w:trPr>
        <w:tc>
          <w:tcPr>
            <w:tcW w:w="46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785"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892"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p>
        </w:tc>
        <w:tc>
          <w:tcPr>
            <w:tcW w:w="1323" w:type="pct"/>
            <w:tcBorders>
              <w:top w:val="single" w:sz="6" w:space="0" w:color="808080"/>
            </w:tcBorders>
            <w:tcMar>
              <w:top w:w="15" w:type="dxa"/>
              <w:left w:w="15" w:type="dxa"/>
              <w:bottom w:w="0" w:type="dxa"/>
              <w:right w:w="15" w:type="dxa"/>
            </w:tcMar>
            <w:vAlign w:val="bottom"/>
          </w:tcPr>
          <w:p w:rsidR="0021381C" w:rsidRPr="002224E2" w:rsidRDefault="0021381C" w:rsidP="00E6447A">
            <w:pPr>
              <w:spacing w:before="100" w:line="360" w:lineRule="auto"/>
              <w:jc w:val="center"/>
              <w:rPr>
                <w:sz w:val="24"/>
              </w:rPr>
            </w:pPr>
            <w:r>
              <w:rPr>
                <w:rFonts w:hint="eastAsia"/>
              </w:rPr>
              <w:t>T</w:t>
            </w:r>
            <w:r>
              <w:t>otal Adjusted Market Cap</w:t>
            </w:r>
          </w:p>
        </w:tc>
        <w:tc>
          <w:tcPr>
            <w:tcW w:w="1538" w:type="pct"/>
            <w:tcBorders>
              <w:top w:val="single" w:sz="6" w:space="0" w:color="808080"/>
            </w:tcBorders>
            <w:tcMar>
              <w:top w:w="15" w:type="dxa"/>
              <w:left w:w="15" w:type="dxa"/>
              <w:bottom w:w="0" w:type="dxa"/>
              <w:right w:w="15" w:type="dxa"/>
            </w:tcMar>
            <w:vAlign w:val="center"/>
          </w:tcPr>
          <w:p w:rsidR="0021381C" w:rsidRPr="002224E2" w:rsidRDefault="0021381C" w:rsidP="00E6447A">
            <w:pPr>
              <w:spacing w:before="100" w:line="360" w:lineRule="auto"/>
              <w:jc w:val="center"/>
              <w:rPr>
                <w:szCs w:val="21"/>
              </w:rPr>
            </w:pPr>
            <w:r w:rsidRPr="002224E2">
              <w:rPr>
                <w:szCs w:val="21"/>
              </w:rPr>
              <w:t>292,200</w:t>
            </w:r>
          </w:p>
        </w:tc>
      </w:tr>
    </w:tbl>
    <w:p w:rsidR="0021381C" w:rsidRPr="00405AE0" w:rsidRDefault="0021381C" w:rsidP="0021381C">
      <w:pPr>
        <w:spacing w:before="100" w:line="360" w:lineRule="auto"/>
        <w:rPr>
          <w:sz w:val="32"/>
          <w:szCs w:val="32"/>
        </w:rPr>
      </w:pPr>
      <w:r w:rsidRPr="00405AE0">
        <w:rPr>
          <w:rFonts w:hint="eastAsia"/>
          <w:sz w:val="32"/>
          <w:szCs w:val="32"/>
        </w:rPr>
        <w:t>I</w:t>
      </w:r>
      <w:r w:rsidRPr="00405AE0">
        <w:rPr>
          <w:sz w:val="32"/>
          <w:szCs w:val="32"/>
        </w:rPr>
        <w:t>ndex Calculation</w:t>
      </w:r>
    </w:p>
    <w:tbl>
      <w:tblPr>
        <w:tblW w:w="0" w:type="auto"/>
        <w:tblCellMar>
          <w:left w:w="0" w:type="dxa"/>
          <w:right w:w="0" w:type="dxa"/>
        </w:tblCellMar>
        <w:tblLook w:val="0000" w:firstRow="0" w:lastRow="0" w:firstColumn="0" w:lastColumn="0" w:noHBand="0" w:noVBand="0"/>
      </w:tblPr>
      <w:tblGrid>
        <w:gridCol w:w="1720"/>
        <w:gridCol w:w="1020"/>
        <w:gridCol w:w="1020"/>
        <w:gridCol w:w="2024"/>
      </w:tblGrid>
      <w:tr w:rsidR="0021381C" w:rsidRPr="002224E2" w:rsidTr="00E6447A">
        <w:trPr>
          <w:trHeight w:val="315"/>
        </w:trPr>
        <w:tc>
          <w:tcPr>
            <w:tcW w:w="1720" w:type="dxa"/>
            <w:tcBorders>
              <w:top w:val="single" w:sz="12" w:space="0" w:color="808080"/>
              <w:left w:val="nil"/>
              <w:bottom w:val="single" w:sz="8" w:space="0" w:color="808080"/>
              <w:right w:val="nil"/>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T</w:t>
            </w:r>
            <w:r>
              <w:t>otal Adjusted Market Cap(Yuan)</w:t>
            </w:r>
          </w:p>
        </w:tc>
        <w:tc>
          <w:tcPr>
            <w:tcW w:w="1020" w:type="dxa"/>
            <w:tcBorders>
              <w:top w:val="single" w:sz="12" w:space="0" w:color="808080"/>
              <w:left w:val="nil"/>
              <w:bottom w:val="single" w:sz="8" w:space="0" w:color="808080"/>
              <w:right w:val="nil"/>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Divisor</w:t>
            </w:r>
          </w:p>
        </w:tc>
        <w:tc>
          <w:tcPr>
            <w:tcW w:w="1020" w:type="dxa"/>
            <w:tcBorders>
              <w:top w:val="single" w:sz="12" w:space="0" w:color="808080"/>
              <w:left w:val="nil"/>
              <w:bottom w:val="single" w:sz="8" w:space="0" w:color="808080"/>
              <w:right w:val="nil"/>
            </w:tcBorders>
            <w:tcMar>
              <w:top w:w="15" w:type="dxa"/>
              <w:left w:w="15" w:type="dxa"/>
              <w:bottom w:w="0" w:type="dxa"/>
              <w:right w:w="15" w:type="dxa"/>
            </w:tcMar>
            <w:vAlign w:val="center"/>
          </w:tcPr>
          <w:p w:rsidR="0021381C" w:rsidRPr="002224E2" w:rsidRDefault="0021381C" w:rsidP="00E6447A">
            <w:pPr>
              <w:spacing w:before="100" w:line="360" w:lineRule="auto"/>
              <w:jc w:val="center"/>
              <w:rPr>
                <w:sz w:val="24"/>
              </w:rPr>
            </w:pPr>
            <w:r>
              <w:rPr>
                <w:rFonts w:hint="eastAsia"/>
              </w:rPr>
              <w:t>B</w:t>
            </w:r>
            <w:r>
              <w:t>ase Index</w:t>
            </w:r>
          </w:p>
        </w:tc>
        <w:tc>
          <w:tcPr>
            <w:tcW w:w="2024" w:type="dxa"/>
            <w:tcBorders>
              <w:top w:val="single" w:sz="12" w:space="0" w:color="808080"/>
              <w:left w:val="nil"/>
              <w:bottom w:val="single" w:sz="8" w:space="0" w:color="808080"/>
              <w:right w:val="nil"/>
            </w:tcBorders>
            <w:tcMar>
              <w:top w:w="15" w:type="dxa"/>
              <w:left w:w="15" w:type="dxa"/>
              <w:bottom w:w="0" w:type="dxa"/>
              <w:right w:w="15" w:type="dxa"/>
            </w:tcMar>
            <w:vAlign w:val="center"/>
          </w:tcPr>
          <w:p w:rsidR="0021381C" w:rsidRPr="002224E2" w:rsidRDefault="0021381C" w:rsidP="00E6447A">
            <w:pPr>
              <w:spacing w:before="100" w:line="360" w:lineRule="auto"/>
              <w:jc w:val="center"/>
              <w:rPr>
                <w:b/>
                <w:sz w:val="24"/>
              </w:rPr>
            </w:pPr>
            <w:r>
              <w:rPr>
                <w:rFonts w:hint="eastAsia"/>
                <w:b/>
              </w:rPr>
              <w:t>C</w:t>
            </w:r>
            <w:r>
              <w:rPr>
                <w:b/>
              </w:rPr>
              <w:t>losing Index</w:t>
            </w:r>
          </w:p>
        </w:tc>
      </w:tr>
      <w:tr w:rsidR="0021381C" w:rsidRPr="002224E2" w:rsidTr="00E6447A">
        <w:trPr>
          <w:trHeight w:val="315"/>
        </w:trPr>
        <w:tc>
          <w:tcPr>
            <w:tcW w:w="1720" w:type="dxa"/>
            <w:tcBorders>
              <w:top w:val="nil"/>
              <w:left w:val="nil"/>
              <w:bottom w:val="nil"/>
              <w:right w:val="nil"/>
            </w:tcBorders>
            <w:tcMar>
              <w:top w:w="15" w:type="dxa"/>
              <w:left w:w="15" w:type="dxa"/>
              <w:bottom w:w="0" w:type="dxa"/>
              <w:right w:w="15" w:type="dxa"/>
            </w:tcMar>
            <w:vAlign w:val="center"/>
          </w:tcPr>
          <w:p w:rsidR="0021381C" w:rsidRPr="002224E2" w:rsidRDefault="0021381C" w:rsidP="00E6447A">
            <w:pPr>
              <w:widowControl/>
              <w:spacing w:before="100" w:line="360" w:lineRule="auto"/>
              <w:jc w:val="center"/>
              <w:rPr>
                <w:kern w:val="0"/>
                <w:szCs w:val="21"/>
              </w:rPr>
            </w:pPr>
            <w:r w:rsidRPr="002224E2">
              <w:rPr>
                <w:kern w:val="0"/>
                <w:szCs w:val="21"/>
              </w:rPr>
              <w:t>（</w:t>
            </w:r>
            <w:r w:rsidRPr="002224E2">
              <w:rPr>
                <w:kern w:val="0"/>
                <w:szCs w:val="21"/>
              </w:rPr>
              <w:t>1</w:t>
            </w:r>
            <w:r w:rsidRPr="002224E2">
              <w:rPr>
                <w:kern w:val="0"/>
                <w:szCs w:val="21"/>
              </w:rPr>
              <w:t>）</w:t>
            </w:r>
          </w:p>
        </w:tc>
        <w:tc>
          <w:tcPr>
            <w:tcW w:w="1020" w:type="dxa"/>
            <w:tcBorders>
              <w:top w:val="nil"/>
              <w:left w:val="nil"/>
              <w:bottom w:val="nil"/>
              <w:right w:val="nil"/>
            </w:tcBorders>
            <w:tcMar>
              <w:top w:w="15" w:type="dxa"/>
              <w:left w:w="15" w:type="dxa"/>
              <w:bottom w:w="0" w:type="dxa"/>
              <w:right w:w="15" w:type="dxa"/>
            </w:tcMar>
            <w:vAlign w:val="center"/>
          </w:tcPr>
          <w:p w:rsidR="0021381C" w:rsidRPr="002224E2" w:rsidRDefault="0021381C" w:rsidP="00E6447A">
            <w:pPr>
              <w:widowControl/>
              <w:spacing w:before="100" w:line="360" w:lineRule="auto"/>
              <w:jc w:val="center"/>
              <w:rPr>
                <w:kern w:val="0"/>
                <w:szCs w:val="21"/>
              </w:rPr>
            </w:pPr>
            <w:r w:rsidRPr="002224E2">
              <w:rPr>
                <w:kern w:val="0"/>
                <w:szCs w:val="21"/>
              </w:rPr>
              <w:t>（</w:t>
            </w:r>
            <w:r w:rsidRPr="002224E2">
              <w:rPr>
                <w:kern w:val="0"/>
                <w:szCs w:val="21"/>
              </w:rPr>
              <w:t>2</w:t>
            </w:r>
            <w:r w:rsidRPr="002224E2">
              <w:rPr>
                <w:kern w:val="0"/>
                <w:szCs w:val="21"/>
              </w:rPr>
              <w:t>）</w:t>
            </w:r>
          </w:p>
        </w:tc>
        <w:tc>
          <w:tcPr>
            <w:tcW w:w="1020" w:type="dxa"/>
            <w:tcBorders>
              <w:top w:val="nil"/>
              <w:left w:val="nil"/>
              <w:bottom w:val="nil"/>
              <w:right w:val="nil"/>
            </w:tcBorders>
            <w:tcMar>
              <w:top w:w="15" w:type="dxa"/>
              <w:left w:w="15" w:type="dxa"/>
              <w:bottom w:w="0" w:type="dxa"/>
              <w:right w:w="15" w:type="dxa"/>
            </w:tcMar>
            <w:vAlign w:val="center"/>
          </w:tcPr>
          <w:p w:rsidR="0021381C" w:rsidRPr="002224E2" w:rsidRDefault="0021381C" w:rsidP="00E6447A">
            <w:pPr>
              <w:widowControl/>
              <w:spacing w:before="100" w:line="360" w:lineRule="auto"/>
              <w:jc w:val="center"/>
              <w:rPr>
                <w:kern w:val="0"/>
                <w:szCs w:val="21"/>
              </w:rPr>
            </w:pPr>
            <w:r w:rsidRPr="002224E2">
              <w:rPr>
                <w:kern w:val="0"/>
                <w:szCs w:val="21"/>
              </w:rPr>
              <w:t>（</w:t>
            </w:r>
            <w:r w:rsidRPr="002224E2">
              <w:rPr>
                <w:kern w:val="0"/>
                <w:szCs w:val="21"/>
              </w:rPr>
              <w:t>3</w:t>
            </w:r>
            <w:r w:rsidRPr="002224E2">
              <w:rPr>
                <w:kern w:val="0"/>
                <w:szCs w:val="21"/>
              </w:rPr>
              <w:t>）</w:t>
            </w:r>
          </w:p>
        </w:tc>
        <w:tc>
          <w:tcPr>
            <w:tcW w:w="2024" w:type="dxa"/>
            <w:tcBorders>
              <w:top w:val="nil"/>
              <w:left w:val="nil"/>
              <w:bottom w:val="nil"/>
              <w:right w:val="nil"/>
            </w:tcBorders>
            <w:tcMar>
              <w:top w:w="15" w:type="dxa"/>
              <w:left w:w="15" w:type="dxa"/>
              <w:bottom w:w="0" w:type="dxa"/>
              <w:right w:w="15" w:type="dxa"/>
            </w:tcMar>
            <w:vAlign w:val="center"/>
          </w:tcPr>
          <w:p w:rsidR="0021381C" w:rsidRPr="002224E2" w:rsidRDefault="0021381C" w:rsidP="00E6447A">
            <w:pPr>
              <w:widowControl/>
              <w:spacing w:before="100" w:line="360" w:lineRule="auto"/>
              <w:jc w:val="center"/>
              <w:rPr>
                <w:kern w:val="0"/>
                <w:szCs w:val="21"/>
              </w:rPr>
            </w:pPr>
            <w:r w:rsidRPr="002224E2">
              <w:rPr>
                <w:kern w:val="0"/>
                <w:szCs w:val="21"/>
              </w:rPr>
              <w:t>（</w:t>
            </w:r>
            <w:r w:rsidRPr="002224E2">
              <w:rPr>
                <w:kern w:val="0"/>
                <w:szCs w:val="21"/>
              </w:rPr>
              <w:t>3</w:t>
            </w:r>
            <w:r w:rsidRPr="002224E2">
              <w:rPr>
                <w:kern w:val="0"/>
                <w:szCs w:val="21"/>
              </w:rPr>
              <w:t>）</w:t>
            </w:r>
            <w:r w:rsidRPr="002224E2">
              <w:rPr>
                <w:kern w:val="0"/>
                <w:szCs w:val="21"/>
              </w:rPr>
              <w:t>*</w:t>
            </w:r>
            <w:r w:rsidRPr="002224E2">
              <w:rPr>
                <w:kern w:val="0"/>
                <w:szCs w:val="21"/>
              </w:rPr>
              <w:t>（</w:t>
            </w:r>
            <w:r w:rsidRPr="002224E2">
              <w:rPr>
                <w:kern w:val="0"/>
                <w:szCs w:val="21"/>
              </w:rPr>
              <w:t>1</w:t>
            </w:r>
            <w:r w:rsidRPr="002224E2">
              <w:rPr>
                <w:kern w:val="0"/>
                <w:szCs w:val="21"/>
              </w:rPr>
              <w:t>）</w:t>
            </w:r>
            <w:r w:rsidRPr="002224E2">
              <w:rPr>
                <w:kern w:val="0"/>
                <w:szCs w:val="21"/>
              </w:rPr>
              <w:t>/</w:t>
            </w:r>
            <w:r w:rsidRPr="002224E2">
              <w:rPr>
                <w:kern w:val="0"/>
                <w:szCs w:val="21"/>
              </w:rPr>
              <w:t>（</w:t>
            </w:r>
            <w:r w:rsidRPr="002224E2">
              <w:rPr>
                <w:kern w:val="0"/>
                <w:szCs w:val="21"/>
              </w:rPr>
              <w:t>2</w:t>
            </w:r>
            <w:r w:rsidRPr="002224E2">
              <w:rPr>
                <w:kern w:val="0"/>
                <w:szCs w:val="21"/>
              </w:rPr>
              <w:t>）</w:t>
            </w:r>
          </w:p>
        </w:tc>
      </w:tr>
      <w:tr w:rsidR="0021381C" w:rsidRPr="002224E2" w:rsidTr="00E6447A">
        <w:trPr>
          <w:trHeight w:val="315"/>
        </w:trPr>
        <w:tc>
          <w:tcPr>
            <w:tcW w:w="1720" w:type="dxa"/>
            <w:tcBorders>
              <w:top w:val="nil"/>
              <w:left w:val="nil"/>
              <w:bottom w:val="single" w:sz="12" w:space="0" w:color="808080"/>
              <w:right w:val="nil"/>
            </w:tcBorders>
            <w:tcMar>
              <w:top w:w="15" w:type="dxa"/>
              <w:left w:w="15" w:type="dxa"/>
              <w:bottom w:w="0" w:type="dxa"/>
              <w:right w:w="15" w:type="dxa"/>
            </w:tcMar>
            <w:vAlign w:val="bottom"/>
          </w:tcPr>
          <w:p w:rsidR="0021381C" w:rsidRPr="002224E2" w:rsidRDefault="0021381C" w:rsidP="00E6447A">
            <w:pPr>
              <w:widowControl/>
              <w:spacing w:before="100" w:line="360" w:lineRule="auto"/>
              <w:jc w:val="center"/>
              <w:rPr>
                <w:kern w:val="0"/>
                <w:szCs w:val="21"/>
              </w:rPr>
            </w:pPr>
            <w:r w:rsidRPr="002224E2">
              <w:rPr>
                <w:kern w:val="0"/>
                <w:szCs w:val="21"/>
              </w:rPr>
              <w:t>292,200</w:t>
            </w:r>
          </w:p>
        </w:tc>
        <w:tc>
          <w:tcPr>
            <w:tcW w:w="1020" w:type="dxa"/>
            <w:tcBorders>
              <w:top w:val="nil"/>
              <w:left w:val="nil"/>
              <w:bottom w:val="single" w:sz="12" w:space="0" w:color="808080"/>
              <w:right w:val="nil"/>
            </w:tcBorders>
            <w:tcMar>
              <w:top w:w="15" w:type="dxa"/>
              <w:left w:w="15" w:type="dxa"/>
              <w:bottom w:w="0" w:type="dxa"/>
              <w:right w:w="15" w:type="dxa"/>
            </w:tcMar>
            <w:vAlign w:val="bottom"/>
          </w:tcPr>
          <w:p w:rsidR="0021381C" w:rsidRPr="002224E2" w:rsidRDefault="0021381C" w:rsidP="00E6447A">
            <w:pPr>
              <w:widowControl/>
              <w:spacing w:before="100" w:line="360" w:lineRule="auto"/>
              <w:jc w:val="center"/>
              <w:rPr>
                <w:kern w:val="0"/>
                <w:szCs w:val="21"/>
              </w:rPr>
            </w:pPr>
            <w:r w:rsidRPr="002224E2">
              <w:t>292,340</w:t>
            </w:r>
          </w:p>
        </w:tc>
        <w:tc>
          <w:tcPr>
            <w:tcW w:w="1020" w:type="dxa"/>
            <w:tcBorders>
              <w:top w:val="nil"/>
              <w:left w:val="nil"/>
              <w:bottom w:val="single" w:sz="12" w:space="0" w:color="808080"/>
              <w:right w:val="nil"/>
            </w:tcBorders>
            <w:tcMar>
              <w:top w:w="15" w:type="dxa"/>
              <w:left w:w="15" w:type="dxa"/>
              <w:bottom w:w="0" w:type="dxa"/>
              <w:right w:w="15" w:type="dxa"/>
            </w:tcMar>
            <w:vAlign w:val="bottom"/>
          </w:tcPr>
          <w:p w:rsidR="0021381C" w:rsidRPr="002224E2" w:rsidRDefault="0021381C" w:rsidP="00E6447A">
            <w:pPr>
              <w:widowControl/>
              <w:spacing w:before="100" w:line="360" w:lineRule="auto"/>
              <w:jc w:val="center"/>
              <w:rPr>
                <w:kern w:val="0"/>
                <w:szCs w:val="21"/>
              </w:rPr>
            </w:pPr>
            <w:r w:rsidRPr="002224E2">
              <w:rPr>
                <w:kern w:val="0"/>
                <w:szCs w:val="21"/>
              </w:rPr>
              <w:t>1000</w:t>
            </w:r>
          </w:p>
        </w:tc>
        <w:tc>
          <w:tcPr>
            <w:tcW w:w="2024" w:type="dxa"/>
            <w:tcBorders>
              <w:top w:val="nil"/>
              <w:left w:val="nil"/>
              <w:bottom w:val="single" w:sz="12" w:space="0" w:color="808080"/>
              <w:right w:val="nil"/>
            </w:tcBorders>
            <w:tcMar>
              <w:top w:w="15" w:type="dxa"/>
              <w:left w:w="15" w:type="dxa"/>
              <w:bottom w:w="0" w:type="dxa"/>
              <w:right w:w="15" w:type="dxa"/>
            </w:tcMar>
            <w:vAlign w:val="center"/>
          </w:tcPr>
          <w:p w:rsidR="0021381C" w:rsidRPr="002224E2" w:rsidRDefault="0021381C" w:rsidP="00E6447A">
            <w:pPr>
              <w:widowControl/>
              <w:spacing w:before="100" w:line="360" w:lineRule="auto"/>
              <w:jc w:val="center"/>
              <w:rPr>
                <w:b/>
                <w:bCs/>
                <w:kern w:val="0"/>
                <w:szCs w:val="21"/>
              </w:rPr>
            </w:pPr>
            <w:r w:rsidRPr="002224E2">
              <w:rPr>
                <w:b/>
                <w:bCs/>
                <w:kern w:val="0"/>
                <w:szCs w:val="21"/>
              </w:rPr>
              <w:t>999.52</w:t>
            </w:r>
          </w:p>
        </w:tc>
      </w:tr>
    </w:tbl>
    <w:p w:rsidR="00E6447A" w:rsidRDefault="00E6447A"/>
    <w:sectPr w:rsidR="00E644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DCB" w:rsidRDefault="00661DCB" w:rsidP="0021381C">
      <w:r>
        <w:separator/>
      </w:r>
    </w:p>
  </w:endnote>
  <w:endnote w:type="continuationSeparator" w:id="0">
    <w:p w:rsidR="00661DCB" w:rsidRDefault="00661DCB" w:rsidP="0021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017442"/>
      <w:docPartObj>
        <w:docPartGallery w:val="Page Numbers (Bottom of Page)"/>
        <w:docPartUnique/>
      </w:docPartObj>
    </w:sdtPr>
    <w:sdtContent>
      <w:p w:rsidR="00E6447A" w:rsidRDefault="00E6447A">
        <w:pPr>
          <w:pStyle w:val="a4"/>
          <w:jc w:val="center"/>
        </w:pPr>
        <w:r>
          <w:fldChar w:fldCharType="begin"/>
        </w:r>
        <w:r>
          <w:instrText>PAGE   \* MERGEFORMAT</w:instrText>
        </w:r>
        <w:r>
          <w:fldChar w:fldCharType="separate"/>
        </w:r>
        <w:r w:rsidR="009F04AE" w:rsidRPr="009F04AE">
          <w:rPr>
            <w:noProof/>
            <w:lang w:val="zh-CN"/>
          </w:rPr>
          <w:t>2</w:t>
        </w:r>
        <w:r>
          <w:fldChar w:fldCharType="end"/>
        </w:r>
      </w:p>
    </w:sdtContent>
  </w:sdt>
  <w:p w:rsidR="00E6447A" w:rsidRDefault="00E644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DCB" w:rsidRDefault="00661DCB" w:rsidP="0021381C">
      <w:r>
        <w:separator/>
      </w:r>
    </w:p>
  </w:footnote>
  <w:footnote w:type="continuationSeparator" w:id="0">
    <w:p w:rsidR="00661DCB" w:rsidRDefault="00661DCB" w:rsidP="00213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sz w:val="15"/>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CC"/>
    <w:rsid w:val="00044F2F"/>
    <w:rsid w:val="0006655B"/>
    <w:rsid w:val="000A4EDB"/>
    <w:rsid w:val="000D5301"/>
    <w:rsid w:val="000F76B4"/>
    <w:rsid w:val="0021381C"/>
    <w:rsid w:val="002F477F"/>
    <w:rsid w:val="003E0C42"/>
    <w:rsid w:val="00661DCB"/>
    <w:rsid w:val="00661EB5"/>
    <w:rsid w:val="00721629"/>
    <w:rsid w:val="00756F57"/>
    <w:rsid w:val="00765D80"/>
    <w:rsid w:val="007E40FB"/>
    <w:rsid w:val="007E4521"/>
    <w:rsid w:val="008C24CC"/>
    <w:rsid w:val="008E1743"/>
    <w:rsid w:val="00916937"/>
    <w:rsid w:val="009D708E"/>
    <w:rsid w:val="009F04AE"/>
    <w:rsid w:val="00A34368"/>
    <w:rsid w:val="00BA7209"/>
    <w:rsid w:val="00D76F80"/>
    <w:rsid w:val="00E6447A"/>
    <w:rsid w:val="00E8143E"/>
    <w:rsid w:val="00F8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64809A-201C-486A-8E49-3D5C5719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381C"/>
    <w:rPr>
      <w:sz w:val="18"/>
      <w:szCs w:val="18"/>
    </w:rPr>
  </w:style>
  <w:style w:type="paragraph" w:styleId="a4">
    <w:name w:val="footer"/>
    <w:basedOn w:val="a"/>
    <w:link w:val="Char0"/>
    <w:uiPriority w:val="99"/>
    <w:unhideWhenUsed/>
    <w:rsid w:val="0021381C"/>
    <w:pPr>
      <w:tabs>
        <w:tab w:val="center" w:pos="4153"/>
        <w:tab w:val="right" w:pos="8306"/>
      </w:tabs>
      <w:snapToGrid w:val="0"/>
      <w:jc w:val="left"/>
    </w:pPr>
    <w:rPr>
      <w:sz w:val="18"/>
      <w:szCs w:val="18"/>
    </w:rPr>
  </w:style>
  <w:style w:type="character" w:customStyle="1" w:styleId="Char0">
    <w:name w:val="页脚 Char"/>
    <w:basedOn w:val="a0"/>
    <w:link w:val="a4"/>
    <w:uiPriority w:val="99"/>
    <w:rsid w:val="0021381C"/>
    <w:rPr>
      <w:sz w:val="18"/>
      <w:szCs w:val="18"/>
    </w:rPr>
  </w:style>
  <w:style w:type="paragraph" w:styleId="a5">
    <w:name w:val="List Paragraph"/>
    <w:basedOn w:val="a"/>
    <w:uiPriority w:val="34"/>
    <w:qFormat/>
    <w:rsid w:val="002138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23</Pages>
  <Words>2821</Words>
  <Characters>16084</Characters>
  <Application>Microsoft Office Word</Application>
  <DocSecurity>0</DocSecurity>
  <Lines>134</Lines>
  <Paragraphs>37</Paragraphs>
  <ScaleCrop>false</ScaleCrop>
  <Company/>
  <LinksUpToDate>false</LinksUpToDate>
  <CharactersWithSpaces>18868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戴维dw</dc:creator>
  <cp:keywords/>
  <dc:description/>
  <cp:lastModifiedBy>戴维dw</cp:lastModifiedBy>
  <cp:revision>17</cp:revision>
  <dcterms:created xsi:type="dcterms:W3CDTF">2018-08-30T01:24:00Z</dcterms:created>
  <dcterms:modified xsi:type="dcterms:W3CDTF">2018-08-30T02:55:00Z</dcterms:modified>
</cp:coreProperties>
</file>