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440" w:lineRule="exact"/>
        <w:ind w:firstLine="198" w:firstLineChars="62"/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北证办发〔202</w:t>
      </w:r>
      <w:r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北京证券交易所固定收益平台</w:t>
      </w:r>
      <w:r>
        <w:rPr>
          <w:rFonts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一</w:t>
      </w:r>
      <w:r>
        <w:rPr>
          <w:rFonts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全网测试方案</w:t>
      </w: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北京证券交易所</w:t>
      </w:r>
    </w:p>
    <w:p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深圳证券通信有限公司</w:t>
      </w:r>
    </w:p>
    <w:p>
      <w:pPr>
        <w:spacing w:line="240" w:lineRule="auto"/>
        <w:ind w:left="840"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</w:t>
      </w:r>
      <w:r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年一月</w:t>
      </w:r>
    </w:p>
    <w:p>
      <w:pPr>
        <w:tabs>
          <w:tab w:val="center" w:pos="4153"/>
          <w:tab w:val="left" w:pos="5595"/>
        </w:tabs>
        <w:spacing w:before="144"/>
        <w:ind w:firstLine="643"/>
        <w:rPr>
          <w:rFonts w:eastAsia="方正仿宋简体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eastAsia="方正仿宋简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before="144"/>
        <w:ind w:firstLine="480"/>
        <w:jc w:val="center"/>
        <w:rPr>
          <w:rFonts w:eastAsia="方正仿宋简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ageBreakBefore/>
        <w:spacing w:before="187" w:after="156" w:afterLines="50"/>
        <w:ind w:firstLine="723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方正仿宋简体" w:cs="Times New Roman"/>
          <w:b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目   录</w:t>
      </w:r>
    </w:p>
    <w:p>
      <w:pPr>
        <w:pStyle w:val="26"/>
        <w:tabs>
          <w:tab w:val="right" w:leader="dot" w:pos="8306"/>
        </w:tabs>
        <w:ind w:firstLine="480"/>
      </w:pPr>
      <w:r>
        <w:rPr>
          <w:rStyle w:val="44"/>
        </w:rPr>
        <w:fldChar w:fldCharType="begin"/>
      </w:r>
      <w:r>
        <w:rPr>
          <w:rStyle w:val="44"/>
          <w:rFonts w:eastAsia="方正仿宋简体"/>
        </w:rPr>
        <w:instrText xml:space="preserve"> TOC \o "1-3" \h \z \u </w:instrText>
      </w:r>
      <w:r>
        <w:rPr>
          <w:rStyle w:val="44"/>
        </w:rPr>
        <w:fldChar w:fldCharType="separate"/>
      </w:r>
      <w:r>
        <w:fldChar w:fldCharType="begin"/>
      </w:r>
      <w:r>
        <w:instrText xml:space="preserve"> HYPERLINK \l "_Toc1345302515" </w:instrText>
      </w:r>
      <w:r>
        <w:fldChar w:fldCharType="separate"/>
      </w:r>
      <w:r>
        <w:rPr>
          <w:rFonts w:hint="eastAsia"/>
        </w:rPr>
        <w:t>一</w:t>
      </w:r>
      <w:r>
        <w:t>、测试目的和背景</w:t>
      </w:r>
      <w:r>
        <w:tab/>
      </w:r>
      <w:r>
        <w:fldChar w:fldCharType="begin"/>
      </w:r>
      <w:r>
        <w:instrText xml:space="preserve"> PAGEREF _Toc1345302515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"_Toc715712908" </w:instrText>
      </w:r>
      <w:r>
        <w:fldChar w:fldCharType="separate"/>
      </w:r>
      <w:r>
        <w:t>二</w:t>
      </w:r>
      <w:r>
        <w:rPr>
          <w:rFonts w:hint="eastAsia"/>
        </w:rPr>
        <w:t>、</w:t>
      </w:r>
      <w:r>
        <w:t>参测</w:t>
      </w:r>
      <w:r>
        <w:rPr>
          <w:rFonts w:hint="eastAsia"/>
        </w:rPr>
        <w:t>机构</w:t>
      </w:r>
      <w:r>
        <w:tab/>
      </w:r>
      <w:r>
        <w:fldChar w:fldCharType="begin"/>
      </w:r>
      <w:r>
        <w:instrText xml:space="preserve"> PAGEREF _Toc715712908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"_Toc1179534862" </w:instrText>
      </w:r>
      <w:r>
        <w:fldChar w:fldCharType="separate"/>
      </w:r>
      <w:r>
        <w:rPr>
          <w:rFonts w:hint="eastAsia"/>
        </w:rPr>
        <w:t>三、</w:t>
      </w:r>
      <w:r>
        <w:t>参考技术规范</w:t>
      </w:r>
      <w:r>
        <w:tab/>
      </w:r>
      <w:r>
        <w:fldChar w:fldCharType="begin"/>
      </w:r>
      <w:r>
        <w:instrText xml:space="preserve"> PAGEREF _Toc1179534862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"_Toc566676696" </w:instrText>
      </w:r>
      <w:r>
        <w:fldChar w:fldCharType="separate"/>
      </w:r>
      <w:r>
        <w:rPr>
          <w:rFonts w:hint="eastAsia"/>
        </w:rPr>
        <w:t>四、</w:t>
      </w:r>
      <w:r>
        <w:t>参测技术系统</w:t>
      </w:r>
      <w:r>
        <w:tab/>
      </w:r>
      <w:r>
        <w:fldChar w:fldCharType="begin"/>
      </w:r>
      <w:r>
        <w:instrText xml:space="preserve"> PAGEREF _Toc566676696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"_Toc1522288039" </w:instrText>
      </w:r>
      <w:r>
        <w:fldChar w:fldCharType="separate"/>
      </w:r>
      <w:r>
        <w:rPr>
          <w:rFonts w:hint="eastAsia"/>
        </w:rPr>
        <w:t>五、全网</w:t>
      </w:r>
      <w:r>
        <w:t>测试时间安排</w:t>
      </w:r>
      <w:r>
        <w:tab/>
      </w:r>
      <w:r>
        <w:fldChar w:fldCharType="begin"/>
      </w:r>
      <w:r>
        <w:instrText xml:space="preserve"> PAGEREF _Toc1522288039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"_Toc577523044" </w:instrText>
      </w:r>
      <w:r>
        <w:fldChar w:fldCharType="separate"/>
      </w:r>
      <w:r>
        <w:rPr>
          <w:rFonts w:hint="eastAsia"/>
        </w:rPr>
        <w:t>六、</w:t>
      </w:r>
      <w:r>
        <w:t>全网测试内容</w:t>
      </w:r>
      <w:r>
        <w:tab/>
      </w:r>
      <w:r>
        <w:fldChar w:fldCharType="begin"/>
      </w:r>
      <w:r>
        <w:instrText xml:space="preserve"> PAGEREF _Toc577523044 </w:instrText>
      </w:r>
      <w:r>
        <w:fldChar w:fldCharType="separate"/>
      </w:r>
      <w:r>
        <w:t>- 3 -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"_Toc297132011" </w:instrText>
      </w:r>
      <w:r>
        <w:fldChar w:fldCharType="separate"/>
      </w:r>
      <w:r>
        <w:rPr>
          <w:rFonts w:hint="eastAsia"/>
        </w:rPr>
        <w:t>七、</w:t>
      </w:r>
      <w:r>
        <w:t>测试场景</w:t>
      </w:r>
      <w:r>
        <w:rPr>
          <w:rFonts w:hint="eastAsia"/>
        </w:rPr>
        <w:t>及相关说明</w:t>
      </w:r>
      <w:r>
        <w:tab/>
      </w:r>
      <w:r>
        <w:fldChar w:fldCharType="begin"/>
      </w:r>
      <w:r>
        <w:instrText xml:space="preserve"> PAGEREF _Toc297132011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"_Toc1126064404" </w:instrText>
      </w:r>
      <w:r>
        <w:fldChar w:fldCharType="separate"/>
      </w:r>
      <w:r>
        <w:rPr>
          <w:rFonts w:hint="eastAsia"/>
          <w:szCs w:val="30"/>
        </w:rPr>
        <w:t>（一）测试场景安排</w:t>
      </w:r>
      <w:r>
        <w:tab/>
      </w:r>
      <w:r>
        <w:fldChar w:fldCharType="begin"/>
      </w:r>
      <w:r>
        <w:instrText xml:space="preserve"> PAGEREF _Toc1126064404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"_Toc976238401" </w:instrText>
      </w:r>
      <w:r>
        <w:fldChar w:fldCharType="separate"/>
      </w:r>
      <w:r>
        <w:rPr>
          <w:rFonts w:hint="eastAsia"/>
          <w:szCs w:val="30"/>
        </w:rPr>
        <w:t>（二）测试说明</w:t>
      </w:r>
      <w:r>
        <w:tab/>
      </w:r>
      <w:r>
        <w:fldChar w:fldCharType="begin"/>
      </w:r>
      <w:r>
        <w:instrText xml:space="preserve"> PAGEREF _Toc976238401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"_Toc602343038" </w:instrText>
      </w:r>
      <w:r>
        <w:fldChar w:fldCharType="separate"/>
      </w:r>
      <w:r>
        <w:rPr>
          <w:rFonts w:hint="eastAsia"/>
        </w:rPr>
        <w:t>八、</w:t>
      </w:r>
      <w:r>
        <w:t>全网测试数据准备</w:t>
      </w:r>
      <w:r>
        <w:tab/>
      </w:r>
      <w:r>
        <w:fldChar w:fldCharType="begin"/>
      </w:r>
      <w:r>
        <w:instrText xml:space="preserve"> PAGEREF _Toc602343038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"_Toc611477680" </w:instrText>
      </w:r>
      <w:r>
        <w:fldChar w:fldCharType="separate"/>
      </w:r>
      <w:r>
        <w:rPr>
          <w:rFonts w:hint="eastAsia"/>
          <w:szCs w:val="30"/>
        </w:rPr>
        <w:t>（一）证券行情信息</w:t>
      </w:r>
      <w:r>
        <w:tab/>
      </w:r>
      <w:r>
        <w:fldChar w:fldCharType="begin"/>
      </w:r>
      <w:r>
        <w:instrText xml:space="preserve"> PAGEREF _Toc611477680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"_Toc658738964" </w:instrText>
      </w:r>
      <w:r>
        <w:fldChar w:fldCharType="separate"/>
      </w:r>
      <w:r>
        <w:rPr>
          <w:rFonts w:hint="eastAsia"/>
          <w:szCs w:val="30"/>
        </w:rPr>
        <w:t>（二）证券账户、交易单元、托管单元及持仓</w:t>
      </w:r>
      <w:r>
        <w:tab/>
      </w:r>
      <w:r>
        <w:fldChar w:fldCharType="begin"/>
      </w:r>
      <w:r>
        <w:instrText xml:space="preserve"> PAGEREF _Toc658738964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"_Toc1512271328" </w:instrText>
      </w:r>
      <w:r>
        <w:fldChar w:fldCharType="separate"/>
      </w:r>
      <w:r>
        <w:rPr>
          <w:rFonts w:hint="eastAsia"/>
          <w:szCs w:val="30"/>
        </w:rPr>
        <w:t>（三）交易网关、行情网关和结算网关</w:t>
      </w:r>
      <w:r>
        <w:tab/>
      </w:r>
      <w:r>
        <w:fldChar w:fldCharType="begin"/>
      </w:r>
      <w:r>
        <w:instrText xml:space="preserve"> PAGEREF _Toc1512271328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"_Toc1553583665" </w:instrText>
      </w:r>
      <w:r>
        <w:fldChar w:fldCharType="separate"/>
      </w:r>
      <w:r>
        <w:rPr>
          <w:rFonts w:hint="eastAsia"/>
          <w:szCs w:val="30"/>
        </w:rPr>
        <w:t>（四）FDEP小站</w:t>
      </w:r>
      <w:r>
        <w:tab/>
      </w:r>
      <w:r>
        <w:fldChar w:fldCharType="begin"/>
      </w:r>
      <w:r>
        <w:instrText xml:space="preserve"> PAGEREF _Toc1553583665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"_Toc1630442853" </w:instrText>
      </w:r>
      <w:r>
        <w:fldChar w:fldCharType="separate"/>
      </w:r>
      <w:r>
        <w:rPr>
          <w:rFonts w:hint="eastAsia"/>
        </w:rPr>
        <w:t>九、</w:t>
      </w:r>
      <w:r>
        <w:t>全网测试系统接入方式</w:t>
      </w:r>
      <w:r>
        <w:tab/>
      </w:r>
      <w:r>
        <w:fldChar w:fldCharType="begin"/>
      </w:r>
      <w:r>
        <w:instrText xml:space="preserve"> PAGEREF _Toc1630442853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"_Toc130466484" </w:instrText>
      </w:r>
      <w:r>
        <w:fldChar w:fldCharType="separate"/>
      </w:r>
      <w:r>
        <w:rPr>
          <w:rFonts w:hint="eastAsia"/>
          <w:szCs w:val="30"/>
        </w:rPr>
        <w:t>（一）参测机构接入深证通</w:t>
      </w:r>
      <w:r>
        <w:tab/>
      </w:r>
      <w:r>
        <w:fldChar w:fldCharType="begin"/>
      </w:r>
      <w:r>
        <w:instrText xml:space="preserve"> PAGEREF _Toc130466484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"_Toc1797085182" </w:instrText>
      </w:r>
      <w:r>
        <w:fldChar w:fldCharType="separate"/>
      </w:r>
      <w:r>
        <w:rPr>
          <w:rFonts w:hint="eastAsia"/>
          <w:szCs w:val="30"/>
        </w:rPr>
        <w:t>（二）参测机构接入中国结算</w:t>
      </w:r>
      <w:r>
        <w:tab/>
      </w:r>
      <w:r>
        <w:fldChar w:fldCharType="begin"/>
      </w:r>
      <w:r>
        <w:instrText xml:space="preserve"> PAGEREF _Toc1797085182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"_Toc23932033" </w:instrText>
      </w:r>
      <w:r>
        <w:fldChar w:fldCharType="separate"/>
      </w:r>
      <w:r>
        <w:rPr>
          <w:rFonts w:hint="eastAsia"/>
          <w:szCs w:val="30"/>
        </w:rPr>
        <w:t>（三）测试相关软件下载</w:t>
      </w:r>
      <w:r>
        <w:tab/>
      </w:r>
      <w:r>
        <w:fldChar w:fldCharType="begin"/>
      </w:r>
      <w:r>
        <w:instrText xml:space="preserve"> PAGEREF _Toc23932033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"_Toc1511713076" </w:instrText>
      </w:r>
      <w:r>
        <w:fldChar w:fldCharType="separate"/>
      </w:r>
      <w:r>
        <w:rPr>
          <w:rFonts w:hint="eastAsia"/>
        </w:rPr>
        <w:t>十、</w:t>
      </w:r>
      <w:r>
        <w:t>测试要求及注意事项</w:t>
      </w:r>
      <w:r>
        <w:tab/>
      </w:r>
      <w:r>
        <w:fldChar w:fldCharType="begin"/>
      </w:r>
      <w:r>
        <w:instrText xml:space="preserve"> PAGEREF _Toc1511713076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"_Toc1443518205" </w:instrText>
      </w:r>
      <w:r>
        <w:fldChar w:fldCharType="separate"/>
      </w:r>
      <w:r>
        <w:rPr>
          <w:rFonts w:hint="eastAsia"/>
        </w:rPr>
        <w:t>十一、</w:t>
      </w:r>
      <w:r>
        <w:t>联系方式</w:t>
      </w:r>
      <w:r>
        <w:tab/>
      </w:r>
      <w:r>
        <w:fldChar w:fldCharType="begin"/>
      </w:r>
      <w:r>
        <w:instrText xml:space="preserve"> PAGEREF _Toc1443518205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26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方正仿宋简体"/>
        </w:rPr>
        <w:fldChar w:fldCharType="end"/>
      </w:r>
    </w:p>
    <w:p>
      <w:pPr>
        <w:pStyle w:val="73"/>
        <w:spacing w:beforeLines="0" w:afterLines="0" w:line="560" w:lineRule="exact"/>
        <w:ind w:firstLine="600"/>
      </w:pPr>
      <w:bookmarkStart w:id="0" w:name="_Toc366050038"/>
      <w:bookmarkStart w:id="1" w:name="_Toc376597516"/>
      <w:bookmarkStart w:id="2" w:name="_Toc376285219"/>
      <w:bookmarkStart w:id="3" w:name="_Toc375070721"/>
      <w:bookmarkStart w:id="4" w:name="_Toc374381911"/>
      <w:bookmarkStart w:id="5" w:name="_Toc374957903"/>
      <w:bookmarkStart w:id="6" w:name="_Toc375557957"/>
      <w:bookmarkStart w:id="7" w:name="_Toc1345302515"/>
      <w:bookmarkStart w:id="8" w:name="_Toc1748422228"/>
      <w:bookmarkStart w:id="9" w:name="_Toc374381845"/>
      <w:bookmarkStart w:id="10" w:name="_Toc49652922"/>
      <w:r>
        <w:rPr>
          <w:rFonts w:hint="eastAsia"/>
        </w:rPr>
        <w:t>一</w:t>
      </w:r>
      <w:r>
        <w:t>、测试目的</w:t>
      </w:r>
      <w:bookmarkEnd w:id="0"/>
      <w:r>
        <w:t>和背景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验证固定收益平台相关技术系统改造情况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，北京证券交易所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（以下简称“北交所”）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联合中国证券登记结算有限责任公司（以下简称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“中国结算”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深圳证券通信有限公司（以下简称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“深证通”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）共同组织本次全网测试。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各参测机构应认真阅读本方案，按照要求完成测试任务，确保系统功能完备、业务流程正确。</w:t>
      </w:r>
    </w:p>
    <w:p>
      <w:pPr>
        <w:pStyle w:val="73"/>
        <w:spacing w:beforeLines="0" w:afterLines="0" w:line="560" w:lineRule="exact"/>
        <w:ind w:firstLine="600"/>
      </w:pPr>
      <w:bookmarkStart w:id="11" w:name="_Toc375070722"/>
      <w:bookmarkStart w:id="12" w:name="_Toc376597517"/>
      <w:bookmarkStart w:id="13" w:name="_Toc374381912"/>
      <w:bookmarkStart w:id="14" w:name="_Toc374957904"/>
      <w:bookmarkStart w:id="15" w:name="_Toc375557958"/>
      <w:bookmarkStart w:id="16" w:name="_Toc376285220"/>
      <w:bookmarkStart w:id="17" w:name="_Toc374381846"/>
      <w:bookmarkStart w:id="18" w:name="_Toc1894743054"/>
      <w:bookmarkStart w:id="19" w:name="_Toc715712908"/>
      <w:r>
        <w:t>二</w:t>
      </w:r>
      <w:r>
        <w:rPr>
          <w:rFonts w:hint="eastAsia"/>
        </w:rPr>
        <w:t>、</w:t>
      </w:r>
      <w:r>
        <w:t>参测</w:t>
      </w:r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/>
        </w:rPr>
        <w:t>机构</w:t>
      </w:r>
      <w:bookmarkEnd w:id="18"/>
      <w:bookmarkEnd w:id="19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1.北京证券交易所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2.中国证券登记结算有限责任公司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3.深圳证券通信有限公司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20" w:name="_Toc376285221"/>
      <w:bookmarkStart w:id="21" w:name="_Toc374381913"/>
      <w:bookmarkStart w:id="22" w:name="_Toc375070723"/>
      <w:bookmarkStart w:id="23" w:name="_Toc374381847"/>
      <w:bookmarkStart w:id="24" w:name="_Toc374957905"/>
      <w:bookmarkStart w:id="25" w:name="_Toc143003900"/>
      <w:bookmarkStart w:id="26" w:name="_Toc376597518"/>
      <w:bookmarkStart w:id="27" w:name="_Toc375557959"/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4.证券公司</w:t>
      </w:r>
      <w:r>
        <w:rPr>
          <w:rFonts w:hint="eastAsia"/>
          <w:sz w:val="32"/>
        </w:rPr>
        <w:t>、信息商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等市场参与者</w:t>
      </w:r>
    </w:p>
    <w:p>
      <w:pPr>
        <w:pStyle w:val="73"/>
        <w:spacing w:beforeLines="0" w:afterLines="0" w:line="560" w:lineRule="exact"/>
        <w:ind w:firstLine="600"/>
      </w:pPr>
      <w:bookmarkStart w:id="28" w:name="_Toc1179534862"/>
      <w:r>
        <w:rPr>
          <w:rFonts w:hint="eastAsia"/>
        </w:rPr>
        <w:t>三、</w:t>
      </w:r>
      <w:r>
        <w:t>参考技术规范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fldChar w:fldCharType="begin"/>
      </w:r>
      <w:r>
        <w:instrText xml:space="preserve"> HYPERLINK "https://www.bse.cn/uploads/6/file/public/202309/20230915170118_cyq3x19duw.pdf" \t "/home/yangjw/Documentsx/_self" </w:instrText>
      </w:r>
      <w:r>
        <w:fldChar w:fldCharType="separate"/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北京证券交易所、全国中小企业股份转让系统交易数据接口规范（二进制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fldChar w:fldCharType="begin"/>
      </w:r>
      <w:r>
        <w:instrText xml:space="preserve"> HYPERLINK "https://www.bse.cn/uploads/6/file/public/202309/20230915170118_48mwltetto.pdf" \t "/home/yangjw/Documentsx/_self" </w:instrText>
      </w:r>
      <w:r>
        <w:fldChar w:fldCharType="separate"/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北京证券交易所、全国中小企业股份转让系统行情数据接口规范（二进制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北京证券交易所、全国中小企业股份转让系统数据文件接口规范（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fldChar w:fldCharType="begin"/>
      </w:r>
      <w:r>
        <w:instrText xml:space="preserve"> HYPERLINK "https://www.bse.cn/uploads/6/file/public/202309/20230915170118_k62w7wk76g.pdf" \t "/home/yangjw/Documentsx/_self" </w:instrText>
      </w:r>
      <w:r>
        <w:fldChar w:fldCharType="separate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北京证券交易所、全国中小企业股份转让系统组播行情数据分发协议（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5.《北京证券交易所市场参与者技术系统开发指南之债券现券交易业务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1.0）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pStyle w:val="73"/>
        <w:spacing w:beforeLines="0" w:afterLines="0" w:line="560" w:lineRule="exact"/>
        <w:ind w:firstLine="600"/>
      </w:pPr>
      <w:bookmarkStart w:id="29" w:name="_Toc374381916"/>
      <w:bookmarkStart w:id="30" w:name="_Toc566676696"/>
      <w:bookmarkStart w:id="31" w:name="_Toc374957908"/>
      <w:bookmarkStart w:id="32" w:name="_Toc374381850"/>
      <w:bookmarkStart w:id="33" w:name="_Toc376285224"/>
      <w:bookmarkStart w:id="34" w:name="_Toc375557962"/>
      <w:bookmarkStart w:id="35" w:name="_Toc375070726"/>
      <w:bookmarkStart w:id="36" w:name="_Toc257742172"/>
      <w:bookmarkStart w:id="37" w:name="_Toc376597521"/>
      <w:r>
        <w:rPr>
          <w:rFonts w:hint="eastAsia"/>
        </w:rPr>
        <w:t>四、</w:t>
      </w:r>
      <w:r>
        <w:t>参测技术系统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38" w:name="_Toc1647921772"/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.北交所固定收益平台全网测试环境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.中国结算北京市场登记结算系统全网测试环境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.深证通通信系统、金融数据交换平台（FDEP）全网测试环境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.证券公司</w:t>
      </w:r>
      <w:r>
        <w:rPr>
          <w:rFonts w:hint="eastAsia"/>
          <w:sz w:val="32"/>
        </w:rPr>
        <w:t>、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信息商等市场参与者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相关测试环境</w:t>
      </w:r>
    </w:p>
    <w:p>
      <w:pPr>
        <w:pStyle w:val="73"/>
        <w:spacing w:beforeLines="0" w:afterLines="0" w:line="560" w:lineRule="exact"/>
        <w:ind w:firstLine="600"/>
      </w:pPr>
      <w:bookmarkStart w:id="39" w:name="_Toc1522288039"/>
      <w:r>
        <w:rPr>
          <w:rFonts w:hint="eastAsia"/>
        </w:rPr>
        <w:t>五、全网</w:t>
      </w:r>
      <w:r>
        <w:t>测试时间安排</w:t>
      </w:r>
      <w:bookmarkEnd w:id="38"/>
      <w:bookmarkEnd w:id="3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测试日期：2026年2月7日（星期六）。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模拟一个完整交易日：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0至1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0模拟日间交易，1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:00至1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:00模拟日终处理。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本次测试增加压力测试的场景，压力测试时间为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13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0至1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0。压力测试期间，各参测机构应以当前所有经纪网关最大配置流速（100笔/秒）进行申报，压力测试时间段外严禁进行持续压力报单。</w:t>
      </w:r>
    </w:p>
    <w:p>
      <w:pPr>
        <w:pStyle w:val="3"/>
        <w:ind w:firstLine="602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北交所债券交易时间</w:t>
      </w:r>
    </w:p>
    <w:tbl>
      <w:tblPr>
        <w:tblStyle w:val="37"/>
        <w:tblW w:w="55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062"/>
        <w:gridCol w:w="2342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11" w:type="pct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交易时段</w:t>
            </w:r>
          </w:p>
        </w:tc>
        <w:tc>
          <w:tcPr>
            <w:tcW w:w="4188" w:type="pct"/>
            <w:gridSpan w:val="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北交所公司债券（含企业债券）现券交易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  <w:lang w:val="en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匹配成交方式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协商成交方式</w:t>
            </w:r>
          </w:p>
        </w:tc>
        <w:tc>
          <w:tcPr>
            <w:tcW w:w="1339" w:type="pct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数据</w:t>
            </w:r>
            <w:r>
              <w:rPr>
                <w:rFonts w:ascii="楷体" w:hAnsi="楷体" w:eastAsia="楷体"/>
                <w:b/>
                <w:szCs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val="en" w:bidi="ar"/>
              </w:rPr>
              <w:t>9:00-9:15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237" w:type="pct"/>
            <w:vMerge w:val="restar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成交确认申报买入、卖出、撤单</w:t>
            </w:r>
          </w:p>
        </w:tc>
        <w:tc>
          <w:tcPr>
            <w:tcW w:w="1339" w:type="pct"/>
            <w:vMerge w:val="restart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1.参测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机构报送投资者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适当性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管理信息库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库（1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：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15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前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2.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北交所下发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投资者适当性管理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信息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检查库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检查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：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15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前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3.北交所下发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日终静态行情信息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5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:3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9:15-9:20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9:20-9:25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（禁止撤单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 xml:space="preserve">9:25-9:30 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收单自动废单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9:30-11:30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11:30-13:00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13:00-15:30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成交确认申报买入、卖出、撤单</w:t>
            </w: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15:30-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:00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339" w:type="pct"/>
            <w:vMerge w:val="continue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:00后</w:t>
            </w:r>
          </w:p>
        </w:tc>
        <w:tc>
          <w:tcPr>
            <w:tcW w:w="4188" w:type="pct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:00开始日终处理，北交所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下发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投资者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适当性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管理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信息确认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确认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静态交易参考信息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。</w:t>
            </w:r>
          </w:p>
        </w:tc>
      </w:tr>
    </w:tbl>
    <w:p>
      <w:pPr>
        <w:pStyle w:val="73"/>
        <w:spacing w:beforeLines="0" w:afterLines="0" w:line="560" w:lineRule="exact"/>
        <w:ind w:firstLine="600"/>
      </w:pPr>
      <w:bookmarkStart w:id="40" w:name="_Toc1455581406"/>
      <w:bookmarkStart w:id="41" w:name="_Toc376597522"/>
      <w:bookmarkStart w:id="42" w:name="_Toc577523044"/>
      <w:r>
        <w:rPr>
          <w:rFonts w:hint="eastAsia"/>
        </w:rPr>
        <w:t>六、</w:t>
      </w:r>
      <w:r>
        <w:t>全网测试内容</w:t>
      </w:r>
      <w:bookmarkEnd w:id="40"/>
      <w:bookmarkEnd w:id="41"/>
      <w:bookmarkEnd w:id="4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各参测机构应重点验证如下内容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验证北交所固定收益平台能够接收证券的交易申报，完成申报检查和撮合处理，并返回处理结果，发送交易行情快照，揭示证券信息等交易参考信息，能够向市场正确发送交易会话状态消息。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中国结算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市场登记结算系统能够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正确处理交易成交数据、清算数据并下发市场机构。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验证深证通通信系统能够正确、及时转发申报、回报、行情数据和交易会话状态消息。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4.验证北交所、中国结算、深证通、各市场机构现有债券现券交易等各项业务正常。</w:t>
      </w:r>
    </w:p>
    <w:p>
      <w:pPr>
        <w:pStyle w:val="73"/>
        <w:spacing w:beforeLines="0" w:afterLines="0" w:line="560" w:lineRule="exact"/>
        <w:ind w:firstLine="600"/>
      </w:pPr>
      <w:bookmarkStart w:id="43" w:name="_Toc297132011"/>
      <w:bookmarkStart w:id="44" w:name="_Toc1037702227"/>
      <w:r>
        <w:rPr>
          <w:rFonts w:hint="eastAsia"/>
        </w:rPr>
        <w:t>七、</w:t>
      </w:r>
      <w:r>
        <w:t>测试场景</w:t>
      </w:r>
      <w:r>
        <w:rPr>
          <w:rFonts w:hint="eastAsia"/>
        </w:rPr>
        <w:t>及相关说明</w:t>
      </w:r>
      <w:bookmarkEnd w:id="43"/>
      <w:bookmarkEnd w:id="44"/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45" w:name="_Toc1126064404"/>
      <w:r>
        <w:rPr>
          <w:rFonts w:hint="eastAsia"/>
          <w:sz w:val="30"/>
          <w:szCs w:val="30"/>
        </w:rPr>
        <w:t>（一）测试场景安排</w:t>
      </w:r>
      <w:bookmarkEnd w:id="45"/>
    </w:p>
    <w:tbl>
      <w:tblPr>
        <w:tblStyle w:val="3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68"/>
        <w:gridCol w:w="1562"/>
        <w:gridCol w:w="1524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01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业务类型</w:t>
            </w:r>
          </w:p>
        </w:tc>
        <w:tc>
          <w:tcPr>
            <w:tcW w:w="1468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证券代码</w:t>
            </w:r>
          </w:p>
        </w:tc>
        <w:tc>
          <w:tcPr>
            <w:tcW w:w="1562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操作日</w:t>
            </w:r>
          </w:p>
        </w:tc>
        <w:tc>
          <w:tcPr>
            <w:tcW w:w="1524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生效日</w:t>
            </w:r>
          </w:p>
        </w:tc>
        <w:tc>
          <w:tcPr>
            <w:tcW w:w="2439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  <w:lang w:val="en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业务安排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/>
                <w:szCs w:val="24"/>
              </w:rPr>
              <w:t>现券交易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21003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8210</w:t>
            </w:r>
            <w:r>
              <w:rPr>
                <w:rFonts w:cs="Times New Roman"/>
                <w:szCs w:val="24"/>
              </w:rPr>
              <w:t>14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8210</w:t>
            </w: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匹配成交、协商成交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债券分期偿还</w:t>
            </w:r>
            <w:r>
              <w:rPr>
                <w:rFonts w:hint="eastAsia" w:ascii="仿宋" w:hAnsi="仿宋"/>
                <w:szCs w:val="24"/>
              </w:rPr>
              <w:t>（债权登记日）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21001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2月6日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2月7日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分期偿还</w:t>
            </w:r>
            <w:r>
              <w:rPr>
                <w:rFonts w:hint="eastAsia" w:cs="Times New Roman"/>
                <w:szCs w:val="24"/>
              </w:rPr>
              <w:t>（减面值，调整前收盘价，结算不派发资金）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面值由1</w:t>
            </w:r>
            <w:r>
              <w:rPr>
                <w:rFonts w:cs="Times New Roman"/>
                <w:szCs w:val="24"/>
              </w:rPr>
              <w:t>00元变为75元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cs="Times New Roman"/>
                <w:szCs w:val="24"/>
              </w:rPr>
              <w:t>匹配成交盘中临停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821010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2月7日</w:t>
            </w:r>
          </w:p>
        </w:tc>
        <w:tc>
          <w:tcPr>
            <w:tcW w:w="2439" w:type="dxa"/>
            <w:vMerge w:val="restart"/>
            <w:vAlign w:val="center"/>
          </w:tcPr>
          <w:p>
            <w:pPr>
              <w:spacing w:line="520" w:lineRule="exact"/>
              <w:ind w:left="0" w:leftChars="0"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cs="Times New Roman"/>
                <w:szCs w:val="24"/>
              </w:rPr>
              <w:t>常规停牌一天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821012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2月6日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2月7日</w:t>
            </w:r>
          </w:p>
        </w:tc>
        <w:tc>
          <w:tcPr>
            <w:tcW w:w="2439" w:type="dxa"/>
            <w:vMerge w:val="continue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cs="Times New Roman"/>
                <w:szCs w:val="24"/>
              </w:rPr>
              <w:t>常规长期停牌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821013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2月6日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2月7日</w:t>
            </w:r>
          </w:p>
        </w:tc>
        <w:tc>
          <w:tcPr>
            <w:tcW w:w="2439" w:type="dxa"/>
            <w:vMerge w:val="continue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/>
                <w:szCs w:val="24"/>
              </w:rPr>
              <w:t>紧急停牌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21016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2月7日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2月7日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left="0" w:leftChars="0"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停牌一天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 w:cs="Times New Roman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21017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2月7日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2月7日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left="0" w:leftChars="0"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长期停牌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hint="eastAsia" w:ascii="仿宋" w:hAnsi="仿宋"/>
                <w:szCs w:val="24"/>
              </w:rPr>
              <w:t>交易参数紧急维护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21002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2月7日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2月7日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  <w:lang w:val="en"/>
              </w:rPr>
            </w:pPr>
            <w:r>
              <w:rPr>
                <w:rFonts w:hint="eastAsia" w:cs="Times New Roman"/>
                <w:szCs w:val="24"/>
              </w:rPr>
              <w:t>821002</w:t>
            </w:r>
            <w:r>
              <w:rPr>
                <w:rFonts w:hint="eastAsia" w:cs="Times New Roman"/>
                <w:szCs w:val="24"/>
              </w:rPr>
              <w:t>证券简称从“24京投01</w:t>
            </w:r>
            <w:r>
              <w:rPr>
                <w:rFonts w:hint="eastAsia" w:cs="Times New Roman"/>
                <w:szCs w:val="24"/>
              </w:rPr>
              <w:t>”改为“24京投26</w:t>
            </w:r>
            <w:r>
              <w:rPr>
                <w:rFonts w:hint="eastAsia" w:cs="Times New Roman"/>
                <w:szCs w:val="24"/>
              </w:rPr>
              <w:t>”，昨日收盘价改为</w:t>
            </w:r>
            <w:r>
              <w:rPr>
                <w:rFonts w:hint="eastAsia" w:cs="Times New Roman"/>
                <w:szCs w:val="24"/>
                <w:lang w:val="en"/>
              </w:rPr>
              <w:t>99</w:t>
            </w:r>
            <w:r>
              <w:rPr>
                <w:rFonts w:hint="eastAsia" w:cs="Times New Roman"/>
                <w:szCs w:val="24"/>
                <w:lang w:val="en"/>
              </w:rPr>
              <w:t>。</w:t>
            </w:r>
          </w:p>
        </w:tc>
      </w:tr>
    </w:tbl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46" w:name="_Toc976238401"/>
      <w:bookmarkStart w:id="47" w:name="_Toc652945123"/>
      <w:r>
        <w:rPr>
          <w:rFonts w:hint="eastAsia"/>
          <w:sz w:val="30"/>
          <w:szCs w:val="30"/>
        </w:rPr>
        <w:t>（二）测试说明</w:t>
      </w:r>
      <w:bookmarkEnd w:id="46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参测机构应以测试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证券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前收盘价作为参考，在合理价格范围内报价，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避免触发非计划临停。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压力测试期间，各参测机构应以交易网关最大流速进行申报，压力测试时间段外严禁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参测机构进行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持续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压力报单。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3.测试过程中的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实时通知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要求将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QQ群中发布，请保持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关注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73"/>
        <w:spacing w:beforeLines="0" w:afterLines="0" w:line="560" w:lineRule="exact"/>
        <w:ind w:firstLine="600"/>
      </w:pPr>
      <w:bookmarkStart w:id="48" w:name="_Toc602343038"/>
      <w:r>
        <w:rPr>
          <w:rFonts w:hint="eastAsia"/>
        </w:rPr>
        <w:t>八、</w:t>
      </w:r>
      <w:r>
        <w:t>全网测试数据准备</w:t>
      </w:r>
      <w:bookmarkEnd w:id="47"/>
      <w:bookmarkEnd w:id="48"/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49" w:name="_Toc502216522"/>
      <w:bookmarkStart w:id="50" w:name="_Toc12033606"/>
      <w:bookmarkStart w:id="51" w:name="_Toc611477680"/>
      <w:bookmarkStart w:id="52" w:name="_Toc502217616"/>
      <w:r>
        <w:rPr>
          <w:rFonts w:hint="eastAsia"/>
          <w:sz w:val="30"/>
          <w:szCs w:val="30"/>
        </w:rPr>
        <w:t>（一）证券行情信息</w:t>
      </w:r>
      <w:bookmarkEnd w:id="49"/>
      <w:bookmarkEnd w:id="50"/>
      <w:bookmarkEnd w:id="51"/>
      <w:bookmarkEnd w:id="52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证券初始行情信息和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静态交易参考信息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日）固定收益平台生产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环境发布为准。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53" w:name="_Toc658738964"/>
      <w:bookmarkStart w:id="54" w:name="_Toc439689166"/>
      <w:bookmarkStart w:id="55" w:name="_Toc502216523"/>
      <w:bookmarkStart w:id="56" w:name="_Toc502217617"/>
      <w:r>
        <w:rPr>
          <w:rFonts w:hint="eastAsia"/>
          <w:sz w:val="30"/>
          <w:szCs w:val="30"/>
        </w:rPr>
        <w:t>（二）证券账户、交易单元、托管单元及持仓</w:t>
      </w:r>
      <w:bookmarkEnd w:id="53"/>
      <w:bookmarkEnd w:id="54"/>
      <w:bookmarkEnd w:id="55"/>
      <w:bookmarkEnd w:id="56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57" w:name="_Toc960123003"/>
      <w:bookmarkStart w:id="58" w:name="_Toc502217622"/>
      <w:bookmarkStart w:id="59" w:name="_Toc502216528"/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证券账户及持仓的初始信息以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中国结算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生产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环境日终数据为准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60" w:name="_Toc1512271328"/>
      <w:r>
        <w:rPr>
          <w:rFonts w:hint="eastAsia"/>
          <w:sz w:val="30"/>
          <w:szCs w:val="30"/>
        </w:rPr>
        <w:t>（三）交易网关、行情网关和结算网关</w:t>
      </w:r>
      <w:bookmarkEnd w:id="57"/>
      <w:bookmarkEnd w:id="58"/>
      <w:bookmarkEnd w:id="59"/>
      <w:bookmarkEnd w:id="60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61" w:name="_Toc1913828385"/>
      <w:bookmarkStart w:id="62" w:name="_Toc422310615"/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交易网关、行情网关、结算网关的初始用户与密码以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深证通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生产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环境闭市时数据为准。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63" w:name="_Toc1553583665"/>
      <w:r>
        <w:rPr>
          <w:rFonts w:hint="eastAsia"/>
          <w:sz w:val="30"/>
          <w:szCs w:val="30"/>
        </w:rPr>
        <w:t>（四）FDEP小站</w:t>
      </w:r>
      <w:bookmarkEnd w:id="61"/>
      <w:bookmarkEnd w:id="63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固定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收益平台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FDEP小站号为k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8889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。适当性管理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信息库等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私有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的发送和接收应按照单个对端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用户规则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配置，证券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全市场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公用文件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的发送和接收应按照业务类型规则（规则名称为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BSEBOND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）模式配置。</w:t>
      </w:r>
    </w:p>
    <w:bookmarkEnd w:id="62"/>
    <w:p>
      <w:pPr>
        <w:pStyle w:val="73"/>
        <w:spacing w:beforeLines="0" w:afterLines="0" w:line="560" w:lineRule="exact"/>
        <w:ind w:firstLine="600"/>
      </w:pPr>
      <w:bookmarkStart w:id="64" w:name="_Toc374381928"/>
      <w:bookmarkStart w:id="65" w:name="_Toc376285233"/>
      <w:bookmarkStart w:id="66" w:name="_Toc375557974"/>
      <w:bookmarkStart w:id="67" w:name="_Toc1386646997"/>
      <w:bookmarkStart w:id="68" w:name="_Toc374957920"/>
      <w:bookmarkStart w:id="69" w:name="_Toc376597526"/>
      <w:bookmarkStart w:id="70" w:name="_Toc375070738"/>
      <w:bookmarkStart w:id="71" w:name="_Toc1630442853"/>
      <w:bookmarkStart w:id="72" w:name="_Toc374381862"/>
      <w:r>
        <w:rPr>
          <w:rFonts w:hint="eastAsia"/>
        </w:rPr>
        <w:t>九、</w:t>
      </w:r>
      <w:r>
        <w:t>全网测试系统接入方式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73" w:name="_Toc502850310"/>
      <w:bookmarkStart w:id="74" w:name="_Toc416422123"/>
      <w:bookmarkStart w:id="75" w:name="_Toc130466484"/>
      <w:bookmarkStart w:id="76" w:name="_Toc374381864"/>
      <w:bookmarkStart w:id="77" w:name="_Toc376597528"/>
      <w:bookmarkStart w:id="78" w:name="_Toc375557976"/>
      <w:bookmarkStart w:id="79" w:name="_Toc375070740"/>
      <w:bookmarkStart w:id="80" w:name="_Toc374381930"/>
      <w:bookmarkStart w:id="81" w:name="_Toc376285235"/>
      <w:bookmarkStart w:id="82" w:name="_Toc374957922"/>
      <w:r>
        <w:rPr>
          <w:rFonts w:hint="eastAsia"/>
          <w:sz w:val="30"/>
          <w:szCs w:val="30"/>
        </w:rPr>
        <w:t>（一）参测机构接入深证通</w:t>
      </w:r>
      <w:bookmarkEnd w:id="73"/>
      <w:bookmarkEnd w:id="74"/>
      <w:bookmarkEnd w:id="75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参测机构通过生产环境线路接入深证通提供的全网测试环境，如有问题，及时联系深证通。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83" w:name="_Toc1377912424"/>
      <w:bookmarkStart w:id="84" w:name="_Toc1797085182"/>
      <w:bookmarkStart w:id="85" w:name="_Toc386964499"/>
      <w:bookmarkStart w:id="86" w:name="_Toc416422124"/>
      <w:r>
        <w:rPr>
          <w:rFonts w:hint="eastAsia"/>
          <w:sz w:val="30"/>
          <w:szCs w:val="30"/>
        </w:rPr>
        <w:t>（二）参测机构接入中国结算</w:t>
      </w:r>
      <w:bookmarkEnd w:id="83"/>
      <w:bookmarkEnd w:id="84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按现有方式接入中国结算全网测试环境。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87" w:name="_Toc23932033"/>
      <w:bookmarkStart w:id="88" w:name="_Toc716568656"/>
      <w:r>
        <w:rPr>
          <w:rFonts w:hint="eastAsia"/>
          <w:sz w:val="30"/>
          <w:szCs w:val="30"/>
        </w:rPr>
        <w:t>（三）测试相关软件下载</w:t>
      </w:r>
      <w:bookmarkEnd w:id="85"/>
      <w:bookmarkEnd w:id="86"/>
      <w:bookmarkEnd w:id="87"/>
      <w:bookmarkEnd w:id="88"/>
    </w:p>
    <w:p>
      <w:pPr>
        <w:spacing w:line="560" w:lineRule="exact"/>
        <w:ind w:firstLine="600"/>
        <w:jc w:val="both"/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本次测试所需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的交易网关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、行情网关等软件可在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深证通网站（https://biz.sscc.com/main.html#/downlist）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-北交所通信系统栏目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下载。</w:t>
      </w:r>
    </w:p>
    <w:bookmarkEnd w:id="76"/>
    <w:bookmarkEnd w:id="77"/>
    <w:bookmarkEnd w:id="78"/>
    <w:bookmarkEnd w:id="79"/>
    <w:bookmarkEnd w:id="80"/>
    <w:bookmarkEnd w:id="81"/>
    <w:bookmarkEnd w:id="82"/>
    <w:p>
      <w:pPr>
        <w:pStyle w:val="73"/>
        <w:spacing w:beforeLines="0" w:afterLines="0" w:line="560" w:lineRule="exact"/>
        <w:ind w:firstLine="600"/>
      </w:pPr>
      <w:bookmarkStart w:id="89" w:name="_Toc375070742"/>
      <w:bookmarkStart w:id="90" w:name="_Toc376597530"/>
      <w:bookmarkStart w:id="91" w:name="_Toc376285237"/>
      <w:bookmarkStart w:id="92" w:name="_Toc1509349101"/>
      <w:bookmarkStart w:id="93" w:name="_Toc1511713076"/>
      <w:bookmarkStart w:id="94" w:name="_Toc375557978"/>
      <w:bookmarkStart w:id="95" w:name="_Toc374957924"/>
      <w:bookmarkStart w:id="96" w:name="_Toc374381932"/>
      <w:bookmarkStart w:id="97" w:name="_Toc374381866"/>
      <w:r>
        <w:rPr>
          <w:rFonts w:hint="eastAsia"/>
        </w:rPr>
        <w:t>十、</w:t>
      </w:r>
      <w:r>
        <w:t>测试要求及注意事项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>
      <w:pPr>
        <w:spacing w:line="560" w:lineRule="exact"/>
        <w:ind w:firstLine="600"/>
        <w:jc w:val="both"/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07" w:name="_GoBack"/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1.各参测机构应认真做好技术准备和测试环境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准备工作，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制定详尽的测试计划，并指定专人负责本次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全网测试工作。</w:t>
      </w:r>
    </w:p>
    <w:p>
      <w:pPr>
        <w:spacing w:line="560" w:lineRule="exact"/>
        <w:ind w:firstLine="600"/>
        <w:jc w:val="both"/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2.在测试过程中，各参测机构应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按要求完成测试场景，并详细记载测试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过程与结果，检查其正确性。如发现异常现象，请及时通过电话或QQ群与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北交所沟通联系。</w:t>
      </w:r>
    </w:p>
    <w:p>
      <w:pPr>
        <w:spacing w:line="560" w:lineRule="exact"/>
        <w:ind w:firstLine="600"/>
        <w:jc w:val="both"/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3.测试报告请于2026年2月7日17:00前发送至techservice@neeq.com.cn，邮件主题格式：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“机构名称+北京证券交易所固定收益平台第一次全网测试报告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”。</w:t>
      </w:r>
    </w:p>
    <w:p>
      <w:pPr>
        <w:spacing w:line="560" w:lineRule="exact"/>
        <w:ind w:firstLine="600"/>
        <w:jc w:val="both"/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4.测试数据不得用于生产业务，测试后需做好环境恢复。</w:t>
      </w:r>
    </w:p>
    <w:bookmarkEnd w:id="107"/>
    <w:p>
      <w:pPr>
        <w:pStyle w:val="73"/>
        <w:spacing w:beforeLines="0" w:afterLines="0" w:line="560" w:lineRule="exact"/>
        <w:ind w:firstLine="600"/>
      </w:pPr>
      <w:bookmarkStart w:id="98" w:name="_Toc2062526509"/>
      <w:bookmarkStart w:id="99" w:name="_Toc374957927"/>
      <w:bookmarkStart w:id="100" w:name="_Toc374381935"/>
      <w:bookmarkStart w:id="101" w:name="_Toc374381869"/>
      <w:bookmarkStart w:id="102" w:name="_Toc1443518205"/>
      <w:bookmarkStart w:id="103" w:name="_Toc376597533"/>
      <w:bookmarkStart w:id="104" w:name="_Toc375070745"/>
      <w:bookmarkStart w:id="105" w:name="_Toc376285240"/>
      <w:bookmarkStart w:id="106" w:name="_Toc375557981"/>
      <w:r>
        <w:rPr>
          <w:rFonts w:hint="eastAsia"/>
        </w:rPr>
        <w:t>十一、</w:t>
      </w:r>
      <w:r>
        <w:t>联系方式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tbl>
      <w:tblPr>
        <w:tblStyle w:val="37"/>
        <w:tblW w:w="47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8"/>
        <w:gridCol w:w="4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全网测试联系单位（人）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北京证券</w:t>
            </w: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交易所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运行控制中心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010-63889855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深圳证券通信公司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0755-83182222（运行咨询）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0755-88666462（专线、VPN接入）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0755-88666464（交易、行情）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0755-88666470（CCNET、FDEP）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测试QQ群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北交所固收平台交易运行维护群：392171220，7</w:t>
            </w: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93069076</w:t>
            </w:r>
          </w:p>
        </w:tc>
      </w:tr>
    </w:tbl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</w:t>
      </w: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深圳证券通信有限公司</w:t>
      </w: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二○二</w:t>
      </w: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</w:t>
      </w: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</w:t>
      </w: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bookmarkEnd w:id="10"/>
    </w:p>
    <w:sectPr>
      <w:footerReference r:id="rId11" w:type="default"/>
      <w:footerReference r:id="rId12" w:type="even"/>
      <w:pgSz w:w="11906" w:h="16838"/>
      <w:pgMar w:top="1588" w:right="1701" w:bottom="1588" w:left="1701" w:header="907" w:footer="907" w:gutter="0"/>
      <w:pgNumType w:fmt="numberInDash" w:start="1"/>
      <w:cols w:space="720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CG Times">
    <w:altName w:val="DejaVu San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0" w:firstLineChars="0"/>
      <w:rPr>
        <w:rFonts w:asciiTheme="minorEastAsia" w:hAnsiTheme="minorEastAsia" w:eastAsia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4"/>
          <w:ind w:left="2400" w:firstLine="36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49753675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4"/>
          <w:ind w:firstLine="0" w:firstLineChars="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thickThinSmallGap" w:color="622423" w:sz="24" w:space="1"/>
      </w:pBdr>
      <w:spacing w:before="144"/>
      <w:ind w:firstLine="0" w:firstLineChars="0"/>
      <w:jc w:val="right"/>
      <w:rPr>
        <w:rFonts w:ascii="Cambria" w:hAnsi="Cambria" w:cs="黑体"/>
        <w:sz w:val="32"/>
        <w:szCs w:val="32"/>
      </w:rPr>
    </w:pPr>
    <w:r>
      <w:rPr>
        <w:b/>
        <w:sz w:val="32"/>
      </w:rPr>
      <w:t xml:space="preserve">             </w:t>
    </w:r>
    <w:r>
      <w:rPr>
        <w:rFonts w:hint="eastAsia"/>
        <w:sz w:val="21"/>
        <w:szCs w:val="21"/>
      </w:rPr>
      <w:t>全网测试方案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thickThinSmallGap" w:color="622423" w:sz="24" w:space="1"/>
      </w:pBdr>
      <w:spacing w:before="144"/>
      <w:ind w:firstLine="0" w:firstLineChars="0"/>
      <w:jc w:val="right"/>
      <w:rPr>
        <w:rFonts w:ascii="Cambria" w:hAnsi="Cambria" w:cs="黑体"/>
        <w:sz w:val="32"/>
        <w:szCs w:val="32"/>
      </w:rPr>
    </w:pPr>
    <w:r>
      <w:rPr>
        <w:b/>
        <w:sz w:val="32"/>
      </w:rPr>
      <w:t xml:space="preserve">             </w:t>
    </w:r>
    <w:r>
      <w:rPr>
        <w:rFonts w:hint="eastAsia"/>
        <w:sz w:val="21"/>
        <w:szCs w:val="21"/>
      </w:rPr>
      <w:t>全网测试方案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14489"/>
    <w:multiLevelType w:val="multilevel"/>
    <w:tmpl w:val="3B51448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9"/>
      <w:lvlText w:val="（%3）"/>
      <w:lvlJc w:val="left"/>
      <w:pPr>
        <w:ind w:left="1200" w:hanging="1200"/>
      </w:pPr>
      <w:rPr>
        <w:rFonts w:hint="default"/>
      </w:rPr>
    </w:lvl>
    <w:lvl w:ilvl="3" w:tentative="0">
      <w:start w:val="1"/>
      <w:numFmt w:val="decimal"/>
      <w:pStyle w:val="70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0" w:firstLine="0"/>
      </w:pPr>
      <w:rPr>
        <w:rFonts w:hint="eastAsia" w:cs="Times New Roman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8184730"/>
    <w:multiLevelType w:val="multilevel"/>
    <w:tmpl w:val="58184730"/>
    <w:lvl w:ilvl="0" w:tentative="0">
      <w:start w:val="1"/>
      <w:numFmt w:val="chineseCountingThousand"/>
      <w:pStyle w:val="77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7BC86D68"/>
    <w:multiLevelType w:val="multilevel"/>
    <w:tmpl w:val="7BC86D68"/>
    <w:lvl w:ilvl="0" w:tentative="0">
      <w:start w:val="1"/>
      <w:numFmt w:val="chineseCountingThousand"/>
      <w:pStyle w:val="88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楷体_GB2312" w:cs="Times New Roman"/>
      </w:rPr>
    </w:lvl>
    <w:lvl w:ilvl="2" w:tentative="0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eastAsia="仿宋" w:cs="Times New Roman"/>
      </w:rPr>
    </w:lvl>
    <w:lvl w:ilvl="3" w:tentative="0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000003D4"/>
    <w:rsid w:val="000008CD"/>
    <w:rsid w:val="000021F2"/>
    <w:rsid w:val="000042CA"/>
    <w:rsid w:val="00012061"/>
    <w:rsid w:val="00014FCB"/>
    <w:rsid w:val="00015F0D"/>
    <w:rsid w:val="0001604C"/>
    <w:rsid w:val="000170DD"/>
    <w:rsid w:val="00022265"/>
    <w:rsid w:val="00023DC3"/>
    <w:rsid w:val="00025609"/>
    <w:rsid w:val="0003224B"/>
    <w:rsid w:val="000340E9"/>
    <w:rsid w:val="000356E8"/>
    <w:rsid w:val="0004235A"/>
    <w:rsid w:val="00044E9E"/>
    <w:rsid w:val="00046C0A"/>
    <w:rsid w:val="00050DD8"/>
    <w:rsid w:val="00052298"/>
    <w:rsid w:val="000560D3"/>
    <w:rsid w:val="00060E86"/>
    <w:rsid w:val="000634E3"/>
    <w:rsid w:val="0006394D"/>
    <w:rsid w:val="00063C7F"/>
    <w:rsid w:val="00072914"/>
    <w:rsid w:val="00074A7E"/>
    <w:rsid w:val="0007786A"/>
    <w:rsid w:val="000804B5"/>
    <w:rsid w:val="00080895"/>
    <w:rsid w:val="00080B96"/>
    <w:rsid w:val="00081010"/>
    <w:rsid w:val="000818B1"/>
    <w:rsid w:val="00091A09"/>
    <w:rsid w:val="00093D76"/>
    <w:rsid w:val="000A2740"/>
    <w:rsid w:val="000A4D6D"/>
    <w:rsid w:val="000A666E"/>
    <w:rsid w:val="000A75FE"/>
    <w:rsid w:val="000B0B0C"/>
    <w:rsid w:val="000B0C3E"/>
    <w:rsid w:val="000C05E3"/>
    <w:rsid w:val="000C1158"/>
    <w:rsid w:val="000C1477"/>
    <w:rsid w:val="000C3BFD"/>
    <w:rsid w:val="000C7A4B"/>
    <w:rsid w:val="000C7BA4"/>
    <w:rsid w:val="000D0227"/>
    <w:rsid w:val="000D141D"/>
    <w:rsid w:val="000D6685"/>
    <w:rsid w:val="000D75C2"/>
    <w:rsid w:val="000E2A65"/>
    <w:rsid w:val="000E3E52"/>
    <w:rsid w:val="000E4A53"/>
    <w:rsid w:val="000E6435"/>
    <w:rsid w:val="000E6821"/>
    <w:rsid w:val="000E7B32"/>
    <w:rsid w:val="000F13C8"/>
    <w:rsid w:val="000F1908"/>
    <w:rsid w:val="000F6857"/>
    <w:rsid w:val="00100FBF"/>
    <w:rsid w:val="00101373"/>
    <w:rsid w:val="00101463"/>
    <w:rsid w:val="00101A04"/>
    <w:rsid w:val="001044B8"/>
    <w:rsid w:val="00107BA4"/>
    <w:rsid w:val="00113FBF"/>
    <w:rsid w:val="00115F86"/>
    <w:rsid w:val="00131398"/>
    <w:rsid w:val="0013179F"/>
    <w:rsid w:val="001340A3"/>
    <w:rsid w:val="00141196"/>
    <w:rsid w:val="00143D54"/>
    <w:rsid w:val="001450C4"/>
    <w:rsid w:val="0014545C"/>
    <w:rsid w:val="0014549F"/>
    <w:rsid w:val="00146350"/>
    <w:rsid w:val="0014719A"/>
    <w:rsid w:val="001538F9"/>
    <w:rsid w:val="00155859"/>
    <w:rsid w:val="00165CA6"/>
    <w:rsid w:val="00167234"/>
    <w:rsid w:val="001703D1"/>
    <w:rsid w:val="0017686E"/>
    <w:rsid w:val="0018007C"/>
    <w:rsid w:val="00180255"/>
    <w:rsid w:val="00183028"/>
    <w:rsid w:val="00185284"/>
    <w:rsid w:val="00186457"/>
    <w:rsid w:val="001902F0"/>
    <w:rsid w:val="00190447"/>
    <w:rsid w:val="00193B89"/>
    <w:rsid w:val="00193EB0"/>
    <w:rsid w:val="00193ECC"/>
    <w:rsid w:val="001949B0"/>
    <w:rsid w:val="0019725F"/>
    <w:rsid w:val="001978C8"/>
    <w:rsid w:val="001A5FD0"/>
    <w:rsid w:val="001A70B7"/>
    <w:rsid w:val="001A7EE0"/>
    <w:rsid w:val="001B173B"/>
    <w:rsid w:val="001B23EC"/>
    <w:rsid w:val="001B7F01"/>
    <w:rsid w:val="001C3443"/>
    <w:rsid w:val="001C4F4F"/>
    <w:rsid w:val="001D0A01"/>
    <w:rsid w:val="001D2164"/>
    <w:rsid w:val="001D2BAE"/>
    <w:rsid w:val="001D7798"/>
    <w:rsid w:val="001E150F"/>
    <w:rsid w:val="001E1C28"/>
    <w:rsid w:val="001F3017"/>
    <w:rsid w:val="001F4C2E"/>
    <w:rsid w:val="001F5611"/>
    <w:rsid w:val="001F77A6"/>
    <w:rsid w:val="00200581"/>
    <w:rsid w:val="00203404"/>
    <w:rsid w:val="00206259"/>
    <w:rsid w:val="00212DDC"/>
    <w:rsid w:val="002171AA"/>
    <w:rsid w:val="002206C8"/>
    <w:rsid w:val="00221E9F"/>
    <w:rsid w:val="0023258F"/>
    <w:rsid w:val="00234E19"/>
    <w:rsid w:val="00236029"/>
    <w:rsid w:val="002406AF"/>
    <w:rsid w:val="00240BAB"/>
    <w:rsid w:val="00240C47"/>
    <w:rsid w:val="00241718"/>
    <w:rsid w:val="00242A49"/>
    <w:rsid w:val="002436A0"/>
    <w:rsid w:val="00247AC2"/>
    <w:rsid w:val="00252AF6"/>
    <w:rsid w:val="00253C9D"/>
    <w:rsid w:val="00254AF5"/>
    <w:rsid w:val="00256BE1"/>
    <w:rsid w:val="002579A2"/>
    <w:rsid w:val="0026430A"/>
    <w:rsid w:val="002650CB"/>
    <w:rsid w:val="0026626B"/>
    <w:rsid w:val="00266A8F"/>
    <w:rsid w:val="00266E71"/>
    <w:rsid w:val="00273CD5"/>
    <w:rsid w:val="0027405D"/>
    <w:rsid w:val="00275424"/>
    <w:rsid w:val="002759F4"/>
    <w:rsid w:val="00277AEC"/>
    <w:rsid w:val="00277C7D"/>
    <w:rsid w:val="002806B9"/>
    <w:rsid w:val="00280D3D"/>
    <w:rsid w:val="00282E3C"/>
    <w:rsid w:val="00284448"/>
    <w:rsid w:val="00297152"/>
    <w:rsid w:val="00297B1D"/>
    <w:rsid w:val="00297E71"/>
    <w:rsid w:val="002A0254"/>
    <w:rsid w:val="002A403F"/>
    <w:rsid w:val="002A52EA"/>
    <w:rsid w:val="002A6D34"/>
    <w:rsid w:val="002C1D49"/>
    <w:rsid w:val="002C7089"/>
    <w:rsid w:val="002D3F71"/>
    <w:rsid w:val="002D41A0"/>
    <w:rsid w:val="002D797A"/>
    <w:rsid w:val="002E33C4"/>
    <w:rsid w:val="002E4041"/>
    <w:rsid w:val="002E578C"/>
    <w:rsid w:val="002E74FD"/>
    <w:rsid w:val="002E7548"/>
    <w:rsid w:val="002F0A5F"/>
    <w:rsid w:val="002F0E90"/>
    <w:rsid w:val="002F3286"/>
    <w:rsid w:val="002F4EA5"/>
    <w:rsid w:val="002F7C80"/>
    <w:rsid w:val="00300C20"/>
    <w:rsid w:val="00305ADC"/>
    <w:rsid w:val="00306BDB"/>
    <w:rsid w:val="00307F45"/>
    <w:rsid w:val="00310306"/>
    <w:rsid w:val="00311CE6"/>
    <w:rsid w:val="00312884"/>
    <w:rsid w:val="003138C1"/>
    <w:rsid w:val="00314A94"/>
    <w:rsid w:val="00320A48"/>
    <w:rsid w:val="00320EEE"/>
    <w:rsid w:val="003254AE"/>
    <w:rsid w:val="00335E68"/>
    <w:rsid w:val="0033640B"/>
    <w:rsid w:val="00336769"/>
    <w:rsid w:val="003435C8"/>
    <w:rsid w:val="0034490A"/>
    <w:rsid w:val="00345A5A"/>
    <w:rsid w:val="00350902"/>
    <w:rsid w:val="003555B3"/>
    <w:rsid w:val="00362F19"/>
    <w:rsid w:val="00363B70"/>
    <w:rsid w:val="003642E5"/>
    <w:rsid w:val="00370791"/>
    <w:rsid w:val="00370795"/>
    <w:rsid w:val="00373C01"/>
    <w:rsid w:val="00374DAD"/>
    <w:rsid w:val="00376C12"/>
    <w:rsid w:val="00385178"/>
    <w:rsid w:val="00387E17"/>
    <w:rsid w:val="003A18ED"/>
    <w:rsid w:val="003A3C96"/>
    <w:rsid w:val="003A3D7E"/>
    <w:rsid w:val="003B5A65"/>
    <w:rsid w:val="003B644C"/>
    <w:rsid w:val="003B662E"/>
    <w:rsid w:val="003C1112"/>
    <w:rsid w:val="003C23AB"/>
    <w:rsid w:val="003C4E3E"/>
    <w:rsid w:val="003C5E51"/>
    <w:rsid w:val="003C5F2F"/>
    <w:rsid w:val="003C62CC"/>
    <w:rsid w:val="003E4A8B"/>
    <w:rsid w:val="003F01F0"/>
    <w:rsid w:val="003F2AA4"/>
    <w:rsid w:val="003F55F8"/>
    <w:rsid w:val="00401621"/>
    <w:rsid w:val="004059C2"/>
    <w:rsid w:val="00407FF3"/>
    <w:rsid w:val="00416159"/>
    <w:rsid w:val="0042028F"/>
    <w:rsid w:val="004243EC"/>
    <w:rsid w:val="00425E28"/>
    <w:rsid w:val="00427365"/>
    <w:rsid w:val="0043256A"/>
    <w:rsid w:val="00436F29"/>
    <w:rsid w:val="00437D28"/>
    <w:rsid w:val="0044032D"/>
    <w:rsid w:val="0044077A"/>
    <w:rsid w:val="0044556F"/>
    <w:rsid w:val="004522B0"/>
    <w:rsid w:val="004568C9"/>
    <w:rsid w:val="00456985"/>
    <w:rsid w:val="004612E9"/>
    <w:rsid w:val="0046391E"/>
    <w:rsid w:val="00463E9C"/>
    <w:rsid w:val="00467A63"/>
    <w:rsid w:val="00472ED3"/>
    <w:rsid w:val="0047526B"/>
    <w:rsid w:val="00476F1F"/>
    <w:rsid w:val="00477040"/>
    <w:rsid w:val="004821DA"/>
    <w:rsid w:val="00484635"/>
    <w:rsid w:val="00487504"/>
    <w:rsid w:val="004903E3"/>
    <w:rsid w:val="0049165A"/>
    <w:rsid w:val="00491C36"/>
    <w:rsid w:val="004921BC"/>
    <w:rsid w:val="00492EA6"/>
    <w:rsid w:val="0049466C"/>
    <w:rsid w:val="00495886"/>
    <w:rsid w:val="00495945"/>
    <w:rsid w:val="00496D8F"/>
    <w:rsid w:val="00497D1B"/>
    <w:rsid w:val="004A4F42"/>
    <w:rsid w:val="004B07C1"/>
    <w:rsid w:val="004B0EA0"/>
    <w:rsid w:val="004B2611"/>
    <w:rsid w:val="004B55CC"/>
    <w:rsid w:val="004B5734"/>
    <w:rsid w:val="004B7723"/>
    <w:rsid w:val="004C2127"/>
    <w:rsid w:val="004C64A5"/>
    <w:rsid w:val="004D1909"/>
    <w:rsid w:val="004E21F8"/>
    <w:rsid w:val="004E3D4D"/>
    <w:rsid w:val="004E587F"/>
    <w:rsid w:val="004F0391"/>
    <w:rsid w:val="004F1807"/>
    <w:rsid w:val="004F1AC3"/>
    <w:rsid w:val="005006A8"/>
    <w:rsid w:val="00512808"/>
    <w:rsid w:val="00521A99"/>
    <w:rsid w:val="0052398A"/>
    <w:rsid w:val="00526307"/>
    <w:rsid w:val="005302C8"/>
    <w:rsid w:val="00530549"/>
    <w:rsid w:val="00533919"/>
    <w:rsid w:val="00533984"/>
    <w:rsid w:val="00534172"/>
    <w:rsid w:val="00534793"/>
    <w:rsid w:val="00543365"/>
    <w:rsid w:val="00545001"/>
    <w:rsid w:val="005466AD"/>
    <w:rsid w:val="00547616"/>
    <w:rsid w:val="00550DE4"/>
    <w:rsid w:val="005566F2"/>
    <w:rsid w:val="00557146"/>
    <w:rsid w:val="0056297E"/>
    <w:rsid w:val="00564776"/>
    <w:rsid w:val="00564FEE"/>
    <w:rsid w:val="00566302"/>
    <w:rsid w:val="005670D6"/>
    <w:rsid w:val="005732BD"/>
    <w:rsid w:val="00576139"/>
    <w:rsid w:val="00577876"/>
    <w:rsid w:val="00580C9D"/>
    <w:rsid w:val="00580D35"/>
    <w:rsid w:val="00581FF8"/>
    <w:rsid w:val="00585660"/>
    <w:rsid w:val="0059060E"/>
    <w:rsid w:val="005A2515"/>
    <w:rsid w:val="005B076F"/>
    <w:rsid w:val="005B3894"/>
    <w:rsid w:val="005B446A"/>
    <w:rsid w:val="005C0530"/>
    <w:rsid w:val="005C0D5D"/>
    <w:rsid w:val="005C4075"/>
    <w:rsid w:val="005C6E19"/>
    <w:rsid w:val="005D0387"/>
    <w:rsid w:val="005D2DAD"/>
    <w:rsid w:val="005D4749"/>
    <w:rsid w:val="005E1F19"/>
    <w:rsid w:val="005E2335"/>
    <w:rsid w:val="005E628B"/>
    <w:rsid w:val="005E6751"/>
    <w:rsid w:val="005F3660"/>
    <w:rsid w:val="005F6332"/>
    <w:rsid w:val="005F760C"/>
    <w:rsid w:val="00600CA6"/>
    <w:rsid w:val="00605FEB"/>
    <w:rsid w:val="006063DD"/>
    <w:rsid w:val="00607D03"/>
    <w:rsid w:val="006117DB"/>
    <w:rsid w:val="006157E1"/>
    <w:rsid w:val="00616628"/>
    <w:rsid w:val="006216FC"/>
    <w:rsid w:val="00624CC1"/>
    <w:rsid w:val="006263CC"/>
    <w:rsid w:val="00626B1B"/>
    <w:rsid w:val="00627371"/>
    <w:rsid w:val="006304E5"/>
    <w:rsid w:val="006338D2"/>
    <w:rsid w:val="00635159"/>
    <w:rsid w:val="00641376"/>
    <w:rsid w:val="00641D82"/>
    <w:rsid w:val="00643928"/>
    <w:rsid w:val="0065270F"/>
    <w:rsid w:val="00655003"/>
    <w:rsid w:val="0065516D"/>
    <w:rsid w:val="00662EB1"/>
    <w:rsid w:val="00665C84"/>
    <w:rsid w:val="00665E3C"/>
    <w:rsid w:val="006722C2"/>
    <w:rsid w:val="00675AD2"/>
    <w:rsid w:val="00675C3D"/>
    <w:rsid w:val="00676DD2"/>
    <w:rsid w:val="00677BB3"/>
    <w:rsid w:val="00681A8C"/>
    <w:rsid w:val="00682A05"/>
    <w:rsid w:val="006830AC"/>
    <w:rsid w:val="00683D29"/>
    <w:rsid w:val="00684C30"/>
    <w:rsid w:val="00684DA1"/>
    <w:rsid w:val="006911DE"/>
    <w:rsid w:val="00694B1E"/>
    <w:rsid w:val="006A0848"/>
    <w:rsid w:val="006A0E95"/>
    <w:rsid w:val="006A36DF"/>
    <w:rsid w:val="006A40A0"/>
    <w:rsid w:val="006A644D"/>
    <w:rsid w:val="006B0241"/>
    <w:rsid w:val="006B241C"/>
    <w:rsid w:val="006B2B18"/>
    <w:rsid w:val="006C0636"/>
    <w:rsid w:val="006C0B8B"/>
    <w:rsid w:val="006C5775"/>
    <w:rsid w:val="006C6879"/>
    <w:rsid w:val="006D77B5"/>
    <w:rsid w:val="006E0BE2"/>
    <w:rsid w:val="006E2D38"/>
    <w:rsid w:val="006E503C"/>
    <w:rsid w:val="006E6D42"/>
    <w:rsid w:val="006E7BA5"/>
    <w:rsid w:val="006E7DCA"/>
    <w:rsid w:val="006F05A8"/>
    <w:rsid w:val="006F34CB"/>
    <w:rsid w:val="006F4E09"/>
    <w:rsid w:val="006F5124"/>
    <w:rsid w:val="00701D1B"/>
    <w:rsid w:val="00701F1B"/>
    <w:rsid w:val="00703C11"/>
    <w:rsid w:val="00706ECF"/>
    <w:rsid w:val="00710392"/>
    <w:rsid w:val="00711EC8"/>
    <w:rsid w:val="00715EBB"/>
    <w:rsid w:val="007211EC"/>
    <w:rsid w:val="00721CCB"/>
    <w:rsid w:val="0072630D"/>
    <w:rsid w:val="00727D77"/>
    <w:rsid w:val="007306AE"/>
    <w:rsid w:val="00733F21"/>
    <w:rsid w:val="00753120"/>
    <w:rsid w:val="007544C5"/>
    <w:rsid w:val="007553D8"/>
    <w:rsid w:val="00755F4B"/>
    <w:rsid w:val="007675C0"/>
    <w:rsid w:val="00767E91"/>
    <w:rsid w:val="00767F1F"/>
    <w:rsid w:val="00774158"/>
    <w:rsid w:val="0077792A"/>
    <w:rsid w:val="007835B6"/>
    <w:rsid w:val="007838F7"/>
    <w:rsid w:val="00785FE5"/>
    <w:rsid w:val="00786A27"/>
    <w:rsid w:val="00786D46"/>
    <w:rsid w:val="00792C28"/>
    <w:rsid w:val="00793331"/>
    <w:rsid w:val="00794E83"/>
    <w:rsid w:val="00795E74"/>
    <w:rsid w:val="0079718C"/>
    <w:rsid w:val="007A0778"/>
    <w:rsid w:val="007A083E"/>
    <w:rsid w:val="007A6CA5"/>
    <w:rsid w:val="007B0A94"/>
    <w:rsid w:val="007C007D"/>
    <w:rsid w:val="007C2325"/>
    <w:rsid w:val="007C6899"/>
    <w:rsid w:val="007C6FB6"/>
    <w:rsid w:val="007C77E5"/>
    <w:rsid w:val="007D39B9"/>
    <w:rsid w:val="007D5E12"/>
    <w:rsid w:val="007D6CBD"/>
    <w:rsid w:val="007E3B99"/>
    <w:rsid w:val="007E5470"/>
    <w:rsid w:val="007E783B"/>
    <w:rsid w:val="007F26C9"/>
    <w:rsid w:val="007F26FE"/>
    <w:rsid w:val="007F2F79"/>
    <w:rsid w:val="00803EB2"/>
    <w:rsid w:val="00806AD8"/>
    <w:rsid w:val="00810C54"/>
    <w:rsid w:val="0081304A"/>
    <w:rsid w:val="008166B5"/>
    <w:rsid w:val="0082095E"/>
    <w:rsid w:val="00820C3B"/>
    <w:rsid w:val="00821431"/>
    <w:rsid w:val="008244B7"/>
    <w:rsid w:val="0082472D"/>
    <w:rsid w:val="00824F21"/>
    <w:rsid w:val="00832685"/>
    <w:rsid w:val="00834071"/>
    <w:rsid w:val="00841245"/>
    <w:rsid w:val="00852DD5"/>
    <w:rsid w:val="0085463C"/>
    <w:rsid w:val="00855A28"/>
    <w:rsid w:val="00860ABB"/>
    <w:rsid w:val="0086111C"/>
    <w:rsid w:val="00864173"/>
    <w:rsid w:val="0086442D"/>
    <w:rsid w:val="008663D3"/>
    <w:rsid w:val="0087185D"/>
    <w:rsid w:val="00875B14"/>
    <w:rsid w:val="00875B39"/>
    <w:rsid w:val="00884977"/>
    <w:rsid w:val="00884E8D"/>
    <w:rsid w:val="00885B06"/>
    <w:rsid w:val="00885D05"/>
    <w:rsid w:val="0089111C"/>
    <w:rsid w:val="00892181"/>
    <w:rsid w:val="008B4B2F"/>
    <w:rsid w:val="008B78FE"/>
    <w:rsid w:val="008C02F4"/>
    <w:rsid w:val="008C098C"/>
    <w:rsid w:val="008C28DF"/>
    <w:rsid w:val="008C3622"/>
    <w:rsid w:val="008C5A31"/>
    <w:rsid w:val="008C702A"/>
    <w:rsid w:val="008D1EBB"/>
    <w:rsid w:val="008E0050"/>
    <w:rsid w:val="008E301B"/>
    <w:rsid w:val="008E4048"/>
    <w:rsid w:val="008F4B76"/>
    <w:rsid w:val="008F753A"/>
    <w:rsid w:val="008F760D"/>
    <w:rsid w:val="009003E1"/>
    <w:rsid w:val="0090041B"/>
    <w:rsid w:val="00900867"/>
    <w:rsid w:val="00901440"/>
    <w:rsid w:val="00902A1E"/>
    <w:rsid w:val="00903270"/>
    <w:rsid w:val="00906DBF"/>
    <w:rsid w:val="00906EA2"/>
    <w:rsid w:val="00907CDB"/>
    <w:rsid w:val="00912987"/>
    <w:rsid w:val="00913CCA"/>
    <w:rsid w:val="0092218D"/>
    <w:rsid w:val="00922895"/>
    <w:rsid w:val="0092661C"/>
    <w:rsid w:val="00933037"/>
    <w:rsid w:val="0093438C"/>
    <w:rsid w:val="0094370A"/>
    <w:rsid w:val="00944D01"/>
    <w:rsid w:val="009452AB"/>
    <w:rsid w:val="009504F6"/>
    <w:rsid w:val="00952067"/>
    <w:rsid w:val="00953908"/>
    <w:rsid w:val="00953DA1"/>
    <w:rsid w:val="009541FF"/>
    <w:rsid w:val="009546DB"/>
    <w:rsid w:val="0095511D"/>
    <w:rsid w:val="00956537"/>
    <w:rsid w:val="00956A92"/>
    <w:rsid w:val="009571DE"/>
    <w:rsid w:val="0096362F"/>
    <w:rsid w:val="00966241"/>
    <w:rsid w:val="00971650"/>
    <w:rsid w:val="00972A4B"/>
    <w:rsid w:val="00973478"/>
    <w:rsid w:val="00981237"/>
    <w:rsid w:val="00985647"/>
    <w:rsid w:val="00986D1E"/>
    <w:rsid w:val="009918C3"/>
    <w:rsid w:val="00992D72"/>
    <w:rsid w:val="009A01EC"/>
    <w:rsid w:val="009A1E52"/>
    <w:rsid w:val="009A20F1"/>
    <w:rsid w:val="009A35A9"/>
    <w:rsid w:val="009A4E1B"/>
    <w:rsid w:val="009A5843"/>
    <w:rsid w:val="009A60A4"/>
    <w:rsid w:val="009B239A"/>
    <w:rsid w:val="009B3AAB"/>
    <w:rsid w:val="009C3AA0"/>
    <w:rsid w:val="009C572A"/>
    <w:rsid w:val="009D0A20"/>
    <w:rsid w:val="009D0C8F"/>
    <w:rsid w:val="009D0E44"/>
    <w:rsid w:val="009D13DC"/>
    <w:rsid w:val="009D1606"/>
    <w:rsid w:val="009D20B5"/>
    <w:rsid w:val="009D55D5"/>
    <w:rsid w:val="009D7358"/>
    <w:rsid w:val="009D7675"/>
    <w:rsid w:val="009E5A45"/>
    <w:rsid w:val="009E7116"/>
    <w:rsid w:val="009F0654"/>
    <w:rsid w:val="009F36F5"/>
    <w:rsid w:val="009F3C68"/>
    <w:rsid w:val="009F42A0"/>
    <w:rsid w:val="00A02141"/>
    <w:rsid w:val="00A03A05"/>
    <w:rsid w:val="00A0558B"/>
    <w:rsid w:val="00A05A5A"/>
    <w:rsid w:val="00A0767D"/>
    <w:rsid w:val="00A10ACB"/>
    <w:rsid w:val="00A115BA"/>
    <w:rsid w:val="00A14205"/>
    <w:rsid w:val="00A164E1"/>
    <w:rsid w:val="00A242BC"/>
    <w:rsid w:val="00A24C70"/>
    <w:rsid w:val="00A2501B"/>
    <w:rsid w:val="00A26646"/>
    <w:rsid w:val="00A35AB7"/>
    <w:rsid w:val="00A37FD5"/>
    <w:rsid w:val="00A400F2"/>
    <w:rsid w:val="00A4126F"/>
    <w:rsid w:val="00A41BAD"/>
    <w:rsid w:val="00A41F2B"/>
    <w:rsid w:val="00A51B86"/>
    <w:rsid w:val="00A51FA6"/>
    <w:rsid w:val="00A53302"/>
    <w:rsid w:val="00A55A9E"/>
    <w:rsid w:val="00A61174"/>
    <w:rsid w:val="00A61FBC"/>
    <w:rsid w:val="00A65947"/>
    <w:rsid w:val="00A67D57"/>
    <w:rsid w:val="00A760AA"/>
    <w:rsid w:val="00A81C54"/>
    <w:rsid w:val="00A826A8"/>
    <w:rsid w:val="00A9049D"/>
    <w:rsid w:val="00A94575"/>
    <w:rsid w:val="00A97679"/>
    <w:rsid w:val="00AA2208"/>
    <w:rsid w:val="00AA26EE"/>
    <w:rsid w:val="00AB1922"/>
    <w:rsid w:val="00AB3B27"/>
    <w:rsid w:val="00AB408D"/>
    <w:rsid w:val="00AB6BB3"/>
    <w:rsid w:val="00AB71D0"/>
    <w:rsid w:val="00AB7CF8"/>
    <w:rsid w:val="00AC7134"/>
    <w:rsid w:val="00AD2201"/>
    <w:rsid w:val="00AD3E28"/>
    <w:rsid w:val="00AD4CF3"/>
    <w:rsid w:val="00AD7FCE"/>
    <w:rsid w:val="00AE0901"/>
    <w:rsid w:val="00AE0FDD"/>
    <w:rsid w:val="00AE4E81"/>
    <w:rsid w:val="00AE5D76"/>
    <w:rsid w:val="00AF01DE"/>
    <w:rsid w:val="00AF37CC"/>
    <w:rsid w:val="00AF7D4C"/>
    <w:rsid w:val="00B018EC"/>
    <w:rsid w:val="00B04645"/>
    <w:rsid w:val="00B06BE3"/>
    <w:rsid w:val="00B07BE6"/>
    <w:rsid w:val="00B102DC"/>
    <w:rsid w:val="00B10EA6"/>
    <w:rsid w:val="00B1162B"/>
    <w:rsid w:val="00B1277F"/>
    <w:rsid w:val="00B13611"/>
    <w:rsid w:val="00B143FA"/>
    <w:rsid w:val="00B17276"/>
    <w:rsid w:val="00B23131"/>
    <w:rsid w:val="00B232C4"/>
    <w:rsid w:val="00B24D7B"/>
    <w:rsid w:val="00B26090"/>
    <w:rsid w:val="00B30CC0"/>
    <w:rsid w:val="00B31BD0"/>
    <w:rsid w:val="00B3344A"/>
    <w:rsid w:val="00B37E3D"/>
    <w:rsid w:val="00B40308"/>
    <w:rsid w:val="00B44970"/>
    <w:rsid w:val="00B476D0"/>
    <w:rsid w:val="00B51370"/>
    <w:rsid w:val="00B52D09"/>
    <w:rsid w:val="00B54F2F"/>
    <w:rsid w:val="00B57D40"/>
    <w:rsid w:val="00B62B0E"/>
    <w:rsid w:val="00B67D86"/>
    <w:rsid w:val="00B84BBC"/>
    <w:rsid w:val="00B9398A"/>
    <w:rsid w:val="00B942AA"/>
    <w:rsid w:val="00BA01EB"/>
    <w:rsid w:val="00BA1E37"/>
    <w:rsid w:val="00BA268A"/>
    <w:rsid w:val="00BA3ADB"/>
    <w:rsid w:val="00BA59C2"/>
    <w:rsid w:val="00BB01EB"/>
    <w:rsid w:val="00BB11ED"/>
    <w:rsid w:val="00BB2918"/>
    <w:rsid w:val="00BB7271"/>
    <w:rsid w:val="00BC21BC"/>
    <w:rsid w:val="00BC2E4D"/>
    <w:rsid w:val="00BD0347"/>
    <w:rsid w:val="00BD128D"/>
    <w:rsid w:val="00BD4B36"/>
    <w:rsid w:val="00BD56EA"/>
    <w:rsid w:val="00BD6279"/>
    <w:rsid w:val="00BD6572"/>
    <w:rsid w:val="00BD7578"/>
    <w:rsid w:val="00BE1719"/>
    <w:rsid w:val="00BE522E"/>
    <w:rsid w:val="00C00622"/>
    <w:rsid w:val="00C03F91"/>
    <w:rsid w:val="00C04690"/>
    <w:rsid w:val="00C05C47"/>
    <w:rsid w:val="00C06767"/>
    <w:rsid w:val="00C11427"/>
    <w:rsid w:val="00C12207"/>
    <w:rsid w:val="00C14BE5"/>
    <w:rsid w:val="00C16ABA"/>
    <w:rsid w:val="00C21529"/>
    <w:rsid w:val="00C236DC"/>
    <w:rsid w:val="00C2520E"/>
    <w:rsid w:val="00C31A71"/>
    <w:rsid w:val="00C33A63"/>
    <w:rsid w:val="00C33ABB"/>
    <w:rsid w:val="00C33DC7"/>
    <w:rsid w:val="00C36DBA"/>
    <w:rsid w:val="00C37472"/>
    <w:rsid w:val="00C45B90"/>
    <w:rsid w:val="00C45F45"/>
    <w:rsid w:val="00C47D89"/>
    <w:rsid w:val="00C51B22"/>
    <w:rsid w:val="00C5281A"/>
    <w:rsid w:val="00C53A2D"/>
    <w:rsid w:val="00C5497C"/>
    <w:rsid w:val="00C5591D"/>
    <w:rsid w:val="00C60678"/>
    <w:rsid w:val="00C64131"/>
    <w:rsid w:val="00C64423"/>
    <w:rsid w:val="00C6502A"/>
    <w:rsid w:val="00C656F8"/>
    <w:rsid w:val="00C7138C"/>
    <w:rsid w:val="00C80CBE"/>
    <w:rsid w:val="00C81961"/>
    <w:rsid w:val="00C8479F"/>
    <w:rsid w:val="00C87C52"/>
    <w:rsid w:val="00C9188A"/>
    <w:rsid w:val="00C93829"/>
    <w:rsid w:val="00C94473"/>
    <w:rsid w:val="00C94C3D"/>
    <w:rsid w:val="00C955CB"/>
    <w:rsid w:val="00C9630C"/>
    <w:rsid w:val="00C9756F"/>
    <w:rsid w:val="00CA3BE1"/>
    <w:rsid w:val="00CA4BF4"/>
    <w:rsid w:val="00CA6EAB"/>
    <w:rsid w:val="00CB1A26"/>
    <w:rsid w:val="00CB3218"/>
    <w:rsid w:val="00CB7BA3"/>
    <w:rsid w:val="00CC0721"/>
    <w:rsid w:val="00CC390F"/>
    <w:rsid w:val="00CD004F"/>
    <w:rsid w:val="00CD0DA9"/>
    <w:rsid w:val="00CD3ADA"/>
    <w:rsid w:val="00CD3B46"/>
    <w:rsid w:val="00CD4258"/>
    <w:rsid w:val="00CD52C1"/>
    <w:rsid w:val="00CE621D"/>
    <w:rsid w:val="00CF54E4"/>
    <w:rsid w:val="00CF56B2"/>
    <w:rsid w:val="00D00542"/>
    <w:rsid w:val="00D0254E"/>
    <w:rsid w:val="00D050DC"/>
    <w:rsid w:val="00D14351"/>
    <w:rsid w:val="00D14569"/>
    <w:rsid w:val="00D17350"/>
    <w:rsid w:val="00D31A9E"/>
    <w:rsid w:val="00D32F2D"/>
    <w:rsid w:val="00D33719"/>
    <w:rsid w:val="00D36B25"/>
    <w:rsid w:val="00D37A4D"/>
    <w:rsid w:val="00D40E58"/>
    <w:rsid w:val="00D45BBF"/>
    <w:rsid w:val="00D50B84"/>
    <w:rsid w:val="00D5517F"/>
    <w:rsid w:val="00D619FE"/>
    <w:rsid w:val="00D72715"/>
    <w:rsid w:val="00D731D7"/>
    <w:rsid w:val="00D73EC8"/>
    <w:rsid w:val="00D759AA"/>
    <w:rsid w:val="00D766E5"/>
    <w:rsid w:val="00D80DCA"/>
    <w:rsid w:val="00D83DE6"/>
    <w:rsid w:val="00D83EBC"/>
    <w:rsid w:val="00D8466F"/>
    <w:rsid w:val="00D85079"/>
    <w:rsid w:val="00D870A7"/>
    <w:rsid w:val="00D9068F"/>
    <w:rsid w:val="00D91228"/>
    <w:rsid w:val="00D91B1D"/>
    <w:rsid w:val="00D91F5D"/>
    <w:rsid w:val="00D959BA"/>
    <w:rsid w:val="00D967C6"/>
    <w:rsid w:val="00DA1317"/>
    <w:rsid w:val="00DA1C9A"/>
    <w:rsid w:val="00DA3F10"/>
    <w:rsid w:val="00DA3F36"/>
    <w:rsid w:val="00DA5075"/>
    <w:rsid w:val="00DA6588"/>
    <w:rsid w:val="00DA71AA"/>
    <w:rsid w:val="00DB3F07"/>
    <w:rsid w:val="00DB519D"/>
    <w:rsid w:val="00DB64C2"/>
    <w:rsid w:val="00DC2ACB"/>
    <w:rsid w:val="00DC2B7E"/>
    <w:rsid w:val="00DC2CEA"/>
    <w:rsid w:val="00DC3134"/>
    <w:rsid w:val="00DC4CD1"/>
    <w:rsid w:val="00DD0D50"/>
    <w:rsid w:val="00DD5E25"/>
    <w:rsid w:val="00DD6F4F"/>
    <w:rsid w:val="00DD727F"/>
    <w:rsid w:val="00DE1310"/>
    <w:rsid w:val="00DE267D"/>
    <w:rsid w:val="00DE3233"/>
    <w:rsid w:val="00DF147B"/>
    <w:rsid w:val="00DF28D8"/>
    <w:rsid w:val="00DF5FDC"/>
    <w:rsid w:val="00DF6C4C"/>
    <w:rsid w:val="00DF6D2F"/>
    <w:rsid w:val="00E0274E"/>
    <w:rsid w:val="00E077E0"/>
    <w:rsid w:val="00E14A59"/>
    <w:rsid w:val="00E1645A"/>
    <w:rsid w:val="00E20FAA"/>
    <w:rsid w:val="00E23353"/>
    <w:rsid w:val="00E24091"/>
    <w:rsid w:val="00E24C24"/>
    <w:rsid w:val="00E24DB7"/>
    <w:rsid w:val="00E2539F"/>
    <w:rsid w:val="00E30A3C"/>
    <w:rsid w:val="00E32C75"/>
    <w:rsid w:val="00E4391B"/>
    <w:rsid w:val="00E43C32"/>
    <w:rsid w:val="00E52FAE"/>
    <w:rsid w:val="00E55448"/>
    <w:rsid w:val="00E557A5"/>
    <w:rsid w:val="00E638C1"/>
    <w:rsid w:val="00E70340"/>
    <w:rsid w:val="00E70452"/>
    <w:rsid w:val="00E81497"/>
    <w:rsid w:val="00E81942"/>
    <w:rsid w:val="00E8204C"/>
    <w:rsid w:val="00E84189"/>
    <w:rsid w:val="00E85B5F"/>
    <w:rsid w:val="00E85E20"/>
    <w:rsid w:val="00E95E00"/>
    <w:rsid w:val="00EA0CD1"/>
    <w:rsid w:val="00EA35B3"/>
    <w:rsid w:val="00EB08C3"/>
    <w:rsid w:val="00EB0A7E"/>
    <w:rsid w:val="00EB498D"/>
    <w:rsid w:val="00EC25C5"/>
    <w:rsid w:val="00EC3ACD"/>
    <w:rsid w:val="00ED1A6A"/>
    <w:rsid w:val="00ED6518"/>
    <w:rsid w:val="00ED7AE7"/>
    <w:rsid w:val="00EE16E5"/>
    <w:rsid w:val="00EE375C"/>
    <w:rsid w:val="00EE5097"/>
    <w:rsid w:val="00EE5E8C"/>
    <w:rsid w:val="00EF4C9C"/>
    <w:rsid w:val="00F01128"/>
    <w:rsid w:val="00F02080"/>
    <w:rsid w:val="00F052BF"/>
    <w:rsid w:val="00F10A6C"/>
    <w:rsid w:val="00F11617"/>
    <w:rsid w:val="00F12F25"/>
    <w:rsid w:val="00F162A4"/>
    <w:rsid w:val="00F1638A"/>
    <w:rsid w:val="00F22F46"/>
    <w:rsid w:val="00F23527"/>
    <w:rsid w:val="00F24F0B"/>
    <w:rsid w:val="00F3059E"/>
    <w:rsid w:val="00F425F6"/>
    <w:rsid w:val="00F42707"/>
    <w:rsid w:val="00F50BC5"/>
    <w:rsid w:val="00F51A08"/>
    <w:rsid w:val="00F55B5B"/>
    <w:rsid w:val="00F56794"/>
    <w:rsid w:val="00F60079"/>
    <w:rsid w:val="00F61EBB"/>
    <w:rsid w:val="00F6534B"/>
    <w:rsid w:val="00F66A82"/>
    <w:rsid w:val="00F66B55"/>
    <w:rsid w:val="00F679A0"/>
    <w:rsid w:val="00F7245F"/>
    <w:rsid w:val="00F75008"/>
    <w:rsid w:val="00F76970"/>
    <w:rsid w:val="00F80A56"/>
    <w:rsid w:val="00F8160F"/>
    <w:rsid w:val="00F86C14"/>
    <w:rsid w:val="00F9001F"/>
    <w:rsid w:val="00F9375E"/>
    <w:rsid w:val="00FA0931"/>
    <w:rsid w:val="00FA0EF3"/>
    <w:rsid w:val="00FA7045"/>
    <w:rsid w:val="00FA74CE"/>
    <w:rsid w:val="00FA75E7"/>
    <w:rsid w:val="00FB6AFD"/>
    <w:rsid w:val="00FC0319"/>
    <w:rsid w:val="00FC1011"/>
    <w:rsid w:val="00FC2970"/>
    <w:rsid w:val="00FC4B8B"/>
    <w:rsid w:val="00FC73C0"/>
    <w:rsid w:val="00FD33B7"/>
    <w:rsid w:val="00FE09BF"/>
    <w:rsid w:val="00FE1D16"/>
    <w:rsid w:val="00FE5600"/>
    <w:rsid w:val="00FE7941"/>
    <w:rsid w:val="00FF0FE4"/>
    <w:rsid w:val="00FF23E0"/>
    <w:rsid w:val="00FF2E51"/>
    <w:rsid w:val="00FF5C15"/>
    <w:rsid w:val="00FF5FB4"/>
    <w:rsid w:val="035A88D3"/>
    <w:rsid w:val="0E6D8802"/>
    <w:rsid w:val="0F3F617D"/>
    <w:rsid w:val="0FABB11C"/>
    <w:rsid w:val="0FCF826C"/>
    <w:rsid w:val="0FDFBCCF"/>
    <w:rsid w:val="0FFFC516"/>
    <w:rsid w:val="166D9573"/>
    <w:rsid w:val="1755219A"/>
    <w:rsid w:val="177C2306"/>
    <w:rsid w:val="177F29B5"/>
    <w:rsid w:val="1AFB273A"/>
    <w:rsid w:val="1B30BE67"/>
    <w:rsid w:val="1BBC5F19"/>
    <w:rsid w:val="1BD4F451"/>
    <w:rsid w:val="1BEEC318"/>
    <w:rsid w:val="1BFD8A42"/>
    <w:rsid w:val="1BFE62C3"/>
    <w:rsid w:val="1E374714"/>
    <w:rsid w:val="1E4DA63C"/>
    <w:rsid w:val="1EDD529D"/>
    <w:rsid w:val="1EEB9A90"/>
    <w:rsid w:val="1F7E13DA"/>
    <w:rsid w:val="1F7FBD08"/>
    <w:rsid w:val="1FAF85B8"/>
    <w:rsid w:val="1FBD44C1"/>
    <w:rsid w:val="1FD7A5EA"/>
    <w:rsid w:val="1FDEE27A"/>
    <w:rsid w:val="1FDF33B1"/>
    <w:rsid w:val="1FE718D1"/>
    <w:rsid w:val="1FEE6A25"/>
    <w:rsid w:val="1FFDFB4D"/>
    <w:rsid w:val="1FFF6753"/>
    <w:rsid w:val="22E571A1"/>
    <w:rsid w:val="23175C13"/>
    <w:rsid w:val="25FDD84D"/>
    <w:rsid w:val="26718E42"/>
    <w:rsid w:val="27D91059"/>
    <w:rsid w:val="2ACBAC5C"/>
    <w:rsid w:val="2AFEBA90"/>
    <w:rsid w:val="2B7F5988"/>
    <w:rsid w:val="2B9F2956"/>
    <w:rsid w:val="2CF75A8D"/>
    <w:rsid w:val="2EEC32E1"/>
    <w:rsid w:val="2F3803F6"/>
    <w:rsid w:val="2F7D05D9"/>
    <w:rsid w:val="2FBDF733"/>
    <w:rsid w:val="2FBFB258"/>
    <w:rsid w:val="2FE7A00B"/>
    <w:rsid w:val="2FFE3B5F"/>
    <w:rsid w:val="2FFF97F0"/>
    <w:rsid w:val="30FD2CEC"/>
    <w:rsid w:val="33B74C74"/>
    <w:rsid w:val="34573BE8"/>
    <w:rsid w:val="34F55495"/>
    <w:rsid w:val="34FF1CC1"/>
    <w:rsid w:val="35097395"/>
    <w:rsid w:val="35D69390"/>
    <w:rsid w:val="35DF5FA2"/>
    <w:rsid w:val="35FDD31B"/>
    <w:rsid w:val="375D0D48"/>
    <w:rsid w:val="375FCD8E"/>
    <w:rsid w:val="37FD5C35"/>
    <w:rsid w:val="37FE8900"/>
    <w:rsid w:val="38AF86CF"/>
    <w:rsid w:val="3A276381"/>
    <w:rsid w:val="3A2DC6E7"/>
    <w:rsid w:val="3ABD502E"/>
    <w:rsid w:val="3AE5B03A"/>
    <w:rsid w:val="3AFE8242"/>
    <w:rsid w:val="3B39CEA7"/>
    <w:rsid w:val="3B6ED09E"/>
    <w:rsid w:val="3B7F1825"/>
    <w:rsid w:val="3B9DCF55"/>
    <w:rsid w:val="3BA11E08"/>
    <w:rsid w:val="3BBFA14E"/>
    <w:rsid w:val="3BBFDF02"/>
    <w:rsid w:val="3BFD884A"/>
    <w:rsid w:val="3BFFC07B"/>
    <w:rsid w:val="3CDF797A"/>
    <w:rsid w:val="3CF91FDF"/>
    <w:rsid w:val="3CFF6CC9"/>
    <w:rsid w:val="3D3FEDF9"/>
    <w:rsid w:val="3D5EF811"/>
    <w:rsid w:val="3D9F8D0A"/>
    <w:rsid w:val="3DEDE560"/>
    <w:rsid w:val="3DEF1DC0"/>
    <w:rsid w:val="3DF4DBF0"/>
    <w:rsid w:val="3DF4EFAB"/>
    <w:rsid w:val="3DFBA024"/>
    <w:rsid w:val="3E7BC5AA"/>
    <w:rsid w:val="3E7F7604"/>
    <w:rsid w:val="3E9D26A9"/>
    <w:rsid w:val="3EB7931E"/>
    <w:rsid w:val="3EFF0C8A"/>
    <w:rsid w:val="3EFF968B"/>
    <w:rsid w:val="3F0D7818"/>
    <w:rsid w:val="3F1B83A3"/>
    <w:rsid w:val="3F1FC95B"/>
    <w:rsid w:val="3F53C2AF"/>
    <w:rsid w:val="3F74D583"/>
    <w:rsid w:val="3F7B067B"/>
    <w:rsid w:val="3F7DDF8C"/>
    <w:rsid w:val="3F7FAE8B"/>
    <w:rsid w:val="3FBEE3F5"/>
    <w:rsid w:val="3FCDE2C9"/>
    <w:rsid w:val="3FD70DE1"/>
    <w:rsid w:val="3FDB6901"/>
    <w:rsid w:val="3FDD2986"/>
    <w:rsid w:val="3FEFD18E"/>
    <w:rsid w:val="3FF35298"/>
    <w:rsid w:val="3FF7A3CB"/>
    <w:rsid w:val="3FF9AE58"/>
    <w:rsid w:val="3FFA167A"/>
    <w:rsid w:val="3FFB8C7E"/>
    <w:rsid w:val="3FFF16F3"/>
    <w:rsid w:val="41D39DAE"/>
    <w:rsid w:val="41DF6CC2"/>
    <w:rsid w:val="47397D76"/>
    <w:rsid w:val="47BEB979"/>
    <w:rsid w:val="47F77165"/>
    <w:rsid w:val="47FEC84E"/>
    <w:rsid w:val="4AFE6D9A"/>
    <w:rsid w:val="4BB6D580"/>
    <w:rsid w:val="4BD72FBC"/>
    <w:rsid w:val="4BDE9B44"/>
    <w:rsid w:val="4BEBA2C2"/>
    <w:rsid w:val="4BFF4DC1"/>
    <w:rsid w:val="4D7A8EE9"/>
    <w:rsid w:val="4DCFA4B1"/>
    <w:rsid w:val="4FB305FC"/>
    <w:rsid w:val="4FD78212"/>
    <w:rsid w:val="4FD7AD40"/>
    <w:rsid w:val="4FED9F96"/>
    <w:rsid w:val="4FF7D38F"/>
    <w:rsid w:val="4FFC5CE9"/>
    <w:rsid w:val="4FFF1D93"/>
    <w:rsid w:val="4FFFDA9E"/>
    <w:rsid w:val="51ED8686"/>
    <w:rsid w:val="52EB9FAA"/>
    <w:rsid w:val="53AC9643"/>
    <w:rsid w:val="53DF5945"/>
    <w:rsid w:val="56DF5558"/>
    <w:rsid w:val="56EDD61D"/>
    <w:rsid w:val="56FFBFF8"/>
    <w:rsid w:val="57373A65"/>
    <w:rsid w:val="573BB712"/>
    <w:rsid w:val="57BCD1FB"/>
    <w:rsid w:val="57CFCBAF"/>
    <w:rsid w:val="57D39885"/>
    <w:rsid w:val="57EB5A3B"/>
    <w:rsid w:val="57F7CBD5"/>
    <w:rsid w:val="58F4C458"/>
    <w:rsid w:val="5A663819"/>
    <w:rsid w:val="5A97D780"/>
    <w:rsid w:val="5ACD6D89"/>
    <w:rsid w:val="5ACF5677"/>
    <w:rsid w:val="5ADE21CF"/>
    <w:rsid w:val="5AEF981F"/>
    <w:rsid w:val="5AFA4F66"/>
    <w:rsid w:val="5AFE1AC7"/>
    <w:rsid w:val="5B6FE370"/>
    <w:rsid w:val="5BA598DC"/>
    <w:rsid w:val="5BB9E575"/>
    <w:rsid w:val="5BEB5CC0"/>
    <w:rsid w:val="5BEBC172"/>
    <w:rsid w:val="5BEDC4C8"/>
    <w:rsid w:val="5BFC63C4"/>
    <w:rsid w:val="5BFFB4A3"/>
    <w:rsid w:val="5CBE71A1"/>
    <w:rsid w:val="5CE36829"/>
    <w:rsid w:val="5D7486BC"/>
    <w:rsid w:val="5D7F437A"/>
    <w:rsid w:val="5DAF1258"/>
    <w:rsid w:val="5DCF7828"/>
    <w:rsid w:val="5DDA7417"/>
    <w:rsid w:val="5DF7DA5F"/>
    <w:rsid w:val="5DFFCC51"/>
    <w:rsid w:val="5DFFD042"/>
    <w:rsid w:val="5EACFF34"/>
    <w:rsid w:val="5ECDB12A"/>
    <w:rsid w:val="5EDB9D51"/>
    <w:rsid w:val="5EDFC2F0"/>
    <w:rsid w:val="5EF62128"/>
    <w:rsid w:val="5EFE1DDA"/>
    <w:rsid w:val="5F6DF805"/>
    <w:rsid w:val="5F7EF8CB"/>
    <w:rsid w:val="5FB344CB"/>
    <w:rsid w:val="5FBBFB66"/>
    <w:rsid w:val="5FBE95E2"/>
    <w:rsid w:val="5FBEC7D9"/>
    <w:rsid w:val="5FCA807C"/>
    <w:rsid w:val="5FD68412"/>
    <w:rsid w:val="5FD7F873"/>
    <w:rsid w:val="5FDD4BFA"/>
    <w:rsid w:val="5FDFCA8C"/>
    <w:rsid w:val="5FEE82C5"/>
    <w:rsid w:val="5FEFC4AF"/>
    <w:rsid w:val="5FF4B210"/>
    <w:rsid w:val="5FF71478"/>
    <w:rsid w:val="5FF726EE"/>
    <w:rsid w:val="5FFABE54"/>
    <w:rsid w:val="5FFBE19E"/>
    <w:rsid w:val="5FFC62FD"/>
    <w:rsid w:val="5FFEE679"/>
    <w:rsid w:val="5FFF5150"/>
    <w:rsid w:val="5FFFCB78"/>
    <w:rsid w:val="617FD3AC"/>
    <w:rsid w:val="61BF9D14"/>
    <w:rsid w:val="61FB584D"/>
    <w:rsid w:val="623FC440"/>
    <w:rsid w:val="6374C2B6"/>
    <w:rsid w:val="655F8489"/>
    <w:rsid w:val="65BD7D43"/>
    <w:rsid w:val="65DB2FF0"/>
    <w:rsid w:val="65F0F864"/>
    <w:rsid w:val="65FEA7F1"/>
    <w:rsid w:val="65FF52CB"/>
    <w:rsid w:val="664D8D55"/>
    <w:rsid w:val="671DF0C3"/>
    <w:rsid w:val="677A210E"/>
    <w:rsid w:val="67DE2AC8"/>
    <w:rsid w:val="67EB6F81"/>
    <w:rsid w:val="67F7201D"/>
    <w:rsid w:val="67FFAA98"/>
    <w:rsid w:val="687B5EF3"/>
    <w:rsid w:val="69278C5A"/>
    <w:rsid w:val="69572189"/>
    <w:rsid w:val="697FE012"/>
    <w:rsid w:val="69AB97D7"/>
    <w:rsid w:val="69DFA756"/>
    <w:rsid w:val="69E7FC2E"/>
    <w:rsid w:val="69EE88E9"/>
    <w:rsid w:val="69EFA8BD"/>
    <w:rsid w:val="6A3538B5"/>
    <w:rsid w:val="6AFBE6A3"/>
    <w:rsid w:val="6AFFA607"/>
    <w:rsid w:val="6B3F9524"/>
    <w:rsid w:val="6B62346A"/>
    <w:rsid w:val="6B8B324F"/>
    <w:rsid w:val="6BBB0184"/>
    <w:rsid w:val="6BE593DD"/>
    <w:rsid w:val="6BF58DCA"/>
    <w:rsid w:val="6BFBD980"/>
    <w:rsid w:val="6CC5EE72"/>
    <w:rsid w:val="6CEB8333"/>
    <w:rsid w:val="6D6E2E0B"/>
    <w:rsid w:val="6D8ACC8B"/>
    <w:rsid w:val="6DBE779E"/>
    <w:rsid w:val="6DD52F56"/>
    <w:rsid w:val="6DDF193A"/>
    <w:rsid w:val="6DDF8D67"/>
    <w:rsid w:val="6DEDCC6F"/>
    <w:rsid w:val="6DEE9DC2"/>
    <w:rsid w:val="6DEEE01C"/>
    <w:rsid w:val="6DEF38A4"/>
    <w:rsid w:val="6DF76B35"/>
    <w:rsid w:val="6E22F790"/>
    <w:rsid w:val="6E797347"/>
    <w:rsid w:val="6EBE32B4"/>
    <w:rsid w:val="6EDF769F"/>
    <w:rsid w:val="6EEF2C53"/>
    <w:rsid w:val="6F7776FD"/>
    <w:rsid w:val="6FA71348"/>
    <w:rsid w:val="6FB5EADD"/>
    <w:rsid w:val="6FBB7CCC"/>
    <w:rsid w:val="6FBCD3D9"/>
    <w:rsid w:val="6FDFCA01"/>
    <w:rsid w:val="6FE7B122"/>
    <w:rsid w:val="6FE8E25B"/>
    <w:rsid w:val="6FEB7186"/>
    <w:rsid w:val="6FF5C759"/>
    <w:rsid w:val="6FFAEA4D"/>
    <w:rsid w:val="6FFB0D98"/>
    <w:rsid w:val="6FFBACBF"/>
    <w:rsid w:val="6FFF5BBB"/>
    <w:rsid w:val="6FFF95C0"/>
    <w:rsid w:val="6FFFA14F"/>
    <w:rsid w:val="716DE32A"/>
    <w:rsid w:val="71F70147"/>
    <w:rsid w:val="71FF8452"/>
    <w:rsid w:val="72FF0B66"/>
    <w:rsid w:val="73B6E7A7"/>
    <w:rsid w:val="73B7A0E7"/>
    <w:rsid w:val="73BBF15D"/>
    <w:rsid w:val="73BFE141"/>
    <w:rsid w:val="73DF21B2"/>
    <w:rsid w:val="73EB15F8"/>
    <w:rsid w:val="73F7EB6D"/>
    <w:rsid w:val="73FF05DB"/>
    <w:rsid w:val="73FF9CE1"/>
    <w:rsid w:val="756A5093"/>
    <w:rsid w:val="7597BD9B"/>
    <w:rsid w:val="75DD6AF4"/>
    <w:rsid w:val="75F8CFD1"/>
    <w:rsid w:val="762B77D9"/>
    <w:rsid w:val="765B8A2F"/>
    <w:rsid w:val="766F7198"/>
    <w:rsid w:val="76AD5DD1"/>
    <w:rsid w:val="76F2DF38"/>
    <w:rsid w:val="76F9ED7C"/>
    <w:rsid w:val="76FC1ECE"/>
    <w:rsid w:val="76FF849E"/>
    <w:rsid w:val="775F015A"/>
    <w:rsid w:val="776BC90A"/>
    <w:rsid w:val="776F7C67"/>
    <w:rsid w:val="776FDBC1"/>
    <w:rsid w:val="777B81CF"/>
    <w:rsid w:val="777EA000"/>
    <w:rsid w:val="779D61BF"/>
    <w:rsid w:val="77AFE549"/>
    <w:rsid w:val="77BEDDB1"/>
    <w:rsid w:val="77D29FA9"/>
    <w:rsid w:val="77D74BB7"/>
    <w:rsid w:val="77EC1CC6"/>
    <w:rsid w:val="77EF71FD"/>
    <w:rsid w:val="77F51CFE"/>
    <w:rsid w:val="77FBCB15"/>
    <w:rsid w:val="77FD0F18"/>
    <w:rsid w:val="77FD63F9"/>
    <w:rsid w:val="77FE9CC4"/>
    <w:rsid w:val="77FF6B3B"/>
    <w:rsid w:val="78D7BA91"/>
    <w:rsid w:val="78EDFDE2"/>
    <w:rsid w:val="78FB5589"/>
    <w:rsid w:val="78FF0B7F"/>
    <w:rsid w:val="792B333E"/>
    <w:rsid w:val="794FB40C"/>
    <w:rsid w:val="797FF1CE"/>
    <w:rsid w:val="79EE11AD"/>
    <w:rsid w:val="79FD6F79"/>
    <w:rsid w:val="79FF1EB2"/>
    <w:rsid w:val="7A5DB8F2"/>
    <w:rsid w:val="7ACB50EE"/>
    <w:rsid w:val="7B2D685D"/>
    <w:rsid w:val="7B34C123"/>
    <w:rsid w:val="7B38AA48"/>
    <w:rsid w:val="7B39CA57"/>
    <w:rsid w:val="7B3E5059"/>
    <w:rsid w:val="7B4C4E9C"/>
    <w:rsid w:val="7B57A9B8"/>
    <w:rsid w:val="7B5B9875"/>
    <w:rsid w:val="7B6A643F"/>
    <w:rsid w:val="7B6FB106"/>
    <w:rsid w:val="7B731491"/>
    <w:rsid w:val="7B7E20E0"/>
    <w:rsid w:val="7B7FC676"/>
    <w:rsid w:val="7B7FE1EC"/>
    <w:rsid w:val="7B878675"/>
    <w:rsid w:val="7B8FEF2C"/>
    <w:rsid w:val="7B9E0E9B"/>
    <w:rsid w:val="7BA50BD5"/>
    <w:rsid w:val="7BA9166D"/>
    <w:rsid w:val="7BAF434C"/>
    <w:rsid w:val="7BBD3A42"/>
    <w:rsid w:val="7BBE8E38"/>
    <w:rsid w:val="7BCE3DDF"/>
    <w:rsid w:val="7BD757A8"/>
    <w:rsid w:val="7BE6A679"/>
    <w:rsid w:val="7BF5AE92"/>
    <w:rsid w:val="7BF631C6"/>
    <w:rsid w:val="7BF7F678"/>
    <w:rsid w:val="7BFB1484"/>
    <w:rsid w:val="7BFFE2B5"/>
    <w:rsid w:val="7C746815"/>
    <w:rsid w:val="7CB2300F"/>
    <w:rsid w:val="7CBB7E93"/>
    <w:rsid w:val="7CEBA530"/>
    <w:rsid w:val="7CEF8502"/>
    <w:rsid w:val="7CFCC919"/>
    <w:rsid w:val="7CFF5B64"/>
    <w:rsid w:val="7CFFDF70"/>
    <w:rsid w:val="7CFFE8CC"/>
    <w:rsid w:val="7D2FB81E"/>
    <w:rsid w:val="7D3DA657"/>
    <w:rsid w:val="7D3E66F4"/>
    <w:rsid w:val="7D4FDCF9"/>
    <w:rsid w:val="7D5A4A99"/>
    <w:rsid w:val="7D670B37"/>
    <w:rsid w:val="7D6F26CA"/>
    <w:rsid w:val="7DAEEF77"/>
    <w:rsid w:val="7DB865CC"/>
    <w:rsid w:val="7DB8DA7C"/>
    <w:rsid w:val="7DBEF3C0"/>
    <w:rsid w:val="7DDD597B"/>
    <w:rsid w:val="7DDFDEDF"/>
    <w:rsid w:val="7DEAE98F"/>
    <w:rsid w:val="7DEB3C62"/>
    <w:rsid w:val="7DEFB448"/>
    <w:rsid w:val="7DF79326"/>
    <w:rsid w:val="7DF7AB46"/>
    <w:rsid w:val="7DFB472A"/>
    <w:rsid w:val="7DFBCD35"/>
    <w:rsid w:val="7DFC21A7"/>
    <w:rsid w:val="7DFDB49C"/>
    <w:rsid w:val="7DFDCABB"/>
    <w:rsid w:val="7DFEA50F"/>
    <w:rsid w:val="7DFEC08D"/>
    <w:rsid w:val="7DFF1DCE"/>
    <w:rsid w:val="7DFF9E77"/>
    <w:rsid w:val="7E1B81F1"/>
    <w:rsid w:val="7E3B4234"/>
    <w:rsid w:val="7E3FE0D2"/>
    <w:rsid w:val="7E5B5E1C"/>
    <w:rsid w:val="7E6BE71C"/>
    <w:rsid w:val="7E7D3A92"/>
    <w:rsid w:val="7E9F82AC"/>
    <w:rsid w:val="7EAB1DF3"/>
    <w:rsid w:val="7EB77231"/>
    <w:rsid w:val="7ED74CDB"/>
    <w:rsid w:val="7ED9D710"/>
    <w:rsid w:val="7EE19EE4"/>
    <w:rsid w:val="7EE70CBE"/>
    <w:rsid w:val="7EEFFECD"/>
    <w:rsid w:val="7EF70406"/>
    <w:rsid w:val="7EF77825"/>
    <w:rsid w:val="7EF94BBB"/>
    <w:rsid w:val="7EFB99D1"/>
    <w:rsid w:val="7EFC8F42"/>
    <w:rsid w:val="7EFF0337"/>
    <w:rsid w:val="7EFF1346"/>
    <w:rsid w:val="7EFF1389"/>
    <w:rsid w:val="7EFF2C54"/>
    <w:rsid w:val="7EFF61A3"/>
    <w:rsid w:val="7EFF6536"/>
    <w:rsid w:val="7EFF6783"/>
    <w:rsid w:val="7EFFD8C4"/>
    <w:rsid w:val="7F1FD03D"/>
    <w:rsid w:val="7F2AB4F8"/>
    <w:rsid w:val="7F335F55"/>
    <w:rsid w:val="7F3F79D3"/>
    <w:rsid w:val="7F571396"/>
    <w:rsid w:val="7F65C13A"/>
    <w:rsid w:val="7F6A4EC6"/>
    <w:rsid w:val="7F75ECE1"/>
    <w:rsid w:val="7F77F4EB"/>
    <w:rsid w:val="7F79406A"/>
    <w:rsid w:val="7F79E703"/>
    <w:rsid w:val="7F7DF245"/>
    <w:rsid w:val="7F7F1E90"/>
    <w:rsid w:val="7F7F3F45"/>
    <w:rsid w:val="7F7FC26C"/>
    <w:rsid w:val="7F7FD4B9"/>
    <w:rsid w:val="7F7FE951"/>
    <w:rsid w:val="7F9731E6"/>
    <w:rsid w:val="7F9FB97F"/>
    <w:rsid w:val="7FABFF8A"/>
    <w:rsid w:val="7FAD3483"/>
    <w:rsid w:val="7FAE924B"/>
    <w:rsid w:val="7FB7BA08"/>
    <w:rsid w:val="7FB7FF36"/>
    <w:rsid w:val="7FBA78AC"/>
    <w:rsid w:val="7FBFA72F"/>
    <w:rsid w:val="7FBFAA0D"/>
    <w:rsid w:val="7FC51405"/>
    <w:rsid w:val="7FCDA118"/>
    <w:rsid w:val="7FD26A00"/>
    <w:rsid w:val="7FD92A39"/>
    <w:rsid w:val="7FDAF088"/>
    <w:rsid w:val="7FDD241C"/>
    <w:rsid w:val="7FDD2CAE"/>
    <w:rsid w:val="7FDD7704"/>
    <w:rsid w:val="7FDF184F"/>
    <w:rsid w:val="7FDF8906"/>
    <w:rsid w:val="7FE3A58F"/>
    <w:rsid w:val="7FEB9631"/>
    <w:rsid w:val="7FEBB9DE"/>
    <w:rsid w:val="7FEF70AF"/>
    <w:rsid w:val="7FF1DDFF"/>
    <w:rsid w:val="7FF328B5"/>
    <w:rsid w:val="7FF3E284"/>
    <w:rsid w:val="7FF41A6B"/>
    <w:rsid w:val="7FF5AF30"/>
    <w:rsid w:val="7FF76577"/>
    <w:rsid w:val="7FF7F83B"/>
    <w:rsid w:val="7FF93F46"/>
    <w:rsid w:val="7FF9CE62"/>
    <w:rsid w:val="7FFB8A1D"/>
    <w:rsid w:val="7FFB972C"/>
    <w:rsid w:val="7FFBCF7C"/>
    <w:rsid w:val="7FFBDA72"/>
    <w:rsid w:val="7FFD242B"/>
    <w:rsid w:val="7FFDD3D9"/>
    <w:rsid w:val="7FFE8E21"/>
    <w:rsid w:val="7FFF52EC"/>
    <w:rsid w:val="7FFF66AA"/>
    <w:rsid w:val="7FFFF1EA"/>
    <w:rsid w:val="7FFFFD0E"/>
    <w:rsid w:val="808EE30D"/>
    <w:rsid w:val="86FAE486"/>
    <w:rsid w:val="8769145D"/>
    <w:rsid w:val="8B420D7E"/>
    <w:rsid w:val="8BF0B0C1"/>
    <w:rsid w:val="8CED851D"/>
    <w:rsid w:val="8EF7DCFE"/>
    <w:rsid w:val="8FFB060B"/>
    <w:rsid w:val="96DFA075"/>
    <w:rsid w:val="96E70BCA"/>
    <w:rsid w:val="96FE6E8D"/>
    <w:rsid w:val="97A549E7"/>
    <w:rsid w:val="97BF9027"/>
    <w:rsid w:val="97BFB6D5"/>
    <w:rsid w:val="97EA965F"/>
    <w:rsid w:val="97EE2886"/>
    <w:rsid w:val="98EF367D"/>
    <w:rsid w:val="99479B4D"/>
    <w:rsid w:val="996FECAC"/>
    <w:rsid w:val="9AF73A03"/>
    <w:rsid w:val="9BAB298F"/>
    <w:rsid w:val="9BFF9AC8"/>
    <w:rsid w:val="9C6BACDD"/>
    <w:rsid w:val="9CF646D7"/>
    <w:rsid w:val="9DEB6AD9"/>
    <w:rsid w:val="9ECB4A03"/>
    <w:rsid w:val="9EFFD684"/>
    <w:rsid w:val="9F3163C6"/>
    <w:rsid w:val="9FE7BF93"/>
    <w:rsid w:val="9FFF08A4"/>
    <w:rsid w:val="9FFF8511"/>
    <w:rsid w:val="A2DF73FB"/>
    <w:rsid w:val="A33F56F7"/>
    <w:rsid w:val="A39F42AB"/>
    <w:rsid w:val="A56FD48C"/>
    <w:rsid w:val="A6EF1C14"/>
    <w:rsid w:val="A77BC275"/>
    <w:rsid w:val="A7D8D5E7"/>
    <w:rsid w:val="A7E3B8E1"/>
    <w:rsid w:val="A91F7E1F"/>
    <w:rsid w:val="A9B3CB24"/>
    <w:rsid w:val="A9DFCB54"/>
    <w:rsid w:val="AAFFBFC3"/>
    <w:rsid w:val="AB6BBE87"/>
    <w:rsid w:val="AB7910BB"/>
    <w:rsid w:val="ABBA8087"/>
    <w:rsid w:val="ABED812E"/>
    <w:rsid w:val="ABFD0393"/>
    <w:rsid w:val="ACF72C3C"/>
    <w:rsid w:val="AD5B8CC0"/>
    <w:rsid w:val="ADFA7917"/>
    <w:rsid w:val="AE8F42A6"/>
    <w:rsid w:val="AF1F386C"/>
    <w:rsid w:val="AF7B984B"/>
    <w:rsid w:val="AF7F933D"/>
    <w:rsid w:val="AFAE646A"/>
    <w:rsid w:val="AFD76B2F"/>
    <w:rsid w:val="AFE01996"/>
    <w:rsid w:val="AFE7E4E2"/>
    <w:rsid w:val="B2BBCEEA"/>
    <w:rsid w:val="B34FE00D"/>
    <w:rsid w:val="B3FE2EAB"/>
    <w:rsid w:val="B5DF892B"/>
    <w:rsid w:val="B6779179"/>
    <w:rsid w:val="B6FA16FB"/>
    <w:rsid w:val="B6FE657D"/>
    <w:rsid w:val="B71E1780"/>
    <w:rsid w:val="B77DED93"/>
    <w:rsid w:val="B77F2828"/>
    <w:rsid w:val="B77F436E"/>
    <w:rsid w:val="B7EBDF55"/>
    <w:rsid w:val="B7EC2CD1"/>
    <w:rsid w:val="B7F8345D"/>
    <w:rsid w:val="B8BF397C"/>
    <w:rsid w:val="B8F51AC4"/>
    <w:rsid w:val="B8FE95D6"/>
    <w:rsid w:val="B94E97DC"/>
    <w:rsid w:val="B9FF1AEB"/>
    <w:rsid w:val="BAEF2A68"/>
    <w:rsid w:val="BAEFD1AB"/>
    <w:rsid w:val="BB6F71C3"/>
    <w:rsid w:val="BBBBCEFA"/>
    <w:rsid w:val="BBDFBB91"/>
    <w:rsid w:val="BCBEC6B4"/>
    <w:rsid w:val="BCCF031C"/>
    <w:rsid w:val="BDFF151A"/>
    <w:rsid w:val="BDFF6CB2"/>
    <w:rsid w:val="BDFF7A74"/>
    <w:rsid w:val="BE4E0198"/>
    <w:rsid w:val="BE6F35CE"/>
    <w:rsid w:val="BE72D2A7"/>
    <w:rsid w:val="BE7BB8E5"/>
    <w:rsid w:val="BEDE4779"/>
    <w:rsid w:val="BEEF1BA7"/>
    <w:rsid w:val="BEF76A3E"/>
    <w:rsid w:val="BEFFFA4C"/>
    <w:rsid w:val="BF6BC71E"/>
    <w:rsid w:val="BF74D1FA"/>
    <w:rsid w:val="BF7E8BFF"/>
    <w:rsid w:val="BF7F5B5C"/>
    <w:rsid w:val="BF8FDB72"/>
    <w:rsid w:val="BFBE3382"/>
    <w:rsid w:val="BFBFFF37"/>
    <w:rsid w:val="BFCEAEA1"/>
    <w:rsid w:val="BFD6FB6C"/>
    <w:rsid w:val="BFD76505"/>
    <w:rsid w:val="BFDD86F7"/>
    <w:rsid w:val="BFDFE16E"/>
    <w:rsid w:val="BFDFEE5C"/>
    <w:rsid w:val="BFEF2A21"/>
    <w:rsid w:val="BFEFCBE8"/>
    <w:rsid w:val="BFF3EAB1"/>
    <w:rsid w:val="BFF51D5A"/>
    <w:rsid w:val="BFF5A23B"/>
    <w:rsid w:val="BFF99DEC"/>
    <w:rsid w:val="BFFA1A46"/>
    <w:rsid w:val="BFFD68FE"/>
    <w:rsid w:val="BFFD9033"/>
    <w:rsid w:val="BFFDE173"/>
    <w:rsid w:val="BFFEE824"/>
    <w:rsid w:val="BFFF08A8"/>
    <w:rsid w:val="BFFF1F2F"/>
    <w:rsid w:val="BFFFC712"/>
    <w:rsid w:val="BFFFD09E"/>
    <w:rsid w:val="BFFFE3B5"/>
    <w:rsid w:val="BFFFF70E"/>
    <w:rsid w:val="C16DF057"/>
    <w:rsid w:val="C3195A40"/>
    <w:rsid w:val="C67F65BE"/>
    <w:rsid w:val="C7B2D338"/>
    <w:rsid w:val="C9A7020A"/>
    <w:rsid w:val="CAFDB82F"/>
    <w:rsid w:val="CB5F875C"/>
    <w:rsid w:val="CBDFBC94"/>
    <w:rsid w:val="CBFB4325"/>
    <w:rsid w:val="CCD949E8"/>
    <w:rsid w:val="CEDFAC7F"/>
    <w:rsid w:val="CEEE0E2F"/>
    <w:rsid w:val="CF1B1F2D"/>
    <w:rsid w:val="CF7FD537"/>
    <w:rsid w:val="CF7FD983"/>
    <w:rsid w:val="CFBFF550"/>
    <w:rsid w:val="CFF7E2E5"/>
    <w:rsid w:val="CFF9DC0C"/>
    <w:rsid w:val="CFFFB016"/>
    <w:rsid w:val="D3FF187C"/>
    <w:rsid w:val="D4D1E4A2"/>
    <w:rsid w:val="D5B69AF4"/>
    <w:rsid w:val="D66F89BD"/>
    <w:rsid w:val="D67FC440"/>
    <w:rsid w:val="D6DFA532"/>
    <w:rsid w:val="D6F7565C"/>
    <w:rsid w:val="D6FD5EBC"/>
    <w:rsid w:val="D75E73E9"/>
    <w:rsid w:val="D7666267"/>
    <w:rsid w:val="D775E49E"/>
    <w:rsid w:val="D79EE54A"/>
    <w:rsid w:val="D7BF2138"/>
    <w:rsid w:val="D7CB8437"/>
    <w:rsid w:val="D7DB3411"/>
    <w:rsid w:val="D7DC201F"/>
    <w:rsid w:val="D7E2DD01"/>
    <w:rsid w:val="D7E7C17D"/>
    <w:rsid w:val="D7FDEE8B"/>
    <w:rsid w:val="D7FFC0D6"/>
    <w:rsid w:val="D8DD8AE8"/>
    <w:rsid w:val="DA5BDD9E"/>
    <w:rsid w:val="DAEAF091"/>
    <w:rsid w:val="DAF7623B"/>
    <w:rsid w:val="DB79EB2B"/>
    <w:rsid w:val="DB9B56A4"/>
    <w:rsid w:val="DBB51910"/>
    <w:rsid w:val="DBCB64A2"/>
    <w:rsid w:val="DBEFAEB8"/>
    <w:rsid w:val="DBF03558"/>
    <w:rsid w:val="DBF6190B"/>
    <w:rsid w:val="DBFA6D52"/>
    <w:rsid w:val="DBFB2A1B"/>
    <w:rsid w:val="DC3739FA"/>
    <w:rsid w:val="DD17CB57"/>
    <w:rsid w:val="DD1FFD99"/>
    <w:rsid w:val="DD50BC07"/>
    <w:rsid w:val="DDCBA26D"/>
    <w:rsid w:val="DDDBC08D"/>
    <w:rsid w:val="DDF73462"/>
    <w:rsid w:val="DDF9B34E"/>
    <w:rsid w:val="DDFF4FDA"/>
    <w:rsid w:val="DEDCAD97"/>
    <w:rsid w:val="DEEBC056"/>
    <w:rsid w:val="DEF6A4DC"/>
    <w:rsid w:val="DEFEFFA3"/>
    <w:rsid w:val="DEFF8442"/>
    <w:rsid w:val="DF355300"/>
    <w:rsid w:val="DF3F3A5F"/>
    <w:rsid w:val="DF3F3B26"/>
    <w:rsid w:val="DF3FEBFD"/>
    <w:rsid w:val="DF7A8F2D"/>
    <w:rsid w:val="DFAA9076"/>
    <w:rsid w:val="DFAE07E8"/>
    <w:rsid w:val="DFB035F2"/>
    <w:rsid w:val="DFBA89D6"/>
    <w:rsid w:val="DFBC0FD4"/>
    <w:rsid w:val="DFDBF44A"/>
    <w:rsid w:val="DFDEB61F"/>
    <w:rsid w:val="DFE5F49B"/>
    <w:rsid w:val="DFF5BA30"/>
    <w:rsid w:val="DFF75939"/>
    <w:rsid w:val="DFF771A4"/>
    <w:rsid w:val="DFF799AF"/>
    <w:rsid w:val="DFF7E3CB"/>
    <w:rsid w:val="DFFEE399"/>
    <w:rsid w:val="DFFF1378"/>
    <w:rsid w:val="DFFF162D"/>
    <w:rsid w:val="DFFF5483"/>
    <w:rsid w:val="E27732C3"/>
    <w:rsid w:val="E27C5D49"/>
    <w:rsid w:val="E2F66143"/>
    <w:rsid w:val="E3FB9FAB"/>
    <w:rsid w:val="E3FF0F25"/>
    <w:rsid w:val="E579BE25"/>
    <w:rsid w:val="E674FB32"/>
    <w:rsid w:val="E69A26EA"/>
    <w:rsid w:val="E6AACD29"/>
    <w:rsid w:val="E7193509"/>
    <w:rsid w:val="E7DC684D"/>
    <w:rsid w:val="E7DF1FAB"/>
    <w:rsid w:val="E7EB8508"/>
    <w:rsid w:val="E7FD22F3"/>
    <w:rsid w:val="E7FF5756"/>
    <w:rsid w:val="E97A5F34"/>
    <w:rsid w:val="E97D8910"/>
    <w:rsid w:val="EA712DA6"/>
    <w:rsid w:val="EA73FB75"/>
    <w:rsid w:val="EA7F8A42"/>
    <w:rsid w:val="EB7D3FF3"/>
    <w:rsid w:val="EBD7E893"/>
    <w:rsid w:val="EBF1487A"/>
    <w:rsid w:val="EBFD7D3D"/>
    <w:rsid w:val="EBFF98F8"/>
    <w:rsid w:val="EC0D10F0"/>
    <w:rsid w:val="EC5BC7B1"/>
    <w:rsid w:val="EDDDAB8C"/>
    <w:rsid w:val="EDE9EFC7"/>
    <w:rsid w:val="EDEB3C02"/>
    <w:rsid w:val="EDEF3739"/>
    <w:rsid w:val="EDFA5A51"/>
    <w:rsid w:val="EDFF99F9"/>
    <w:rsid w:val="EE797190"/>
    <w:rsid w:val="EEDF05AA"/>
    <w:rsid w:val="EEF6F1C8"/>
    <w:rsid w:val="EEFC8A9D"/>
    <w:rsid w:val="EF1D0C12"/>
    <w:rsid w:val="EF37E258"/>
    <w:rsid w:val="EF794C06"/>
    <w:rsid w:val="EF7D6F8B"/>
    <w:rsid w:val="EF7E6C82"/>
    <w:rsid w:val="EF81915D"/>
    <w:rsid w:val="EFAA7C54"/>
    <w:rsid w:val="EFBF81CA"/>
    <w:rsid w:val="EFDE90E5"/>
    <w:rsid w:val="EFDF9CA9"/>
    <w:rsid w:val="EFDFA0B9"/>
    <w:rsid w:val="EFDFC06B"/>
    <w:rsid w:val="EFF4E74E"/>
    <w:rsid w:val="EFF51AE7"/>
    <w:rsid w:val="EFF6987F"/>
    <w:rsid w:val="EFF70B27"/>
    <w:rsid w:val="EFFB2F7B"/>
    <w:rsid w:val="EFFD9335"/>
    <w:rsid w:val="EFFE0144"/>
    <w:rsid w:val="EFFF334D"/>
    <w:rsid w:val="EFFFB951"/>
    <w:rsid w:val="F0F62666"/>
    <w:rsid w:val="F13D2429"/>
    <w:rsid w:val="F1770D18"/>
    <w:rsid w:val="F2AD33D4"/>
    <w:rsid w:val="F2F7832A"/>
    <w:rsid w:val="F35FBC74"/>
    <w:rsid w:val="F367F7B1"/>
    <w:rsid w:val="F37F1760"/>
    <w:rsid w:val="F397CCBF"/>
    <w:rsid w:val="F3BD0661"/>
    <w:rsid w:val="F3BD11EB"/>
    <w:rsid w:val="F3EB1456"/>
    <w:rsid w:val="F3EF3334"/>
    <w:rsid w:val="F3EF79FE"/>
    <w:rsid w:val="F4CF7880"/>
    <w:rsid w:val="F5577A0F"/>
    <w:rsid w:val="F57B33F1"/>
    <w:rsid w:val="F59E26D1"/>
    <w:rsid w:val="F5E1D447"/>
    <w:rsid w:val="F5E76769"/>
    <w:rsid w:val="F5FB4507"/>
    <w:rsid w:val="F5FD16E4"/>
    <w:rsid w:val="F5FE561B"/>
    <w:rsid w:val="F64D36C2"/>
    <w:rsid w:val="F6BE1F8F"/>
    <w:rsid w:val="F6DFA1C4"/>
    <w:rsid w:val="F6EBB8AE"/>
    <w:rsid w:val="F6FFEC87"/>
    <w:rsid w:val="F72E7BA2"/>
    <w:rsid w:val="F75D3799"/>
    <w:rsid w:val="F767A537"/>
    <w:rsid w:val="F776BD9A"/>
    <w:rsid w:val="F777F15E"/>
    <w:rsid w:val="F77DCDF6"/>
    <w:rsid w:val="F78E3BE0"/>
    <w:rsid w:val="F7DFD8F0"/>
    <w:rsid w:val="F7EF6A23"/>
    <w:rsid w:val="F7EF70B0"/>
    <w:rsid w:val="F7F2D4A9"/>
    <w:rsid w:val="F7F6D163"/>
    <w:rsid w:val="F7F72D3F"/>
    <w:rsid w:val="F7FB7C1B"/>
    <w:rsid w:val="F7FB7EB7"/>
    <w:rsid w:val="F7FBA050"/>
    <w:rsid w:val="F7FE4DD9"/>
    <w:rsid w:val="F7FF31A3"/>
    <w:rsid w:val="F7FFA6BA"/>
    <w:rsid w:val="F7FFC0EF"/>
    <w:rsid w:val="F87B9D58"/>
    <w:rsid w:val="F8CFD63A"/>
    <w:rsid w:val="F91FDAC3"/>
    <w:rsid w:val="F9771D90"/>
    <w:rsid w:val="F99FCCA9"/>
    <w:rsid w:val="F9A7A764"/>
    <w:rsid w:val="F9BF41AC"/>
    <w:rsid w:val="F9EF3894"/>
    <w:rsid w:val="F9F655A3"/>
    <w:rsid w:val="F9FA439E"/>
    <w:rsid w:val="F9FEB9D1"/>
    <w:rsid w:val="FA3FA7C9"/>
    <w:rsid w:val="FA7D1DDD"/>
    <w:rsid w:val="FACF8FC8"/>
    <w:rsid w:val="FAED7325"/>
    <w:rsid w:val="FAF5810D"/>
    <w:rsid w:val="FAFBBBFF"/>
    <w:rsid w:val="FAFF735C"/>
    <w:rsid w:val="FB3B353D"/>
    <w:rsid w:val="FB3FEDC3"/>
    <w:rsid w:val="FB6CB81C"/>
    <w:rsid w:val="FB7532F2"/>
    <w:rsid w:val="FB775693"/>
    <w:rsid w:val="FB7B7EF7"/>
    <w:rsid w:val="FB7B81A8"/>
    <w:rsid w:val="FB7B947F"/>
    <w:rsid w:val="FB7DA72A"/>
    <w:rsid w:val="FB7E3C5B"/>
    <w:rsid w:val="FB9FE535"/>
    <w:rsid w:val="FB9FFAE0"/>
    <w:rsid w:val="FBB710FC"/>
    <w:rsid w:val="FBBE1885"/>
    <w:rsid w:val="FBBF0222"/>
    <w:rsid w:val="FBF58EB9"/>
    <w:rsid w:val="FBFBE959"/>
    <w:rsid w:val="FBFFBB1C"/>
    <w:rsid w:val="FBFFD7DF"/>
    <w:rsid w:val="FBFFE89E"/>
    <w:rsid w:val="FBFFFE91"/>
    <w:rsid w:val="FC1BEC56"/>
    <w:rsid w:val="FC5F3EAC"/>
    <w:rsid w:val="FC799DEE"/>
    <w:rsid w:val="FC7A39C6"/>
    <w:rsid w:val="FC7CB2D3"/>
    <w:rsid w:val="FCBD3FC1"/>
    <w:rsid w:val="FCBF3F32"/>
    <w:rsid w:val="FCD524FB"/>
    <w:rsid w:val="FCF73B8F"/>
    <w:rsid w:val="FCFE16F3"/>
    <w:rsid w:val="FCFEEF4F"/>
    <w:rsid w:val="FD3E25D8"/>
    <w:rsid w:val="FD4DF59E"/>
    <w:rsid w:val="FD5DDC5A"/>
    <w:rsid w:val="FD797460"/>
    <w:rsid w:val="FD7CADD9"/>
    <w:rsid w:val="FD7F134C"/>
    <w:rsid w:val="FD7F4CC5"/>
    <w:rsid w:val="FD8186AE"/>
    <w:rsid w:val="FDAC8ECA"/>
    <w:rsid w:val="FDB64C47"/>
    <w:rsid w:val="FDBB2C2E"/>
    <w:rsid w:val="FDDD8A5A"/>
    <w:rsid w:val="FDDFF578"/>
    <w:rsid w:val="FDEB659E"/>
    <w:rsid w:val="FDEEE84C"/>
    <w:rsid w:val="FDFB4640"/>
    <w:rsid w:val="FDFD7814"/>
    <w:rsid w:val="FDFD82D8"/>
    <w:rsid w:val="FDFF0914"/>
    <w:rsid w:val="FDFFA2FD"/>
    <w:rsid w:val="FE2D3ABB"/>
    <w:rsid w:val="FE3BB1FE"/>
    <w:rsid w:val="FE5E0246"/>
    <w:rsid w:val="FE6DE3D1"/>
    <w:rsid w:val="FE747FD8"/>
    <w:rsid w:val="FE9E429D"/>
    <w:rsid w:val="FE9F49D0"/>
    <w:rsid w:val="FEAD6776"/>
    <w:rsid w:val="FEB7F217"/>
    <w:rsid w:val="FEBDFDAC"/>
    <w:rsid w:val="FEBF0DDB"/>
    <w:rsid w:val="FEBFF695"/>
    <w:rsid w:val="FEEFA105"/>
    <w:rsid w:val="FEEFB5A2"/>
    <w:rsid w:val="FEEFE2BA"/>
    <w:rsid w:val="FEEFE7B4"/>
    <w:rsid w:val="FEF23AEA"/>
    <w:rsid w:val="FEF6C25E"/>
    <w:rsid w:val="FEFA4A67"/>
    <w:rsid w:val="FEFEE2DA"/>
    <w:rsid w:val="FEFF2652"/>
    <w:rsid w:val="FEFF705F"/>
    <w:rsid w:val="FF1311BA"/>
    <w:rsid w:val="FF173E49"/>
    <w:rsid w:val="FF1BA559"/>
    <w:rsid w:val="FF1DD803"/>
    <w:rsid w:val="FF2D36EF"/>
    <w:rsid w:val="FF3FEBBC"/>
    <w:rsid w:val="FF4FEF5D"/>
    <w:rsid w:val="FF579E0E"/>
    <w:rsid w:val="FF5F54B5"/>
    <w:rsid w:val="FF5F81FE"/>
    <w:rsid w:val="FF67159E"/>
    <w:rsid w:val="FF6F030D"/>
    <w:rsid w:val="FF713E59"/>
    <w:rsid w:val="FF73F903"/>
    <w:rsid w:val="FF761911"/>
    <w:rsid w:val="FF7BEF8D"/>
    <w:rsid w:val="FF7DAF22"/>
    <w:rsid w:val="FF7EAE74"/>
    <w:rsid w:val="FF7F881B"/>
    <w:rsid w:val="FF8D0A79"/>
    <w:rsid w:val="FF9F7824"/>
    <w:rsid w:val="FF9FFDCE"/>
    <w:rsid w:val="FFA78EBA"/>
    <w:rsid w:val="FFAFF7A1"/>
    <w:rsid w:val="FFB7BC81"/>
    <w:rsid w:val="FFB892F4"/>
    <w:rsid w:val="FFBAE253"/>
    <w:rsid w:val="FFBD9041"/>
    <w:rsid w:val="FFBE4D2F"/>
    <w:rsid w:val="FFBEA19B"/>
    <w:rsid w:val="FFBFB59B"/>
    <w:rsid w:val="FFD722FC"/>
    <w:rsid w:val="FFD778A6"/>
    <w:rsid w:val="FFD7E77E"/>
    <w:rsid w:val="FFD7FEF0"/>
    <w:rsid w:val="FFD9D23A"/>
    <w:rsid w:val="FFDEF0DD"/>
    <w:rsid w:val="FFDF7822"/>
    <w:rsid w:val="FFDFB28D"/>
    <w:rsid w:val="FFE28593"/>
    <w:rsid w:val="FFEA85F2"/>
    <w:rsid w:val="FFEEB169"/>
    <w:rsid w:val="FFEEF79C"/>
    <w:rsid w:val="FFEF5FE3"/>
    <w:rsid w:val="FFEFB42D"/>
    <w:rsid w:val="FFF642F6"/>
    <w:rsid w:val="FFF767B9"/>
    <w:rsid w:val="FFF788E1"/>
    <w:rsid w:val="FFF7EFF0"/>
    <w:rsid w:val="FFFB1A7B"/>
    <w:rsid w:val="FFFC5234"/>
    <w:rsid w:val="FFFE3EF4"/>
    <w:rsid w:val="FFFF098D"/>
    <w:rsid w:val="FFFF164B"/>
    <w:rsid w:val="FFFF3958"/>
    <w:rsid w:val="FFFF5F94"/>
    <w:rsid w:val="FFFF7EF4"/>
    <w:rsid w:val="FFFFBCE1"/>
    <w:rsid w:val="FFFFBDC8"/>
    <w:rsid w:val="FFFFDAAF"/>
    <w:rsid w:val="FFFFFAE6"/>
    <w:rsid w:val="FFFFFC68"/>
    <w:rsid w:val="FFFFF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</w:pPr>
    <w:rPr>
      <w:rFonts w:ascii="Times New Roman" w:hAnsi="Times New Roman" w:eastAsia="仿宋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line="240" w:lineRule="auto"/>
      <w:ind w:firstLine="0" w:firstLineChars="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0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8">
    <w:name w:val="heading 7"/>
    <w:basedOn w:val="1"/>
    <w:next w:val="1"/>
    <w:link w:val="53"/>
    <w:semiHidden/>
    <w:unhideWhenUsed/>
    <w:qFormat/>
    <w:uiPriority w:val="9"/>
    <w:pPr>
      <w:keepNext/>
      <w:keepLines/>
      <w:spacing w:before="240" w:after="64" w:line="320" w:lineRule="atLeast"/>
      <w:jc w:val="both"/>
      <w:outlineLvl w:val="6"/>
    </w:pPr>
    <w:rPr>
      <w:rFonts w:ascii="CG Times" w:hAnsi="CG Times" w:eastAsia="楷体_GB2312" w:cs="Times New Roman"/>
      <w:b/>
      <w:bCs/>
      <w:szCs w:val="24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"/>
    <w:next w:val="1"/>
    <w:qFormat/>
    <w:uiPriority w:val="39"/>
    <w:pPr>
      <w:ind w:left="2520" w:leftChars="1200"/>
      <w:jc w:val="both"/>
    </w:pPr>
    <w:rPr>
      <w:rFonts w:cs="Times New Roman"/>
      <w:sz w:val="21"/>
      <w:szCs w:val="24"/>
    </w:rPr>
  </w:style>
  <w:style w:type="paragraph" w:styleId="10">
    <w:name w:val="Normal Indent"/>
    <w:basedOn w:val="1"/>
    <w:qFormat/>
    <w:uiPriority w:val="0"/>
    <w:pPr>
      <w:spacing w:afterLines="50" w:line="300" w:lineRule="auto"/>
      <w:ind w:firstLine="420"/>
    </w:pPr>
    <w:rPr>
      <w:rFonts w:cs="Times New Roman"/>
      <w:szCs w:val="24"/>
    </w:rPr>
  </w:style>
  <w:style w:type="paragraph" w:styleId="11">
    <w:name w:val="caption"/>
    <w:basedOn w:val="1"/>
    <w:next w:val="1"/>
    <w:unhideWhenUsed/>
    <w:qFormat/>
    <w:uiPriority w:val="0"/>
    <w:pPr>
      <w:spacing w:after="120"/>
    </w:pPr>
    <w:rPr>
      <w:rFonts w:ascii="Cambria" w:hAnsi="Cambria" w:eastAsia="黑体" w:cs="Times New Roman"/>
      <w:sz w:val="20"/>
      <w:szCs w:val="20"/>
    </w:rPr>
  </w:style>
  <w:style w:type="paragraph" w:styleId="12">
    <w:name w:val="Document Map"/>
    <w:basedOn w:val="1"/>
    <w:link w:val="56"/>
    <w:semiHidden/>
    <w:unhideWhenUsed/>
    <w:qFormat/>
    <w:uiPriority w:val="99"/>
    <w:pPr>
      <w:spacing w:after="120"/>
      <w:jc w:val="both"/>
    </w:pPr>
    <w:rPr>
      <w:rFonts w:ascii="宋体"/>
      <w:sz w:val="18"/>
      <w:szCs w:val="18"/>
    </w:rPr>
  </w:style>
  <w:style w:type="paragraph" w:styleId="13">
    <w:name w:val="annotation text"/>
    <w:basedOn w:val="1"/>
    <w:link w:val="54"/>
    <w:unhideWhenUsed/>
    <w:qFormat/>
    <w:uiPriority w:val="99"/>
  </w:style>
  <w:style w:type="paragraph" w:styleId="14">
    <w:name w:val="Body Text 3"/>
    <w:basedOn w:val="1"/>
    <w:link w:val="57"/>
    <w:semiHidden/>
    <w:unhideWhenUsed/>
    <w:qFormat/>
    <w:uiPriority w:val="99"/>
    <w:pPr>
      <w:spacing w:after="120"/>
      <w:jc w:val="both"/>
    </w:pPr>
    <w:rPr>
      <w:rFonts w:cs="Times New Roman"/>
      <w:sz w:val="16"/>
      <w:szCs w:val="16"/>
    </w:rPr>
  </w:style>
  <w:style w:type="paragraph" w:styleId="15">
    <w:name w:val="Body Text"/>
    <w:basedOn w:val="1"/>
    <w:link w:val="58"/>
    <w:qFormat/>
    <w:uiPriority w:val="0"/>
    <w:pPr>
      <w:autoSpaceDE w:val="0"/>
      <w:autoSpaceDN w:val="0"/>
      <w:adjustRightInd w:val="0"/>
      <w:jc w:val="both"/>
    </w:pPr>
    <w:rPr>
      <w:rFonts w:ascii="楷体_GB2312" w:hAnsi="CG Times" w:eastAsia="楷体_GB2312" w:cs="Times New Roman"/>
      <w:color w:val="000000"/>
      <w:sz w:val="36"/>
      <w:szCs w:val="20"/>
    </w:rPr>
  </w:style>
  <w:style w:type="paragraph" w:styleId="16">
    <w:name w:val="Body Text Indent"/>
    <w:basedOn w:val="1"/>
    <w:link w:val="59"/>
    <w:qFormat/>
    <w:uiPriority w:val="0"/>
    <w:pPr>
      <w:ind w:firstLine="540" w:firstLineChars="257"/>
      <w:jc w:val="both"/>
    </w:pPr>
    <w:rPr>
      <w:rFonts w:ascii="楷体_GB2312" w:cs="Times New Roman"/>
      <w:sz w:val="21"/>
      <w:szCs w:val="24"/>
    </w:rPr>
  </w:style>
  <w:style w:type="paragraph" w:styleId="17">
    <w:name w:val="toc 5"/>
    <w:basedOn w:val="1"/>
    <w:next w:val="1"/>
    <w:unhideWhenUsed/>
    <w:qFormat/>
    <w:uiPriority w:val="39"/>
    <w:pPr>
      <w:adjustRightInd w:val="0"/>
      <w:snapToGrid w:val="0"/>
      <w:ind w:left="400" w:leftChars="400"/>
    </w:pPr>
  </w:style>
  <w:style w:type="paragraph" w:styleId="18">
    <w:name w:val="toc 3"/>
    <w:basedOn w:val="1"/>
    <w:next w:val="1"/>
    <w:unhideWhenUsed/>
    <w:qFormat/>
    <w:uiPriority w:val="39"/>
    <w:pPr>
      <w:adjustRightInd w:val="0"/>
      <w:snapToGrid w:val="0"/>
      <w:ind w:left="200" w:leftChars="200"/>
    </w:pPr>
    <w:rPr>
      <w:rFonts w:eastAsia="楷体" w:cs="Times New Roman"/>
    </w:rPr>
  </w:style>
  <w:style w:type="paragraph" w:styleId="19">
    <w:name w:val="Plain Text"/>
    <w:basedOn w:val="1"/>
    <w:link w:val="60"/>
    <w:qFormat/>
    <w:uiPriority w:val="0"/>
    <w:pPr>
      <w:jc w:val="both"/>
    </w:pPr>
    <w:rPr>
      <w:rFonts w:ascii="宋体" w:hAnsi="Courier New" w:cs="Times New Roman"/>
      <w:sz w:val="21"/>
      <w:szCs w:val="21"/>
    </w:rPr>
  </w:style>
  <w:style w:type="paragraph" w:styleId="20">
    <w:name w:val="toc 8"/>
    <w:basedOn w:val="1"/>
    <w:next w:val="1"/>
    <w:qFormat/>
    <w:uiPriority w:val="39"/>
    <w:pPr>
      <w:ind w:left="2940" w:leftChars="1400"/>
      <w:jc w:val="both"/>
    </w:pPr>
    <w:rPr>
      <w:rFonts w:cs="Times New Roman"/>
      <w:sz w:val="21"/>
      <w:szCs w:val="24"/>
    </w:rPr>
  </w:style>
  <w:style w:type="paragraph" w:styleId="21">
    <w:name w:val="Date"/>
    <w:basedOn w:val="1"/>
    <w:next w:val="1"/>
    <w:link w:val="61"/>
    <w:qFormat/>
    <w:uiPriority w:val="0"/>
    <w:pPr>
      <w:jc w:val="both"/>
    </w:pPr>
    <w:rPr>
      <w:rFonts w:ascii="CG Times" w:hAnsi="CG Times" w:eastAsia="楷体_GB2312" w:cs="Times New Roman"/>
      <w:sz w:val="28"/>
      <w:szCs w:val="20"/>
    </w:rPr>
  </w:style>
  <w:style w:type="paragraph" w:styleId="22">
    <w:name w:val="Body Text Indent 2"/>
    <w:basedOn w:val="1"/>
    <w:link w:val="62"/>
    <w:qFormat/>
    <w:uiPriority w:val="0"/>
    <w:pPr>
      <w:ind w:firstLine="480"/>
      <w:jc w:val="both"/>
    </w:pPr>
    <w:rPr>
      <w:rFonts w:ascii="楷体_GB2312" w:hAnsi="宋体" w:eastAsia="楷体_GB2312" w:cs="Times New Roman"/>
      <w:szCs w:val="24"/>
    </w:rPr>
  </w:style>
  <w:style w:type="paragraph" w:styleId="23">
    <w:name w:val="Balloon Text"/>
    <w:basedOn w:val="1"/>
    <w:link w:val="63"/>
    <w:unhideWhenUsed/>
    <w:qFormat/>
    <w:uiPriority w:val="0"/>
    <w:rPr>
      <w:sz w:val="18"/>
      <w:szCs w:val="18"/>
    </w:rPr>
  </w:style>
  <w:style w:type="paragraph" w:styleId="24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paragraph" w:styleId="25">
    <w:name w:val="header"/>
    <w:basedOn w:val="1"/>
    <w:link w:val="6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paragraph" w:styleId="26">
    <w:name w:val="toc 1"/>
    <w:basedOn w:val="1"/>
    <w:next w:val="1"/>
    <w:unhideWhenUsed/>
    <w:qFormat/>
    <w:uiPriority w:val="39"/>
    <w:pPr>
      <w:adjustRightInd w:val="0"/>
      <w:snapToGrid w:val="0"/>
    </w:pPr>
    <w:rPr>
      <w:rFonts w:eastAsia="楷体" w:cs="Times New Roman"/>
    </w:rPr>
  </w:style>
  <w:style w:type="paragraph" w:styleId="27">
    <w:name w:val="toc 4"/>
    <w:basedOn w:val="1"/>
    <w:next w:val="1"/>
    <w:unhideWhenUsed/>
    <w:qFormat/>
    <w:uiPriority w:val="39"/>
    <w:pPr>
      <w:adjustRightInd w:val="0"/>
      <w:snapToGrid w:val="0"/>
      <w:ind w:left="300" w:leftChars="300"/>
    </w:pPr>
  </w:style>
  <w:style w:type="paragraph" w:styleId="28">
    <w:name w:val="footnote text"/>
    <w:basedOn w:val="1"/>
    <w:link w:val="66"/>
    <w:unhideWhenUsed/>
    <w:qFormat/>
    <w:uiPriority w:val="0"/>
    <w:pPr>
      <w:snapToGrid w:val="0"/>
    </w:pPr>
    <w:rPr>
      <w:rFonts w:cs="Times New Roman"/>
      <w:kern w:val="0"/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2100" w:leftChars="1000"/>
      <w:jc w:val="both"/>
    </w:pPr>
    <w:rPr>
      <w:rFonts w:cs="Times New Roman"/>
      <w:sz w:val="21"/>
      <w:szCs w:val="24"/>
    </w:rPr>
  </w:style>
  <w:style w:type="paragraph" w:styleId="30">
    <w:name w:val="Body Text Indent 3"/>
    <w:basedOn w:val="1"/>
    <w:link w:val="67"/>
    <w:qFormat/>
    <w:uiPriority w:val="0"/>
    <w:pPr>
      <w:ind w:firstLine="540" w:firstLineChars="225"/>
      <w:jc w:val="both"/>
    </w:pPr>
    <w:rPr>
      <w:rFonts w:eastAsia="楷体_GB2312" w:cs="Times New Roman"/>
      <w:szCs w:val="24"/>
    </w:rPr>
  </w:style>
  <w:style w:type="paragraph" w:styleId="31">
    <w:name w:val="toc 2"/>
    <w:basedOn w:val="1"/>
    <w:next w:val="1"/>
    <w:unhideWhenUsed/>
    <w:qFormat/>
    <w:uiPriority w:val="39"/>
    <w:pPr>
      <w:adjustRightInd w:val="0"/>
      <w:snapToGrid w:val="0"/>
      <w:ind w:left="100" w:leftChars="100"/>
    </w:pPr>
    <w:rPr>
      <w:rFonts w:eastAsia="楷体" w:cs="Times New Roman"/>
    </w:rPr>
  </w:style>
  <w:style w:type="paragraph" w:styleId="32">
    <w:name w:val="toc 9"/>
    <w:basedOn w:val="1"/>
    <w:next w:val="1"/>
    <w:qFormat/>
    <w:uiPriority w:val="39"/>
    <w:pPr>
      <w:ind w:left="3360" w:leftChars="1600"/>
      <w:jc w:val="both"/>
    </w:pPr>
    <w:rPr>
      <w:rFonts w:cs="Times New Roman"/>
      <w:sz w:val="21"/>
      <w:szCs w:val="24"/>
    </w:rPr>
  </w:style>
  <w:style w:type="paragraph" w:styleId="33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</w:rPr>
  </w:style>
  <w:style w:type="paragraph" w:styleId="34">
    <w:name w:val="index 1"/>
    <w:basedOn w:val="1"/>
    <w:next w:val="1"/>
    <w:semiHidden/>
    <w:unhideWhenUsed/>
    <w:qFormat/>
    <w:uiPriority w:val="0"/>
  </w:style>
  <w:style w:type="paragraph" w:styleId="35">
    <w:name w:val="Title"/>
    <w:basedOn w:val="1"/>
    <w:next w:val="1"/>
    <w:link w:val="68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paragraph" w:styleId="36">
    <w:name w:val="annotation subject"/>
    <w:basedOn w:val="13"/>
    <w:next w:val="13"/>
    <w:link w:val="55"/>
    <w:semiHidden/>
    <w:unhideWhenUsed/>
    <w:qFormat/>
    <w:uiPriority w:val="99"/>
    <w:rPr>
      <w:b/>
      <w:bCs/>
    </w:rPr>
  </w:style>
  <w:style w:type="table" w:styleId="38">
    <w:name w:val="Table Grid"/>
    <w:basedOn w:val="3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b/>
      <w:bCs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unhideWhenUsed/>
    <w:qFormat/>
    <w:uiPriority w:val="99"/>
    <w:rPr>
      <w:color w:val="800080"/>
      <w:u w:val="single"/>
    </w:rPr>
  </w:style>
  <w:style w:type="character" w:styleId="43">
    <w:name w:val="Emphasis"/>
    <w:basedOn w:val="39"/>
    <w:qFormat/>
    <w:uiPriority w:val="20"/>
    <w:rPr>
      <w:i/>
      <w:iCs/>
    </w:rPr>
  </w:style>
  <w:style w:type="character" w:styleId="44">
    <w:name w:val="Hyperlink"/>
    <w:unhideWhenUsed/>
    <w:qFormat/>
    <w:uiPriority w:val="99"/>
    <w:rPr>
      <w:color w:val="0000FF"/>
      <w:u w:val="single"/>
    </w:rPr>
  </w:style>
  <w:style w:type="character" w:styleId="45">
    <w:name w:val="annotation reference"/>
    <w:basedOn w:val="39"/>
    <w:unhideWhenUsed/>
    <w:qFormat/>
    <w:uiPriority w:val="99"/>
    <w:rPr>
      <w:sz w:val="21"/>
      <w:szCs w:val="21"/>
    </w:rPr>
  </w:style>
  <w:style w:type="character" w:styleId="46">
    <w:name w:val="footnote reference"/>
    <w:unhideWhenUsed/>
    <w:qFormat/>
    <w:uiPriority w:val="0"/>
    <w:rPr>
      <w:vertAlign w:val="superscript"/>
    </w:rPr>
  </w:style>
  <w:style w:type="character" w:customStyle="1" w:styleId="47">
    <w:name w:val="标题 1 Char"/>
    <w:basedOn w:val="39"/>
    <w:link w:val="2"/>
    <w:qFormat/>
    <w:uiPriority w:val="0"/>
    <w:rPr>
      <w:rFonts w:ascii="Times New Roman" w:hAnsi="Times New Roman" w:eastAsia="仿宋" w:cs="黑体"/>
      <w:b/>
      <w:bCs/>
      <w:kern w:val="44"/>
      <w:sz w:val="44"/>
      <w:szCs w:val="44"/>
    </w:rPr>
  </w:style>
  <w:style w:type="character" w:customStyle="1" w:styleId="48">
    <w:name w:val="标题 2 Char"/>
    <w:basedOn w:val="39"/>
    <w:link w:val="3"/>
    <w:qFormat/>
    <w:uiPriority w:val="0"/>
    <w:rPr>
      <w:rFonts w:ascii="Cambria" w:hAnsi="Cambria" w:eastAsia="宋体" w:cs="黑体"/>
      <w:b/>
      <w:bCs/>
      <w:sz w:val="32"/>
      <w:szCs w:val="32"/>
    </w:rPr>
  </w:style>
  <w:style w:type="character" w:customStyle="1" w:styleId="49">
    <w:name w:val="标题 3 Char"/>
    <w:basedOn w:val="39"/>
    <w:link w:val="4"/>
    <w:qFormat/>
    <w:uiPriority w:val="0"/>
    <w:rPr>
      <w:rFonts w:ascii="Calibri" w:hAnsi="Calibri" w:eastAsia="宋体" w:cs="黑体"/>
      <w:b/>
      <w:bCs/>
      <w:sz w:val="32"/>
      <w:szCs w:val="32"/>
    </w:rPr>
  </w:style>
  <w:style w:type="character" w:customStyle="1" w:styleId="50">
    <w:name w:val="标题 4 Char"/>
    <w:basedOn w:val="39"/>
    <w:link w:val="5"/>
    <w:qFormat/>
    <w:uiPriority w:val="0"/>
    <w:rPr>
      <w:rFonts w:ascii="Cambria" w:hAnsi="Cambria" w:eastAsia="宋体" w:cs="黑体"/>
      <w:b/>
      <w:bCs/>
      <w:sz w:val="28"/>
      <w:szCs w:val="28"/>
    </w:rPr>
  </w:style>
  <w:style w:type="character" w:customStyle="1" w:styleId="51">
    <w:name w:val="标题 5 Char"/>
    <w:basedOn w:val="39"/>
    <w:link w:val="6"/>
    <w:qFormat/>
    <w:uiPriority w:val="9"/>
    <w:rPr>
      <w:rFonts w:ascii="Calibri" w:hAnsi="Calibri" w:eastAsia="宋体" w:cs="黑体"/>
      <w:b/>
      <w:bCs/>
      <w:sz w:val="28"/>
      <w:szCs w:val="28"/>
    </w:rPr>
  </w:style>
  <w:style w:type="character" w:customStyle="1" w:styleId="52">
    <w:name w:val="标题 6 Char"/>
    <w:basedOn w:val="39"/>
    <w:link w:val="7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53">
    <w:name w:val="标题 7 Char"/>
    <w:basedOn w:val="39"/>
    <w:link w:val="8"/>
    <w:semiHidden/>
    <w:qFormat/>
    <w:uiPriority w:val="9"/>
    <w:rPr>
      <w:rFonts w:ascii="CG Times" w:hAnsi="CG Times" w:eastAsia="楷体_GB2312" w:cs="Times New Roman"/>
      <w:b/>
      <w:bCs/>
      <w:sz w:val="24"/>
      <w:szCs w:val="24"/>
    </w:rPr>
  </w:style>
  <w:style w:type="character" w:customStyle="1" w:styleId="54">
    <w:name w:val="批注文字 Char"/>
    <w:basedOn w:val="39"/>
    <w:link w:val="13"/>
    <w:qFormat/>
    <w:uiPriority w:val="99"/>
    <w:rPr>
      <w:rFonts w:ascii="Calibri" w:hAnsi="Calibri" w:eastAsia="宋体" w:cs="黑体"/>
      <w:sz w:val="24"/>
    </w:rPr>
  </w:style>
  <w:style w:type="character" w:customStyle="1" w:styleId="55">
    <w:name w:val="批注主题 Char"/>
    <w:basedOn w:val="54"/>
    <w:link w:val="36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56">
    <w:name w:val="文档结构图 Char"/>
    <w:basedOn w:val="39"/>
    <w:link w:val="12"/>
    <w:semiHidden/>
    <w:qFormat/>
    <w:uiPriority w:val="99"/>
    <w:rPr>
      <w:rFonts w:ascii="宋体" w:hAnsi="Calibri" w:eastAsia="宋体" w:cs="黑体"/>
      <w:sz w:val="18"/>
      <w:szCs w:val="18"/>
    </w:rPr>
  </w:style>
  <w:style w:type="character" w:customStyle="1" w:styleId="57">
    <w:name w:val="正文文本 3 Char"/>
    <w:basedOn w:val="39"/>
    <w:link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8">
    <w:name w:val="正文文本 Char"/>
    <w:basedOn w:val="39"/>
    <w:link w:val="15"/>
    <w:qFormat/>
    <w:uiPriority w:val="0"/>
    <w:rPr>
      <w:rFonts w:ascii="楷体_GB2312" w:hAnsi="CG Times" w:eastAsia="楷体_GB2312" w:cs="Times New Roman"/>
      <w:color w:val="000000"/>
      <w:sz w:val="36"/>
      <w:szCs w:val="20"/>
    </w:rPr>
  </w:style>
  <w:style w:type="character" w:customStyle="1" w:styleId="59">
    <w:name w:val="正文文本缩进 Char"/>
    <w:basedOn w:val="39"/>
    <w:link w:val="16"/>
    <w:qFormat/>
    <w:uiPriority w:val="0"/>
    <w:rPr>
      <w:rFonts w:ascii="楷体_GB2312" w:hAnsi="Times New Roman" w:eastAsia="宋体" w:cs="Times New Roman"/>
      <w:szCs w:val="24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宋体" w:cs="Times New Roman"/>
      <w:szCs w:val="21"/>
    </w:rPr>
  </w:style>
  <w:style w:type="character" w:customStyle="1" w:styleId="61">
    <w:name w:val="日期 Char"/>
    <w:basedOn w:val="39"/>
    <w:link w:val="21"/>
    <w:qFormat/>
    <w:uiPriority w:val="0"/>
    <w:rPr>
      <w:rFonts w:ascii="CG Times" w:hAnsi="CG Times" w:eastAsia="楷体_GB2312" w:cs="Times New Roman"/>
      <w:sz w:val="28"/>
      <w:szCs w:val="20"/>
    </w:rPr>
  </w:style>
  <w:style w:type="character" w:customStyle="1" w:styleId="62">
    <w:name w:val="正文文本缩进 2 Char"/>
    <w:basedOn w:val="39"/>
    <w:link w:val="22"/>
    <w:qFormat/>
    <w:uiPriority w:val="0"/>
    <w:rPr>
      <w:rFonts w:ascii="楷体_GB2312" w:hAnsi="宋体" w:eastAsia="楷体_GB2312" w:cs="Times New Roman"/>
      <w:sz w:val="24"/>
      <w:szCs w:val="24"/>
    </w:rPr>
  </w:style>
  <w:style w:type="character" w:customStyle="1" w:styleId="63">
    <w:name w:val="批注框文本 Char"/>
    <w:basedOn w:val="39"/>
    <w:link w:val="23"/>
    <w:qFormat/>
    <w:uiPriority w:val="0"/>
    <w:rPr>
      <w:rFonts w:ascii="Calibri" w:hAnsi="Calibri" w:eastAsia="宋体" w:cs="黑体"/>
      <w:sz w:val="18"/>
      <w:szCs w:val="18"/>
    </w:rPr>
  </w:style>
  <w:style w:type="character" w:customStyle="1" w:styleId="64">
    <w:name w:val="页脚 Char"/>
    <w:basedOn w:val="39"/>
    <w:link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5">
    <w:name w:val="页眉 Char"/>
    <w:basedOn w:val="39"/>
    <w:link w:val="2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6">
    <w:name w:val="脚注文本 Char"/>
    <w:basedOn w:val="39"/>
    <w:link w:val="28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7">
    <w:name w:val="正文文本缩进 3 Char"/>
    <w:basedOn w:val="39"/>
    <w:link w:val="30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character" w:customStyle="1" w:styleId="68">
    <w:name w:val="标题 Char"/>
    <w:basedOn w:val="39"/>
    <w:link w:val="35"/>
    <w:qFormat/>
    <w:uiPriority w:val="10"/>
    <w:rPr>
      <w:rFonts w:ascii="Cambria" w:hAnsi="Cambria" w:eastAsia="宋体" w:cs="Times New Roman"/>
      <w:b/>
      <w:bCs/>
      <w:sz w:val="52"/>
      <w:szCs w:val="32"/>
    </w:rPr>
  </w:style>
  <w:style w:type="paragraph" w:customStyle="1" w:styleId="69">
    <w:name w:val="标题3"/>
    <w:basedOn w:val="4"/>
    <w:next w:val="1"/>
    <w:qFormat/>
    <w:uiPriority w:val="0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70">
    <w:name w:val="标题4"/>
    <w:basedOn w:val="5"/>
    <w:next w:val="1"/>
    <w:link w:val="71"/>
    <w:qFormat/>
    <w:uiPriority w:val="0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71">
    <w:name w:val="标题4 Char Char"/>
    <w:link w:val="70"/>
    <w:qFormat/>
    <w:uiPriority w:val="0"/>
    <w:rPr>
      <w:rFonts w:ascii="Cambria" w:hAnsi="Cambria" w:eastAsia="楷体" w:cs="Times New Roman"/>
      <w:b/>
      <w:bCs/>
      <w:kern w:val="0"/>
      <w:sz w:val="30"/>
      <w:szCs w:val="28"/>
    </w:rPr>
  </w:style>
  <w:style w:type="paragraph" w:customStyle="1" w:styleId="72">
    <w:name w:val="标题5"/>
    <w:basedOn w:val="6"/>
    <w:qFormat/>
    <w:uiPriority w:val="0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73">
    <w:name w:val="标题1"/>
    <w:basedOn w:val="2"/>
    <w:next w:val="1"/>
    <w:qFormat/>
    <w:uiPriority w:val="0"/>
    <w:pPr>
      <w:adjustRightInd w:val="0"/>
      <w:snapToGrid w:val="0"/>
      <w:spacing w:beforeLines="50" w:afterLines="50"/>
      <w:ind w:firstLine="200" w:firstLineChars="200"/>
    </w:pPr>
    <w:rPr>
      <w:rFonts w:eastAsia="黑体"/>
      <w:b w:val="0"/>
      <w:sz w:val="30"/>
    </w:rPr>
  </w:style>
  <w:style w:type="paragraph" w:customStyle="1" w:styleId="74">
    <w:name w:val="标题2"/>
    <w:basedOn w:val="3"/>
    <w:next w:val="1"/>
    <w:qFormat/>
    <w:uiPriority w:val="0"/>
    <w:pPr>
      <w:adjustRightInd w:val="0"/>
      <w:snapToGrid w:val="0"/>
      <w:spacing w:beforeLines="50" w:afterLines="50" w:line="240" w:lineRule="auto"/>
    </w:pPr>
    <w:rPr>
      <w:rFonts w:ascii="Times New Roman" w:hAnsi="Times New Roman" w:eastAsia="楷体"/>
      <w:sz w:val="28"/>
    </w:rPr>
  </w:style>
  <w:style w:type="paragraph" w:customStyle="1" w:styleId="75">
    <w:name w:val="表格正文"/>
    <w:basedOn w:val="1"/>
    <w:qFormat/>
    <w:uiPriority w:val="0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hAnsi="宋体" w:eastAsia="楷体_GB2312" w:cs="Times New Roman"/>
      <w:color w:val="000000"/>
      <w:kern w:val="0"/>
      <w:szCs w:val="20"/>
    </w:rPr>
  </w:style>
  <w:style w:type="paragraph" w:customStyle="1" w:styleId="76">
    <w:name w:val="表格栏头"/>
    <w:basedOn w:val="75"/>
    <w:next w:val="75"/>
    <w:qFormat/>
    <w:uiPriority w:val="0"/>
    <w:pPr>
      <w:tabs>
        <w:tab w:val="clear" w:pos="1702"/>
      </w:tabs>
      <w:spacing w:before="60" w:after="60"/>
      <w:textAlignment w:val="baseline"/>
    </w:pPr>
    <w:rPr>
      <w:rFonts w:ascii="Tahoma" w:hAnsi="Tahoma" w:eastAsia="宋体"/>
      <w:b/>
      <w:color w:val="auto"/>
    </w:rPr>
  </w:style>
  <w:style w:type="paragraph" w:customStyle="1" w:styleId="77">
    <w:name w:val="法条"/>
    <w:basedOn w:val="1"/>
    <w:qFormat/>
    <w:uiPriority w:val="0"/>
    <w:pPr>
      <w:numPr>
        <w:ilvl w:val="0"/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78">
    <w:name w:val="信息标题2"/>
    <w:basedOn w:val="11"/>
    <w:next w:val="11"/>
    <w:qFormat/>
    <w:uiPriority w:val="0"/>
    <w:pPr>
      <w:spacing w:after="0"/>
      <w:jc w:val="center"/>
    </w:pPr>
    <w:rPr>
      <w:rFonts w:ascii="楷体" w:hAnsi="楷体" w:eastAsia="楷体"/>
      <w:b/>
      <w:sz w:val="36"/>
      <w:szCs w:val="36"/>
    </w:rPr>
  </w:style>
  <w:style w:type="paragraph" w:customStyle="1" w:styleId="79">
    <w:name w:val="列出段落1"/>
    <w:basedOn w:val="1"/>
    <w:qFormat/>
    <w:uiPriority w:val="34"/>
    <w:pPr>
      <w:ind w:firstLine="420"/>
    </w:pPr>
  </w:style>
  <w:style w:type="paragraph" w:customStyle="1" w:styleId="80">
    <w:name w:val="p0"/>
    <w:basedOn w:val="1"/>
    <w:qFormat/>
    <w:uiPriority w:val="0"/>
    <w:pPr>
      <w:jc w:val="both"/>
    </w:pPr>
    <w:rPr>
      <w:rFonts w:cs="宋体"/>
      <w:kern w:val="0"/>
      <w:sz w:val="21"/>
      <w:szCs w:val="21"/>
    </w:rPr>
  </w:style>
  <w:style w:type="paragraph" w:customStyle="1" w:styleId="8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82">
    <w:name w:val="Footer Even"/>
    <w:basedOn w:val="1"/>
    <w:qFormat/>
    <w:uiPriority w:val="0"/>
    <w:pPr>
      <w:pBdr>
        <w:top w:val="single" w:color="4F81BD" w:sz="4" w:space="1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83">
    <w:name w:val="表格首行"/>
    <w:basedOn w:val="1"/>
    <w:qFormat/>
    <w:uiPriority w:val="0"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84">
    <w:name w:val="表格内容"/>
    <w:basedOn w:val="1"/>
    <w:qFormat/>
    <w:uiPriority w:val="0"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85">
    <w:name w:val="Char Char Char Char Char Char Char"/>
    <w:basedOn w:val="1"/>
    <w:qFormat/>
    <w:uiPriority w:val="0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86">
    <w:name w:val="无间隔1"/>
    <w:qFormat/>
    <w:uiPriority w:val="1"/>
    <w:pPr>
      <w:widowControl w:val="0"/>
      <w:jc w:val="both"/>
    </w:pPr>
    <w:rPr>
      <w:rFonts w:ascii="CG Times" w:hAnsi="CG Times" w:eastAsia="楷体_GB2312" w:cs="Times New Roman"/>
      <w:kern w:val="2"/>
      <w:sz w:val="24"/>
      <w:lang w:val="en-US" w:eastAsia="zh-CN" w:bidi="ar-SA"/>
    </w:rPr>
  </w:style>
  <w:style w:type="paragraph" w:customStyle="1" w:styleId="87">
    <w:name w:val="TOC 标题1"/>
    <w:basedOn w:val="2"/>
    <w:next w:val="1"/>
    <w:unhideWhenUsed/>
    <w:qFormat/>
    <w:uiPriority w:val="39"/>
    <w:pPr>
      <w:spacing w:line="578" w:lineRule="atLeast"/>
      <w:jc w:val="both"/>
      <w:outlineLvl w:val="9"/>
    </w:pPr>
    <w:rPr>
      <w:rFonts w:ascii="CG Times" w:hAnsi="CG Times" w:eastAsia="楷体_GB2312" w:cs="Times New Roman"/>
    </w:rPr>
  </w:style>
  <w:style w:type="paragraph" w:customStyle="1" w:styleId="88">
    <w:name w:val="样式 标题 1 + 段后: 0.5 行"/>
    <w:basedOn w:val="2"/>
    <w:qFormat/>
    <w:uiPriority w:val="0"/>
    <w:pPr>
      <w:numPr>
        <w:ilvl w:val="0"/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89">
    <w:name w:val="文档结构图1"/>
    <w:basedOn w:val="1"/>
    <w:qFormat/>
    <w:uiPriority w:val="0"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90">
    <w:name w:val="批注主题1"/>
    <w:basedOn w:val="13"/>
    <w:next w:val="13"/>
    <w:qFormat/>
    <w:uiPriority w:val="0"/>
    <w:rPr>
      <w:rFonts w:ascii="CG Times" w:hAnsi="CG Times" w:eastAsia="楷体_GB2312" w:cs="Times New Roman"/>
      <w:b/>
      <w:bCs/>
      <w:szCs w:val="20"/>
    </w:rPr>
  </w:style>
  <w:style w:type="paragraph" w:customStyle="1" w:styleId="91">
    <w:name w:val="无间隔11"/>
    <w:qFormat/>
    <w:uiPriority w:val="0"/>
    <w:pPr>
      <w:widowControl w:val="0"/>
      <w:jc w:val="both"/>
    </w:pPr>
    <w:rPr>
      <w:rFonts w:ascii="CG Times" w:hAnsi="CG Times" w:eastAsia="楷体_GB2312" w:cs="Times New Roman"/>
      <w:sz w:val="24"/>
      <w:lang w:val="en-US" w:eastAsia="zh-CN" w:bidi="ar-SA"/>
    </w:rPr>
  </w:style>
  <w:style w:type="paragraph" w:customStyle="1" w:styleId="92">
    <w:name w:val="列出段落11"/>
    <w:basedOn w:val="1"/>
    <w:qFormat/>
    <w:uiPriority w:val="0"/>
    <w:pPr>
      <w:ind w:firstLine="420"/>
      <w:jc w:val="both"/>
    </w:pPr>
    <w:rPr>
      <w:rFonts w:ascii="CG Times" w:hAnsi="CG Times" w:eastAsia="楷体_GB2312" w:cs="Times New Roman"/>
      <w:szCs w:val="20"/>
    </w:rPr>
  </w:style>
  <w:style w:type="paragraph" w:customStyle="1" w:styleId="93">
    <w:name w:val="修订11"/>
    <w:qFormat/>
    <w:uiPriority w:val="0"/>
    <w:rPr>
      <w:rFonts w:ascii="CG Times" w:hAnsi="CG Times" w:eastAsia="楷体_GB2312" w:cs="Times New Roman"/>
      <w:sz w:val="24"/>
      <w:lang w:val="en-US" w:eastAsia="zh-CN" w:bidi="ar-SA"/>
    </w:rPr>
  </w:style>
  <w:style w:type="paragraph" w:customStyle="1" w:styleId="94">
    <w:name w:val="缺省文本"/>
    <w:basedOn w:val="1"/>
    <w:qFormat/>
    <w:uiPriority w:val="0"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95">
    <w:name w:val="TAL"/>
    <w:basedOn w:val="1"/>
    <w:qFormat/>
    <w:uiPriority w:val="0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96">
    <w:name w:val="Char Char Char Char Char Char Char Char Char Char"/>
    <w:basedOn w:val="1"/>
    <w:qFormat/>
    <w:uiPriority w:val="0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97">
    <w:name w:val="st"/>
    <w:basedOn w:val="39"/>
    <w:qFormat/>
    <w:uiPriority w:val="0"/>
  </w:style>
  <w:style w:type="character" w:customStyle="1" w:styleId="98">
    <w:name w:val="脚注文本 Char1"/>
    <w:basedOn w:val="39"/>
    <w:qFormat/>
    <w:uiPriority w:val="0"/>
    <w:rPr>
      <w:sz w:val="18"/>
      <w:szCs w:val="18"/>
    </w:rPr>
  </w:style>
  <w:style w:type="character" w:customStyle="1" w:styleId="99">
    <w:name w:val="页码1"/>
    <w:basedOn w:val="39"/>
    <w:qFormat/>
    <w:uiPriority w:val="0"/>
  </w:style>
  <w:style w:type="character" w:customStyle="1" w:styleId="100">
    <w:name w:val="批注引用1"/>
    <w:qFormat/>
    <w:uiPriority w:val="0"/>
    <w:rPr>
      <w:sz w:val="21"/>
      <w:szCs w:val="21"/>
    </w:rPr>
  </w:style>
  <w:style w:type="paragraph" w:styleId="101">
    <w:name w:val="List Paragraph"/>
    <w:basedOn w:val="1"/>
    <w:qFormat/>
    <w:uiPriority w:val="34"/>
    <w:pPr>
      <w:ind w:firstLine="420"/>
    </w:pPr>
  </w:style>
  <w:style w:type="table" w:customStyle="1" w:styleId="102">
    <w:name w:val="网格型2"/>
    <w:basedOn w:val="3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3">
    <w:name w:val="修订1"/>
    <w:hidden/>
    <w:semiHidden/>
    <w:qFormat/>
    <w:uiPriority w:val="99"/>
    <w:rPr>
      <w:rFonts w:ascii="Times New Roman" w:hAnsi="Times New Roman" w:eastAsia="仿宋" w:cs="黑体"/>
      <w:kern w:val="2"/>
      <w:sz w:val="24"/>
      <w:szCs w:val="22"/>
      <w:lang w:val="en-US" w:eastAsia="zh-CN" w:bidi="ar-SA"/>
    </w:rPr>
  </w:style>
  <w:style w:type="character" w:customStyle="1" w:styleId="104">
    <w:name w:val="fontstyle01"/>
    <w:basedOn w:val="39"/>
    <w:qFormat/>
    <w:uiPriority w:val="0"/>
    <w:rPr>
      <w:rFonts w:hint="default" w:ascii="FangSong" w:hAnsi="FangSong"/>
      <w:color w:val="000000"/>
      <w:sz w:val="30"/>
      <w:szCs w:val="30"/>
    </w:rPr>
  </w:style>
  <w:style w:type="character" w:customStyle="1" w:styleId="105">
    <w:name w:val="fontstyle11"/>
    <w:basedOn w:val="39"/>
    <w:qFormat/>
    <w:uiPriority w:val="0"/>
    <w:rPr>
      <w:rFonts w:hint="default" w:ascii="TimesNewRomanPSMT" w:hAnsi="TimesNewRomanPSMT"/>
      <w:color w:val="000000"/>
      <w:sz w:val="30"/>
      <w:szCs w:val="30"/>
    </w:rPr>
  </w:style>
  <w:style w:type="character" w:customStyle="1" w:styleId="106">
    <w:name w:val="font21"/>
    <w:basedOn w:val="39"/>
    <w:qFormat/>
    <w:uiPriority w:val="0"/>
    <w:rPr>
      <w:rFonts w:ascii="方正书宋_GBK" w:hAnsi="方正书宋_GBK" w:eastAsia="方正书宋_GBK" w:cs="方正书宋_GBK"/>
      <w:b/>
      <w:color w:val="000000"/>
      <w:sz w:val="24"/>
      <w:szCs w:val="24"/>
      <w:u w:val="none"/>
    </w:rPr>
  </w:style>
  <w:style w:type="character" w:customStyle="1" w:styleId="107">
    <w:name w:val="font11"/>
    <w:basedOn w:val="39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paragraph" w:customStyle="1" w:styleId="108">
    <w:name w:val="ds-markdown-paragraph"/>
    <w:basedOn w:val="1"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kern w:val="0"/>
      <w:szCs w:val="24"/>
    </w:rPr>
  </w:style>
  <w:style w:type="paragraph" w:customStyle="1" w:styleId="109">
    <w:name w:val="paragraph"/>
    <w:basedOn w:val="1"/>
    <w:semiHidden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等线" w:hAnsi="等线" w:eastAsia="等线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2617</Words>
  <Characters>3026</Characters>
  <Lines>34</Lines>
  <Paragraphs>9</Paragraphs>
  <TotalTime>4</TotalTime>
  <ScaleCrop>false</ScaleCrop>
  <LinksUpToDate>false</LinksUpToDate>
  <CharactersWithSpaces>3091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2025-11-09T03:19:00Z</dcterms:created>
  <cp:lastPrinted>2025-10-19T14:59:00Z</cp:lastPrinted>
  <dcterms:modified xsi:type="dcterms:W3CDTF">2026-02-06T17:28:25Z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01211CE936F54859A2BB0069A21BF3AA</vt:lpwstr>
  </property>
</Properties>
</file>