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6C" w:rsidRDefault="00973275">
      <w:pPr>
        <w:spacing w:before="144" w:line="440" w:lineRule="exact"/>
        <w:ind w:firstLineChars="62" w:firstLine="198"/>
        <w:rPr>
          <w:rFonts w:ascii="Times New Roman" w:eastAsia="黑体" w:hAnsi="Times New Roman" w:cs="Times New Roman"/>
          <w:sz w:val="42"/>
          <w:szCs w:val="4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北证办发〔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〕</w:t>
      </w:r>
      <w:r w:rsidR="00376EC2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9</w:t>
      </w:r>
      <w:bookmarkStart w:id="0" w:name="_GoBack"/>
      <w:bookmarkEnd w:id="0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7C5C6C" w:rsidRDefault="007C5C6C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:rsidR="007C5C6C" w:rsidRDefault="00973275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color w:val="000000" w:themeColor="text1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北京证券交易所固定收益平台第一次全网</w:t>
      </w:r>
      <w:r>
        <w:rPr>
          <w:rFonts w:eastAsia="方正大标宋简体" w:hint="eastAsia"/>
          <w:color w:val="000000" w:themeColor="text1"/>
          <w:sz w:val="42"/>
          <w:szCs w:val="42"/>
        </w:rPr>
        <w:t>测试</w:t>
      </w:r>
    </w:p>
    <w:p w:rsidR="007C5C6C" w:rsidRDefault="00973275">
      <w:pPr>
        <w:pStyle w:val="a3"/>
        <w:spacing w:afterLines="0" w:line="600" w:lineRule="exact"/>
        <w:ind w:firstLineChars="0" w:firstLine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反馈报告</w:t>
      </w:r>
    </w:p>
    <w:p w:rsidR="007C5C6C" w:rsidRDefault="007C5C6C">
      <w:pPr>
        <w:rPr>
          <w:rFonts w:ascii="Times New Roman" w:eastAsia="方正大标宋简体" w:hAnsi="Times New Roman" w:cs="Times New Roman"/>
          <w:sz w:val="42"/>
          <w:szCs w:val="42"/>
        </w:rPr>
      </w:pP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2"/>
      </w:tblGrid>
      <w:tr w:rsidR="007C5C6C">
        <w:trPr>
          <w:trHeight w:val="459"/>
          <w:jc w:val="center"/>
        </w:trPr>
        <w:tc>
          <w:tcPr>
            <w:tcW w:w="9022" w:type="dxa"/>
            <w:vAlign w:val="center"/>
          </w:tcPr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一、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参测机构名称：</w:t>
            </w:r>
          </w:p>
        </w:tc>
      </w:tr>
      <w:tr w:rsidR="007C5C6C">
        <w:trPr>
          <w:trHeight w:val="383"/>
          <w:jc w:val="center"/>
        </w:trPr>
        <w:tc>
          <w:tcPr>
            <w:tcW w:w="9022" w:type="dxa"/>
            <w:tcBorders>
              <w:bottom w:val="single" w:sz="4" w:space="0" w:color="auto"/>
            </w:tcBorders>
            <w:vAlign w:val="center"/>
          </w:tcPr>
          <w:p w:rsidR="007C5C6C" w:rsidRDefault="0097327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二、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测试时间</w:t>
            </w:r>
          </w:p>
          <w:p w:rsidR="007C5C6C" w:rsidRDefault="00973275">
            <w:pPr>
              <w:spacing w:line="400" w:lineRule="exact"/>
              <w:ind w:firstLine="60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7C5C6C">
        <w:trPr>
          <w:trHeight w:val="383"/>
          <w:jc w:val="center"/>
        </w:trPr>
        <w:tc>
          <w:tcPr>
            <w:tcW w:w="9022" w:type="dxa"/>
            <w:tcBorders>
              <w:bottom w:val="single" w:sz="4" w:space="0" w:color="auto"/>
            </w:tcBorders>
            <w:vAlign w:val="center"/>
          </w:tcPr>
          <w:p w:rsidR="007C5C6C" w:rsidRDefault="0097327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/>
                <w:sz w:val="28"/>
                <w:szCs w:val="28"/>
              </w:rPr>
              <w:t>三、网关测试基本情况</w:t>
            </w:r>
          </w:p>
          <w:p w:rsidR="007C5C6C" w:rsidRDefault="00973275">
            <w:pPr>
              <w:pStyle w:val="ab"/>
              <w:spacing w:line="400" w:lineRule="exact"/>
              <w:ind w:firstLineChars="0" w:firstLine="0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交易网关参测数量：</w:t>
            </w:r>
          </w:p>
          <w:p w:rsidR="007C5C6C" w:rsidRDefault="00973275">
            <w:pPr>
              <w:pStyle w:val="ab"/>
              <w:spacing w:line="400" w:lineRule="exac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行情网关参测数量：</w:t>
            </w:r>
          </w:p>
        </w:tc>
      </w:tr>
      <w:tr w:rsidR="007C5C6C">
        <w:trPr>
          <w:jc w:val="center"/>
        </w:trPr>
        <w:tc>
          <w:tcPr>
            <w:tcW w:w="9022" w:type="dxa"/>
            <w:tcBorders>
              <w:top w:val="single" w:sz="4" w:space="0" w:color="auto"/>
            </w:tcBorders>
            <w:vAlign w:val="center"/>
          </w:tcPr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三、测试整体内容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1)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是否能够正常进行交易申报、接收交易回报。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进行资金冻结，正常完成清算交收。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3)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是否能够正确、及时更新证券信息、停复牌状态和证券行情。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sym w:font="Wingdings 2" w:char="00A3"/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4)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是否能够正确报送投资者适当性管理、交易员信息，并接收交易所下发文件。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5)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是否能够根据适当性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控制投资者的相关业务。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6)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是否能根据中国结算日终数据完成清算交收。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处理交易会话状态消息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是□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否□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不涉及□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交易网关的连接和使用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行情网关的连接和使用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各类业务的委托申报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各类业务的成交回报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快照行情接收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逐笔行情接收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公告接收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逐笔行情重传功能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公告重传功能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成交重传功能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  <w:p w:rsidR="007C5C6C" w:rsidRDefault="00973275">
            <w:pPr>
              <w:widowControl w:val="0"/>
              <w:spacing w:before="60" w:after="60" w:line="40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18)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行情数据组播协议接收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异常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  <w:t>未测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□</w:t>
            </w:r>
          </w:p>
        </w:tc>
      </w:tr>
      <w:tr w:rsidR="007C5C6C">
        <w:trPr>
          <w:trHeight w:val="1266"/>
          <w:jc w:val="center"/>
        </w:trPr>
        <w:tc>
          <w:tcPr>
            <w:tcW w:w="9022" w:type="dxa"/>
            <w:vAlign w:val="center"/>
          </w:tcPr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五、交易规则</w:t>
            </w:r>
            <w:r>
              <w:rPr>
                <w:rFonts w:ascii="Times New Roman" w:eastAsia="黑体" w:hAnsi="Times New Roman" w:cs="Arial"/>
                <w:sz w:val="28"/>
                <w:szCs w:val="28"/>
              </w:rPr>
              <w:t>验证</w:t>
            </w:r>
          </w:p>
          <w:p w:rsidR="007C5C6C" w:rsidRDefault="007C5C6C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tbl>
            <w:tblPr>
              <w:tblStyle w:val="11"/>
              <w:tblW w:w="8813" w:type="dxa"/>
              <w:tblLayout w:type="fixed"/>
              <w:tblLook w:val="04A0" w:firstRow="1" w:lastRow="0" w:firstColumn="1" w:lastColumn="0" w:noHBand="0" w:noVBand="1"/>
            </w:tblPr>
            <w:tblGrid>
              <w:gridCol w:w="1301"/>
              <w:gridCol w:w="3543"/>
              <w:gridCol w:w="2695"/>
              <w:gridCol w:w="1274"/>
            </w:tblGrid>
            <w:tr w:rsidR="007C5C6C">
              <w:trPr>
                <w:trHeight w:val="474"/>
              </w:trPr>
              <w:tc>
                <w:tcPr>
                  <w:tcW w:w="73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匹配成交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协商成交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是否验证</w:t>
                  </w:r>
                </w:p>
              </w:tc>
            </w:tr>
            <w:tr w:rsidR="007C5C6C">
              <w:trPr>
                <w:trHeight w:val="800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交易时间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09:15-09:25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（开盘集合匹配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）</w:t>
                  </w:r>
                </w:p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09:30-11:30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（连续匹配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）</w:t>
                  </w:r>
                </w:p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13:00-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15:30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（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连续匹配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09:00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-11:30</w:t>
                  </w:r>
                </w:p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13:00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-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15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: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30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仿宋" w:hAnsi="Times New Roman" w:cs="Times New Roman" w:hint="eastAsi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C5C6C">
              <w:trPr>
                <w:trHeight w:val="4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color w:val="000000"/>
                      <w:szCs w:val="24"/>
                    </w:rPr>
                    <w:t>交易品种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color w:val="000000"/>
                      <w:szCs w:val="24"/>
                    </w:rPr>
                    <w:t>公开发行公司债券（含企业债券）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color w:val="000000"/>
                      <w:szCs w:val="24"/>
                    </w:rPr>
                    <w:t>公开发行公司债券（含企业债券）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4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color w:val="000000"/>
                      <w:szCs w:val="24"/>
                    </w:rPr>
                    <w:lastRenderedPageBreak/>
                    <w:t>结算方式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多边净额结算</w:t>
                  </w:r>
                </w:p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（担保）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多边净额结算</w:t>
                  </w:r>
                </w:p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（担保）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1172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现券申报数量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10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万元面额或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者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其整数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倍，卖出余额不足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万元面额的应一次性申报卖出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不低于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,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000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元面额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，且为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元面额整数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倍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33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价格最小变动单位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0.001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0.0001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元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415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单笔最大申报数量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不超过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亿元面额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不超过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亿元面额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436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申报类型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限价申报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协议配对（约定号）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436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显名</w:t>
                  </w: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/</w:t>
                  </w: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匿名申报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匿名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显名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发送范围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全市场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指定对手方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约定号重复检查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/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1.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【重复申报】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t>两笔申报，如果证券代码、本方交易商、本方交易员、对手方交易商、对手方交易员要素各自相同情况下，如果约定号重复，则只保留第一笔，后续委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lastRenderedPageBreak/>
                    <w:t>托按订单拒绝处理，报约定号重复错误；</w:t>
                  </w:r>
                </w:p>
                <w:p w:rsidR="007C5C6C" w:rsidRDefault="0097327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2.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【匹配失败】</w:t>
                  </w:r>
                  <w:r>
                    <w:rPr>
                      <w:rFonts w:ascii="Times New Roman" w:eastAsia="仿宋" w:hAnsi="Times New Roman" w:hint="eastAsia"/>
                      <w:szCs w:val="24"/>
                      <w:lang w:val="en"/>
                    </w:rPr>
                    <w:t>两笔申报，如果证券代码相同，本方交易商、本方交易员与对手方交易商、对手方交易员可匹配，则会将两笔委托进行要素检查，如果要素不一致、匹配失败，两笔申报均被拒绝，报配对失败错误。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lastRenderedPageBreak/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盘中临时停牌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1.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盘中成交价格较前收盘价首次上涨或下跌达到或超过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20%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的，临时停牌持续时间为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30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分钟，临时停牌时间跨越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的，于当日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复牌；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2.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较前收盘价首次上涨或下跌达到或超过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30%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的，临时停牌时间持续至当日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；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3.15:27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之后不再触发临时停牌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匹配成交方式临时停牌期间，协商成交方式可正常交易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</w:p>
              </w:tc>
            </w:tr>
            <w:tr w:rsidR="007C5C6C">
              <w:trPr>
                <w:trHeight w:val="52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停牌情形处理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全天停牌：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不接受交易申报；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盘中临时停牌：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可以申报或撤销申报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全天停牌：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不接受交易申报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834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有效申报价格范围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4"/>
                    </w:rPr>
                    <w:t>开盘集合匹配：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前收盘价上下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30%</w:t>
                  </w:r>
                  <w:r>
                    <w:rPr>
                      <w:rFonts w:ascii="Times New Roman" w:eastAsia="仿宋" w:hAnsi="Times New Roman"/>
                      <w:bCs/>
                      <w:szCs w:val="24"/>
                    </w:rPr>
                    <w:t>；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连续匹配、盘中临时停牌复牌集合匹配</w:t>
                  </w:r>
                  <w:r>
                    <w:rPr>
                      <w:rFonts w:ascii="Times New Roman" w:eastAsia="仿宋" w:hAnsi="Times New Roman" w:hint="eastAsia"/>
                      <w:bCs/>
                      <w:szCs w:val="24"/>
                    </w:rPr>
                    <w:t>：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匹配成交最近成交价上下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20%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不设置有效申报价格范围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sym w:font="Wingdings 2" w:char="00A3"/>
                  </w:r>
                </w:p>
              </w:tc>
            </w:tr>
            <w:tr w:rsidR="007C5C6C">
              <w:trPr>
                <w:trHeight w:val="834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有效申报价格范围的自动调整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在集合匹配阶段没有达成成交的，继续交易时，按照下列方式调整有效申报价格范围：最高买入申报价格高于前收盘价或者匹配成交最近成交价的，以最高买入申报价格为基准调整有效申报价格范围；最低卖出申报价格低于前收盘价或者匹配成交最近成交价的，以最低卖出申报价格为基准调整有效申报价格范围。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/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sym w:font="Wingdings 2" w:char="00A3"/>
                  </w:r>
                </w:p>
              </w:tc>
            </w:tr>
            <w:tr w:rsidR="007C5C6C">
              <w:trPr>
                <w:trHeight w:val="5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  <w:lang w:val="en"/>
                    </w:rPr>
                    <w:t>撤单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除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09: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20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-09:25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的开盘集合匹配阶段不接受撤销申报外，接受申报时间内未成交的申报可以撤销；部分成交的，未成交部分可以撤销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接受申报时间内，未成交的申报可以撤销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509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  <w:lang w:val="en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  <w:lang w:val="en"/>
                    </w:rPr>
                    <w:t>回转交易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当日回转交易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当日回转交易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lastRenderedPageBreak/>
                    <w:t>计价方式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债券现券交易均采用净价价格进行申报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 w:cs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债券现券交易均采用净价价格进行申报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交易申报信息披露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开盘集合匹配：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发布参考价格、匹配量、未匹配量等；若未产生集合匹配参考价的，则发布实时最优一档买卖申报价格、数量。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连续匹配：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最优五档买卖申报价格、数量等。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申报数量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万元面额及以上的逐笔交易申报信息。</w:t>
                  </w:r>
                </w:p>
                <w:p w:rsidR="007C5C6C" w:rsidRDefault="00973275">
                  <w:pPr>
                    <w:spacing w:line="560" w:lineRule="exact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债券临时停牌期间不揭示集合匹配参考价、匹配量和未匹配量。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szCs w:val="24"/>
                    </w:rPr>
                    <w:t>/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  <w:tr w:rsidR="007C5C6C">
              <w:trPr>
                <w:trHeight w:val="1053"/>
              </w:trPr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bCs/>
                      <w:szCs w:val="24"/>
                    </w:rPr>
                    <w:t>成交信息披露</w:t>
                  </w:r>
                </w:p>
              </w:tc>
              <w:tc>
                <w:tcPr>
                  <w:tcW w:w="2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both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即时成交行情、单笔成交数量为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万元面额及以上的逐笔成交信息</w:t>
                  </w:r>
                </w:p>
              </w:tc>
              <w:tc>
                <w:tcPr>
                  <w:tcW w:w="15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即时成交行情、逐笔成交行情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5C6C" w:rsidRDefault="00973275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szCs w:val="24"/>
                    </w:rPr>
                    <w:t>是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  <w:r>
                    <w:rPr>
                      <w:rFonts w:ascii="Times New Roman" w:eastAsia="仿宋" w:hAnsi="Times New Roman" w:cs="Times New Roman"/>
                      <w:szCs w:val="24"/>
                    </w:rPr>
                    <w:t xml:space="preserve">  </w:t>
                  </w:r>
                  <w:r>
                    <w:rPr>
                      <w:rFonts w:ascii="Times New Roman" w:eastAsia="仿宋" w:hAnsi="Times New Roman"/>
                      <w:szCs w:val="24"/>
                    </w:rPr>
                    <w:br/>
                  </w:r>
                  <w:r>
                    <w:rPr>
                      <w:rFonts w:ascii="Times New Roman" w:eastAsia="仿宋" w:hAnsi="Times New Roman" w:hint="eastAsia"/>
                      <w:szCs w:val="24"/>
                    </w:rPr>
                    <w:t>否</w:t>
                  </w:r>
                  <w:r>
                    <w:rPr>
                      <w:rFonts w:ascii="Times New Roman" w:eastAsia="仿宋" w:hAnsi="Times New Roman" w:cs="Times New Roman" w:hint="eastAsia"/>
                      <w:szCs w:val="24"/>
                      <w:lang w:val="zh-CN"/>
                    </w:rPr>
                    <w:t>□</w:t>
                  </w:r>
                </w:p>
              </w:tc>
            </w:tr>
          </w:tbl>
          <w:p w:rsidR="007C5C6C" w:rsidRDefault="007C5C6C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7C5C6C">
        <w:trPr>
          <w:trHeight w:val="1124"/>
          <w:jc w:val="center"/>
        </w:trPr>
        <w:tc>
          <w:tcPr>
            <w:tcW w:w="9022" w:type="dxa"/>
            <w:vAlign w:val="center"/>
          </w:tcPr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五、问题记录</w:t>
            </w:r>
          </w:p>
          <w:p w:rsidR="007C5C6C" w:rsidRDefault="007C5C6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7C5C6C" w:rsidRDefault="007C5C6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如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测试中发现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技术系统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问题</w:t>
            </w:r>
            <w:r>
              <w:rPr>
                <w:rFonts w:ascii="Times New Roman" w:hAnsi="Times New Roman" w:cs="Times New Roman" w:hint="eastAsia"/>
                <w:i/>
                <w:color w:val="000000"/>
                <w:sz w:val="21"/>
                <w:szCs w:val="21"/>
              </w:rPr>
              <w:t>或涉及交易规则业务验证的问题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，请在本栏描述。</w:t>
            </w:r>
          </w:p>
        </w:tc>
      </w:tr>
      <w:tr w:rsidR="007C5C6C">
        <w:trPr>
          <w:trHeight w:val="2117"/>
          <w:jc w:val="center"/>
        </w:trPr>
        <w:tc>
          <w:tcPr>
            <w:tcW w:w="9022" w:type="dxa"/>
            <w:vAlign w:val="center"/>
          </w:tcPr>
          <w:p w:rsidR="007C5C6C" w:rsidRDefault="00973275">
            <w:pPr>
              <w:pStyle w:val="ab"/>
              <w:spacing w:before="60" w:after="60" w:line="0" w:lineRule="atLeast"/>
              <w:ind w:firstLineChars="0" w:firstLine="0"/>
              <w:rPr>
                <w:rFonts w:ascii="Times New Roman" w:eastAsia="黑体" w:hAnsi="Times New Roman" w:cs="Arial"/>
                <w:sz w:val="28"/>
                <w:szCs w:val="28"/>
                <w:lang w:val="zh-CN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  <w:lang w:val="zh-CN"/>
              </w:rPr>
              <w:t>六、测试结论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现有债券现券交易等各项业务正常。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完全通过□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部分通过□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失败□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    </w:t>
            </w:r>
          </w:p>
          <w:p w:rsidR="007C5C6C" w:rsidRDefault="007C5C6C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特别说明：</w:t>
            </w:r>
          </w:p>
          <w:p w:rsidR="007C5C6C" w:rsidRDefault="00973275">
            <w:pPr>
              <w:widowControl w:val="0"/>
              <w:spacing w:before="60" w:after="60" w:line="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t>（如果测试结论是部分通过或失败，请说明原因、后续系统完善所需时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zh-CN"/>
              </w:rPr>
              <w:lastRenderedPageBreak/>
              <w:t>间及应对策略。）</w:t>
            </w:r>
          </w:p>
        </w:tc>
      </w:tr>
      <w:tr w:rsidR="007C5C6C">
        <w:trPr>
          <w:trHeight w:val="831"/>
          <w:jc w:val="center"/>
        </w:trPr>
        <w:tc>
          <w:tcPr>
            <w:tcW w:w="9022" w:type="dxa"/>
            <w:vAlign w:val="center"/>
          </w:tcPr>
          <w:p w:rsidR="007C5C6C" w:rsidRDefault="00973275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lastRenderedPageBreak/>
              <w:t>测试负责人：</w:t>
            </w: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黑体" w:hAnsi="Times New Roman" w:cs="Arial" w:hint="eastAsia"/>
                <w:sz w:val="28"/>
                <w:szCs w:val="28"/>
              </w:rPr>
              <w:t>联系电话（固话和手机）：</w:t>
            </w:r>
          </w:p>
        </w:tc>
      </w:tr>
    </w:tbl>
    <w:p w:rsidR="007C5C6C" w:rsidRDefault="007C5C6C">
      <w:pPr>
        <w:rPr>
          <w:rFonts w:ascii="Times New Roman" w:hAnsi="Times New Roman" w:cs="Times New Roman"/>
        </w:rPr>
      </w:pPr>
    </w:p>
    <w:p w:rsidR="007C5C6C" w:rsidRDefault="00973275">
      <w:pPr>
        <w:widowControl w:val="0"/>
        <w:spacing w:line="0" w:lineRule="atLeast"/>
        <w:jc w:val="both"/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 w:hint="eastAsia"/>
          <w:szCs w:val="28"/>
        </w:rPr>
        <w:t>说明：测试结束后，各参测机构应收集各自技术系统的测试情况，并于测试结束当日（</w:t>
      </w:r>
      <w:r>
        <w:rPr>
          <w:rFonts w:ascii="Times New Roman" w:eastAsia="楷体" w:hAnsi="Times New Roman" w:cs="Times New Roman" w:hint="eastAsia"/>
          <w:szCs w:val="28"/>
        </w:rPr>
        <w:t>202</w:t>
      </w:r>
      <w:r>
        <w:rPr>
          <w:rFonts w:ascii="Times New Roman" w:eastAsia="楷体" w:hAnsi="Times New Roman" w:cs="Times New Roman"/>
          <w:szCs w:val="28"/>
        </w:rPr>
        <w:t>6</w:t>
      </w:r>
      <w:r>
        <w:rPr>
          <w:rFonts w:ascii="Times New Roman" w:eastAsia="楷体" w:hAnsi="Times New Roman" w:cs="Times New Roman" w:hint="eastAsia"/>
          <w:szCs w:val="28"/>
        </w:rPr>
        <w:t>年</w:t>
      </w:r>
      <w:r>
        <w:rPr>
          <w:rFonts w:ascii="Times New Roman" w:eastAsia="楷体" w:hAnsi="Times New Roman" w:cs="Times New Roman"/>
          <w:szCs w:val="28"/>
        </w:rPr>
        <w:t>2</w:t>
      </w:r>
      <w:r>
        <w:rPr>
          <w:rFonts w:ascii="Times New Roman" w:eastAsia="楷体" w:hAnsi="Times New Roman" w:cs="Times New Roman" w:hint="eastAsia"/>
          <w:szCs w:val="28"/>
        </w:rPr>
        <w:t>月</w:t>
      </w:r>
      <w:r>
        <w:rPr>
          <w:rFonts w:ascii="Times New Roman" w:eastAsia="楷体" w:hAnsi="Times New Roman" w:cs="Times New Roman" w:hint="eastAsia"/>
          <w:szCs w:val="28"/>
        </w:rPr>
        <w:t>7</w:t>
      </w:r>
      <w:r>
        <w:rPr>
          <w:rFonts w:ascii="Times New Roman" w:eastAsia="楷体" w:hAnsi="Times New Roman" w:cs="Times New Roman" w:hint="eastAsia"/>
          <w:szCs w:val="28"/>
        </w:rPr>
        <w:t>日）</w:t>
      </w:r>
      <w:r>
        <w:rPr>
          <w:rFonts w:ascii="Times New Roman" w:eastAsia="楷体" w:hAnsi="Times New Roman" w:cs="Times New Roman" w:hint="eastAsia"/>
          <w:szCs w:val="28"/>
        </w:rPr>
        <w:t>17:00</w:t>
      </w:r>
      <w:r>
        <w:rPr>
          <w:rFonts w:ascii="Times New Roman" w:eastAsia="楷体" w:hAnsi="Times New Roman" w:cs="Times New Roman" w:hint="eastAsia"/>
          <w:szCs w:val="28"/>
        </w:rPr>
        <w:t>之前通过电子邮件提交测试报告（无需盖章），邮件主题和附件名称均为：机构名称</w:t>
      </w:r>
      <w:r>
        <w:rPr>
          <w:rFonts w:ascii="Times New Roman" w:eastAsia="楷体" w:hAnsi="Times New Roman" w:cs="Times New Roman" w:hint="eastAsia"/>
          <w:szCs w:val="28"/>
        </w:rPr>
        <w:t>+</w:t>
      </w:r>
      <w:r>
        <w:rPr>
          <w:rFonts w:ascii="Times New Roman" w:eastAsia="楷体" w:hAnsi="Times New Roman" w:cs="Times New Roman" w:hint="eastAsia"/>
          <w:szCs w:val="28"/>
        </w:rPr>
        <w:t>北京证券交易所固定收益平台第一次全网测试反馈报告，收件邮箱为：</w:t>
      </w:r>
      <w:r>
        <w:rPr>
          <w:rFonts w:ascii="Times New Roman" w:eastAsia="楷体" w:hAnsi="Times New Roman" w:cs="Times New Roman" w:hint="eastAsia"/>
          <w:szCs w:val="28"/>
        </w:rPr>
        <w:t>techservice@neeq.com.cn</w:t>
      </w:r>
      <w:r>
        <w:rPr>
          <w:rFonts w:ascii="Times New Roman" w:eastAsia="楷体" w:hAnsi="Times New Roman" w:cs="Times New Roman" w:hint="eastAsia"/>
          <w:szCs w:val="28"/>
        </w:rPr>
        <w:t>。</w:t>
      </w:r>
    </w:p>
    <w:sectPr w:rsidR="007C5C6C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75" w:rsidRDefault="00973275">
      <w:r>
        <w:separator/>
      </w:r>
    </w:p>
  </w:endnote>
  <w:endnote w:type="continuationSeparator" w:id="0">
    <w:p w:rsidR="00973275" w:rsidRDefault="0097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C5C6C" w:rsidRDefault="00973275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PAGE  </w:instrText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76EC2" w:rsidRPr="00376E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76E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C5C6C" w:rsidRDefault="007C5C6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C5C6C" w:rsidRDefault="00973275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76EC2" w:rsidRPr="00376E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76E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5 -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C5C6C" w:rsidRDefault="007C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75" w:rsidRDefault="00973275">
      <w:r>
        <w:separator/>
      </w:r>
    </w:p>
  </w:footnote>
  <w:footnote w:type="continuationSeparator" w:id="0">
    <w:p w:rsidR="00973275" w:rsidRDefault="0097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20"/>
  <w:evenAndOddHeaders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8BB56686"/>
    <w:rsid w:val="9D7D315F"/>
    <w:rsid w:val="9EFFF31C"/>
    <w:rsid w:val="9FDE8419"/>
    <w:rsid w:val="A3FFABF9"/>
    <w:rsid w:val="A5FF81F3"/>
    <w:rsid w:val="A7FFE526"/>
    <w:rsid w:val="AB3F114C"/>
    <w:rsid w:val="ADDD31DF"/>
    <w:rsid w:val="B337EA0A"/>
    <w:rsid w:val="B3C7EB04"/>
    <w:rsid w:val="B3ECED85"/>
    <w:rsid w:val="B89B1458"/>
    <w:rsid w:val="B97B8A98"/>
    <w:rsid w:val="B97E4C33"/>
    <w:rsid w:val="B9FFF9D2"/>
    <w:rsid w:val="BAEB1705"/>
    <w:rsid w:val="BBDDF195"/>
    <w:rsid w:val="BBF77256"/>
    <w:rsid w:val="BBFFE562"/>
    <w:rsid w:val="BEAB25DE"/>
    <w:rsid w:val="BF56AD86"/>
    <w:rsid w:val="BFDE7AB5"/>
    <w:rsid w:val="BFE7AFA1"/>
    <w:rsid w:val="BFECE470"/>
    <w:rsid w:val="CFBFB095"/>
    <w:rsid w:val="CFFEAD88"/>
    <w:rsid w:val="D3DB97F5"/>
    <w:rsid w:val="D3F7557E"/>
    <w:rsid w:val="D6DE8AEF"/>
    <w:rsid w:val="D7EDDA7D"/>
    <w:rsid w:val="DD373AF2"/>
    <w:rsid w:val="DD3B1A54"/>
    <w:rsid w:val="DDF4BB7B"/>
    <w:rsid w:val="DDFFBA24"/>
    <w:rsid w:val="DED98AE6"/>
    <w:rsid w:val="DF6F2C94"/>
    <w:rsid w:val="DF7AF59F"/>
    <w:rsid w:val="DFFC0726"/>
    <w:rsid w:val="E3F7540B"/>
    <w:rsid w:val="E4DE13A0"/>
    <w:rsid w:val="E77B57DF"/>
    <w:rsid w:val="ECBE5084"/>
    <w:rsid w:val="EF7A4E1D"/>
    <w:rsid w:val="EFA72EC5"/>
    <w:rsid w:val="EFE3D473"/>
    <w:rsid w:val="EFF7770C"/>
    <w:rsid w:val="EFFDB506"/>
    <w:rsid w:val="EFFF26DD"/>
    <w:rsid w:val="EFFFF0B6"/>
    <w:rsid w:val="F6FB0CA0"/>
    <w:rsid w:val="F73FBB4B"/>
    <w:rsid w:val="F7BDB638"/>
    <w:rsid w:val="F7E66E35"/>
    <w:rsid w:val="F7FF4558"/>
    <w:rsid w:val="FAD5440C"/>
    <w:rsid w:val="FAEED81E"/>
    <w:rsid w:val="FB7E3938"/>
    <w:rsid w:val="FB7FC308"/>
    <w:rsid w:val="FBB7FC55"/>
    <w:rsid w:val="FBDC8DBF"/>
    <w:rsid w:val="FBFE673F"/>
    <w:rsid w:val="FBFFE477"/>
    <w:rsid w:val="FD8A0A9F"/>
    <w:rsid w:val="FDFE06F8"/>
    <w:rsid w:val="FDFFF0C1"/>
    <w:rsid w:val="FEC7AC80"/>
    <w:rsid w:val="FECFED79"/>
    <w:rsid w:val="FEDDEEE4"/>
    <w:rsid w:val="FEDF539F"/>
    <w:rsid w:val="FEFF556C"/>
    <w:rsid w:val="FF6F478A"/>
    <w:rsid w:val="FF6F6A0A"/>
    <w:rsid w:val="FF7A4EBC"/>
    <w:rsid w:val="FF7FE9F5"/>
    <w:rsid w:val="FFBF55C0"/>
    <w:rsid w:val="FFD2345B"/>
    <w:rsid w:val="FFDA1FAE"/>
    <w:rsid w:val="FFDE69CD"/>
    <w:rsid w:val="FFECD704"/>
    <w:rsid w:val="FFEE92C2"/>
    <w:rsid w:val="FFF7A420"/>
    <w:rsid w:val="FFFFA37C"/>
    <w:rsid w:val="FFFFEC2C"/>
    <w:rsid w:val="00010DBC"/>
    <w:rsid w:val="00022D71"/>
    <w:rsid w:val="00036C81"/>
    <w:rsid w:val="0004511F"/>
    <w:rsid w:val="00057E49"/>
    <w:rsid w:val="00071E73"/>
    <w:rsid w:val="00073E37"/>
    <w:rsid w:val="000839B8"/>
    <w:rsid w:val="0008561D"/>
    <w:rsid w:val="00093082"/>
    <w:rsid w:val="000A0F22"/>
    <w:rsid w:val="000A1B36"/>
    <w:rsid w:val="000B4EBC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1228C"/>
    <w:rsid w:val="00121597"/>
    <w:rsid w:val="00125487"/>
    <w:rsid w:val="00131AD9"/>
    <w:rsid w:val="001349CD"/>
    <w:rsid w:val="00135EEC"/>
    <w:rsid w:val="00145BF5"/>
    <w:rsid w:val="001475B5"/>
    <w:rsid w:val="00155C9F"/>
    <w:rsid w:val="00157335"/>
    <w:rsid w:val="00183A0E"/>
    <w:rsid w:val="00197729"/>
    <w:rsid w:val="00197C03"/>
    <w:rsid w:val="001A4C22"/>
    <w:rsid w:val="001A5FCF"/>
    <w:rsid w:val="001A7875"/>
    <w:rsid w:val="001C53EB"/>
    <w:rsid w:val="001F25F1"/>
    <w:rsid w:val="00216347"/>
    <w:rsid w:val="0022015C"/>
    <w:rsid w:val="00224E2B"/>
    <w:rsid w:val="00255946"/>
    <w:rsid w:val="0027497F"/>
    <w:rsid w:val="00277A25"/>
    <w:rsid w:val="002908FE"/>
    <w:rsid w:val="00296D3E"/>
    <w:rsid w:val="002B2165"/>
    <w:rsid w:val="002C0AA7"/>
    <w:rsid w:val="002C0E0F"/>
    <w:rsid w:val="002C4781"/>
    <w:rsid w:val="002D3965"/>
    <w:rsid w:val="002D77D4"/>
    <w:rsid w:val="002E2BF4"/>
    <w:rsid w:val="002E3919"/>
    <w:rsid w:val="002E5926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76EC2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62B"/>
    <w:rsid w:val="004312F9"/>
    <w:rsid w:val="00441AFD"/>
    <w:rsid w:val="0044291A"/>
    <w:rsid w:val="004443E0"/>
    <w:rsid w:val="00446804"/>
    <w:rsid w:val="00446D4E"/>
    <w:rsid w:val="0045594B"/>
    <w:rsid w:val="004721F3"/>
    <w:rsid w:val="00473E65"/>
    <w:rsid w:val="004B38A5"/>
    <w:rsid w:val="004B3E44"/>
    <w:rsid w:val="004B69A7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37411"/>
    <w:rsid w:val="00640157"/>
    <w:rsid w:val="006442FB"/>
    <w:rsid w:val="006561A8"/>
    <w:rsid w:val="00664B00"/>
    <w:rsid w:val="006835A5"/>
    <w:rsid w:val="00687867"/>
    <w:rsid w:val="00690F2D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6487B"/>
    <w:rsid w:val="00766CAD"/>
    <w:rsid w:val="00773482"/>
    <w:rsid w:val="00777620"/>
    <w:rsid w:val="00777725"/>
    <w:rsid w:val="00781C1F"/>
    <w:rsid w:val="00781C86"/>
    <w:rsid w:val="007941AD"/>
    <w:rsid w:val="00795795"/>
    <w:rsid w:val="00796962"/>
    <w:rsid w:val="007A139C"/>
    <w:rsid w:val="007A4430"/>
    <w:rsid w:val="007B5118"/>
    <w:rsid w:val="007C0DFA"/>
    <w:rsid w:val="007C552D"/>
    <w:rsid w:val="007C5C6C"/>
    <w:rsid w:val="007D17B7"/>
    <w:rsid w:val="007E6F0B"/>
    <w:rsid w:val="0080605A"/>
    <w:rsid w:val="00814AB4"/>
    <w:rsid w:val="00822B95"/>
    <w:rsid w:val="00826191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1ABB"/>
    <w:rsid w:val="008D36E9"/>
    <w:rsid w:val="008F4258"/>
    <w:rsid w:val="008F7C60"/>
    <w:rsid w:val="009268B0"/>
    <w:rsid w:val="009268C2"/>
    <w:rsid w:val="00950C8E"/>
    <w:rsid w:val="00973275"/>
    <w:rsid w:val="00975624"/>
    <w:rsid w:val="00976D26"/>
    <w:rsid w:val="009900D7"/>
    <w:rsid w:val="009D4B1F"/>
    <w:rsid w:val="009E6114"/>
    <w:rsid w:val="009F6E2A"/>
    <w:rsid w:val="00A14DB1"/>
    <w:rsid w:val="00A14E2F"/>
    <w:rsid w:val="00A33717"/>
    <w:rsid w:val="00A41910"/>
    <w:rsid w:val="00A529BC"/>
    <w:rsid w:val="00A52AB6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54B23"/>
    <w:rsid w:val="00B6474D"/>
    <w:rsid w:val="00B66D7D"/>
    <w:rsid w:val="00B75399"/>
    <w:rsid w:val="00BC49B5"/>
    <w:rsid w:val="00BC5765"/>
    <w:rsid w:val="00BC60A3"/>
    <w:rsid w:val="00BD0536"/>
    <w:rsid w:val="00BE0EFA"/>
    <w:rsid w:val="00BE4048"/>
    <w:rsid w:val="00C221D0"/>
    <w:rsid w:val="00C253FC"/>
    <w:rsid w:val="00C4374D"/>
    <w:rsid w:val="00C53134"/>
    <w:rsid w:val="00C5715A"/>
    <w:rsid w:val="00C66750"/>
    <w:rsid w:val="00C71147"/>
    <w:rsid w:val="00C80F74"/>
    <w:rsid w:val="00C81296"/>
    <w:rsid w:val="00C90C4A"/>
    <w:rsid w:val="00C9302F"/>
    <w:rsid w:val="00C945C1"/>
    <w:rsid w:val="00C94C3D"/>
    <w:rsid w:val="00C96496"/>
    <w:rsid w:val="00C96FD8"/>
    <w:rsid w:val="00CB2B98"/>
    <w:rsid w:val="00CC3CAB"/>
    <w:rsid w:val="00CD4068"/>
    <w:rsid w:val="00CF5C6F"/>
    <w:rsid w:val="00D001B1"/>
    <w:rsid w:val="00D023BB"/>
    <w:rsid w:val="00D1218C"/>
    <w:rsid w:val="00D23C86"/>
    <w:rsid w:val="00D438F9"/>
    <w:rsid w:val="00D57717"/>
    <w:rsid w:val="00D62B42"/>
    <w:rsid w:val="00D779CC"/>
    <w:rsid w:val="00D80991"/>
    <w:rsid w:val="00D95EFD"/>
    <w:rsid w:val="00D96384"/>
    <w:rsid w:val="00DA0887"/>
    <w:rsid w:val="00DA789B"/>
    <w:rsid w:val="00DB0817"/>
    <w:rsid w:val="00DC6F76"/>
    <w:rsid w:val="00DD5191"/>
    <w:rsid w:val="00DE7D1E"/>
    <w:rsid w:val="00E057FD"/>
    <w:rsid w:val="00E13D4D"/>
    <w:rsid w:val="00E310E3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A06EF"/>
    <w:rsid w:val="00EC7977"/>
    <w:rsid w:val="00ED605A"/>
    <w:rsid w:val="00EE4380"/>
    <w:rsid w:val="00EF1652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0FF46C1"/>
    <w:rsid w:val="04DD4D41"/>
    <w:rsid w:val="065B15E4"/>
    <w:rsid w:val="14472F9B"/>
    <w:rsid w:val="1972401A"/>
    <w:rsid w:val="1ADD75E3"/>
    <w:rsid w:val="1EFFB77F"/>
    <w:rsid w:val="1FFFEC2E"/>
    <w:rsid w:val="202B1BD0"/>
    <w:rsid w:val="27FF8503"/>
    <w:rsid w:val="2B6134B5"/>
    <w:rsid w:val="35D21E1F"/>
    <w:rsid w:val="37AB6D22"/>
    <w:rsid w:val="385E803D"/>
    <w:rsid w:val="38F6921A"/>
    <w:rsid w:val="396D4E42"/>
    <w:rsid w:val="3A7E8263"/>
    <w:rsid w:val="3AFE2D4D"/>
    <w:rsid w:val="3B6EA34E"/>
    <w:rsid w:val="3DDA2C67"/>
    <w:rsid w:val="3EF58589"/>
    <w:rsid w:val="3EFBB17C"/>
    <w:rsid w:val="3F1F171D"/>
    <w:rsid w:val="3FD769A9"/>
    <w:rsid w:val="3FEA2599"/>
    <w:rsid w:val="3FFF7D56"/>
    <w:rsid w:val="42BF022A"/>
    <w:rsid w:val="44E67CEF"/>
    <w:rsid w:val="45DE94B0"/>
    <w:rsid w:val="490F0B64"/>
    <w:rsid w:val="498FDC1F"/>
    <w:rsid w:val="49DC7913"/>
    <w:rsid w:val="4D07739D"/>
    <w:rsid w:val="4DAF1A9E"/>
    <w:rsid w:val="4EE7ECD1"/>
    <w:rsid w:val="4FFF3F3D"/>
    <w:rsid w:val="51F6987A"/>
    <w:rsid w:val="52DBB4ED"/>
    <w:rsid w:val="53D17AAE"/>
    <w:rsid w:val="57FB2C99"/>
    <w:rsid w:val="57FF246D"/>
    <w:rsid w:val="57FFFC64"/>
    <w:rsid w:val="59DF98BF"/>
    <w:rsid w:val="5BBD0697"/>
    <w:rsid w:val="5DBD66FE"/>
    <w:rsid w:val="5E1B2CA8"/>
    <w:rsid w:val="5EBC24CD"/>
    <w:rsid w:val="5F7F8687"/>
    <w:rsid w:val="5FA94430"/>
    <w:rsid w:val="5FFEE215"/>
    <w:rsid w:val="63DFBE42"/>
    <w:rsid w:val="63FF2049"/>
    <w:rsid w:val="67EF6B9D"/>
    <w:rsid w:val="6BED63EA"/>
    <w:rsid w:val="6C6E1DCF"/>
    <w:rsid w:val="6C7D62BA"/>
    <w:rsid w:val="6D7BE693"/>
    <w:rsid w:val="6D7C2B3B"/>
    <w:rsid w:val="6DDF0EA8"/>
    <w:rsid w:val="6EFF91DA"/>
    <w:rsid w:val="6F4B901C"/>
    <w:rsid w:val="6F7F63A1"/>
    <w:rsid w:val="6FBBA08D"/>
    <w:rsid w:val="6FEC77A0"/>
    <w:rsid w:val="6FFF710C"/>
    <w:rsid w:val="70E7271A"/>
    <w:rsid w:val="715F3F3C"/>
    <w:rsid w:val="7377DC02"/>
    <w:rsid w:val="75FB2D22"/>
    <w:rsid w:val="76AB595F"/>
    <w:rsid w:val="76FD5E63"/>
    <w:rsid w:val="775DC621"/>
    <w:rsid w:val="775DF6C5"/>
    <w:rsid w:val="77AB3A50"/>
    <w:rsid w:val="77ED6DAA"/>
    <w:rsid w:val="77EDB4BD"/>
    <w:rsid w:val="787CA9E7"/>
    <w:rsid w:val="797B7BDB"/>
    <w:rsid w:val="7997FEF5"/>
    <w:rsid w:val="7A97F7E2"/>
    <w:rsid w:val="7BD7030C"/>
    <w:rsid w:val="7CEF0A80"/>
    <w:rsid w:val="7DBE7DFD"/>
    <w:rsid w:val="7DD9DFD8"/>
    <w:rsid w:val="7DDA01F5"/>
    <w:rsid w:val="7DE7FC8E"/>
    <w:rsid w:val="7DFF5655"/>
    <w:rsid w:val="7DFFAEA0"/>
    <w:rsid w:val="7EBBA46F"/>
    <w:rsid w:val="7EBF2F14"/>
    <w:rsid w:val="7EEBEC3C"/>
    <w:rsid w:val="7F1FC3E6"/>
    <w:rsid w:val="7F2A95D3"/>
    <w:rsid w:val="7F2FD498"/>
    <w:rsid w:val="7FD909E7"/>
    <w:rsid w:val="7FDA8A9F"/>
    <w:rsid w:val="7FDE6074"/>
    <w:rsid w:val="7FDFB60F"/>
    <w:rsid w:val="7FEA9E7C"/>
    <w:rsid w:val="7FED96CA"/>
    <w:rsid w:val="7FEF2010"/>
    <w:rsid w:val="7F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spacing w:line="400" w:lineRule="exact"/>
      <w:ind w:leftChars="1200" w:left="2520" w:firstLineChars="200" w:firstLine="200"/>
      <w:jc w:val="both"/>
    </w:pPr>
    <w:rPr>
      <w:rFonts w:ascii="Times New Roman" w:eastAsia="仿宋" w:hAnsi="Times New Roman" w:cs="Times New Roman"/>
      <w:sz w:val="21"/>
      <w:szCs w:val="24"/>
    </w:rPr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黑体"/>
      <w:kern w:val="2"/>
      <w:sz w:val="24"/>
      <w:szCs w:val="22"/>
    </w:rPr>
  </w:style>
  <w:style w:type="table" w:customStyle="1" w:styleId="11">
    <w:name w:val="网格型1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Wingdings" w:hAnsi="Wingdings" w:cs="Wingdings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375</Words>
  <Characters>2139</Characters>
  <Application>Microsoft Office Word</Application>
  <DocSecurity>0</DocSecurity>
  <Lines>17</Lines>
  <Paragraphs>5</Paragraphs>
  <ScaleCrop>false</ScaleCrop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2026-01-28T09:28:00Z</dcterms:created>
  <dcterms:modified xsi:type="dcterms:W3CDTF">2026-02-06T08:02:00Z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A8D0766D757F40149F14BBFC003B11F9</vt:lpwstr>
  </property>
</Properties>
</file>