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4" w:line="440" w:lineRule="exact"/>
        <w:ind w:firstLine="198" w:firstLineChars="62"/>
        <w:rPr>
          <w:rFonts w:eastAsia="黑体" w:cs="Times New Roman"/>
          <w:color w:val="000000" w:themeColor="text1"/>
          <w:sz w:val="32"/>
          <w:szCs w:val="32"/>
          <w14:textFill>
            <w14:solidFill>
              <w14:schemeClr w14:val="tx1"/>
            </w14:solidFill>
          </w14:textFill>
        </w:rPr>
      </w:pPr>
      <w:bookmarkStart w:id="107" w:name="_GoBack"/>
      <w:bookmarkEnd w:id="107"/>
      <w:r>
        <w:rPr>
          <w:rFonts w:hint="eastAsia" w:eastAsia="黑体" w:cs="Times New Roman"/>
          <w:color w:val="000000" w:themeColor="text1"/>
          <w:sz w:val="32"/>
          <w:szCs w:val="32"/>
          <w14:textFill>
            <w14:solidFill>
              <w14:schemeClr w14:val="tx1"/>
            </w14:solidFill>
          </w14:textFill>
        </w:rPr>
        <w:t>北证办发〔2025〕</w:t>
      </w:r>
      <w:r>
        <w:rPr>
          <w:rFonts w:eastAsia="黑体" w:cs="Times New Roman"/>
          <w:color w:val="000000" w:themeColor="text1"/>
          <w:sz w:val="32"/>
          <w:szCs w:val="32"/>
          <w14:textFill>
            <w14:solidFill>
              <w14:schemeClr w14:val="tx1"/>
            </w14:solidFill>
          </w14:textFill>
        </w:rPr>
        <w:t>101</w:t>
      </w:r>
      <w:r>
        <w:rPr>
          <w:rFonts w:hint="eastAsia" w:eastAsia="黑体" w:cs="Times New Roman"/>
          <w:color w:val="000000" w:themeColor="text1"/>
          <w:sz w:val="32"/>
          <w:szCs w:val="32"/>
          <w14:textFill>
            <w14:solidFill>
              <w14:schemeClr w14:val="tx1"/>
            </w14:solidFill>
          </w14:textFill>
        </w:rPr>
        <w:t>号</w:t>
      </w:r>
      <w:r>
        <w:rPr>
          <w:rFonts w:eastAsia="黑体" w:cs="Times New Roman"/>
          <w:color w:val="000000" w:themeColor="text1"/>
          <w:sz w:val="32"/>
          <w:szCs w:val="32"/>
          <w14:textFill>
            <w14:solidFill>
              <w14:schemeClr w14:val="tx1"/>
            </w14:solidFill>
          </w14:textFill>
        </w:rPr>
        <w:t>附件1</w:t>
      </w:r>
    </w:p>
    <w:p>
      <w:pPr>
        <w:spacing w:line="240" w:lineRule="auto"/>
        <w:ind w:firstLine="720"/>
        <w:jc w:val="both"/>
        <w:rPr>
          <w:rFonts w:ascii="方正大标宋简体" w:eastAsia="方正大标宋简体" w:cs="Times New Roman"/>
          <w:color w:val="000000" w:themeColor="text1"/>
          <w:sz w:val="36"/>
          <w14:textFill>
            <w14:solidFill>
              <w14:schemeClr w14:val="tx1"/>
            </w14:solidFill>
          </w14:textFill>
        </w:rPr>
      </w:pPr>
    </w:p>
    <w:p>
      <w:pPr>
        <w:spacing w:line="240" w:lineRule="auto"/>
        <w:ind w:firstLine="720"/>
        <w:jc w:val="both"/>
        <w:rPr>
          <w:rFonts w:ascii="方正大标宋简体" w:eastAsia="方正大标宋简体" w:cs="Times New Roman"/>
          <w:color w:val="000000" w:themeColor="text1"/>
          <w:sz w:val="36"/>
          <w:szCs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固定收益平台数据接口规范</w:t>
      </w:r>
      <w:r>
        <w:rPr>
          <w:rFonts w:eastAsia="方正大标宋简体" w:cs="Times New Roman"/>
          <w:color w:val="000000" w:themeColor="text1"/>
          <w:sz w:val="42"/>
          <w:szCs w:val="42"/>
          <w14:textFill>
            <w14:solidFill>
              <w14:schemeClr w14:val="tx1"/>
            </w14:solidFill>
          </w14:textFill>
        </w:rPr>
        <w:t>1.0版</w:t>
      </w:r>
      <w:r>
        <w:rPr>
          <w:rFonts w:hint="eastAsia" w:eastAsia="方正大标宋简体" w:cs="Times New Roman"/>
          <w:color w:val="000000" w:themeColor="text1"/>
          <w:sz w:val="42"/>
          <w:szCs w:val="42"/>
          <w14:textFill>
            <w14:solidFill>
              <w14:schemeClr w14:val="tx1"/>
            </w14:solidFill>
          </w14:textFill>
        </w:rPr>
        <w:t>通关</w:t>
      </w:r>
      <w:r>
        <w:rPr>
          <w:rFonts w:hint="eastAsia" w:ascii="方正大标宋简体" w:eastAsia="方正大标宋简体" w:cs="Times New Roman"/>
          <w:color w:val="000000" w:themeColor="text1"/>
          <w:sz w:val="42"/>
          <w:szCs w:val="42"/>
          <w14:textFill>
            <w14:solidFill>
              <w14:schemeClr w14:val="tx1"/>
            </w14:solidFill>
          </w14:textFill>
        </w:rPr>
        <w:t>测试方案</w:t>
      </w: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spacing w:line="240" w:lineRule="auto"/>
        <w:ind w:left="840" w:firstLine="640"/>
        <w:jc w:val="center"/>
        <w:rPr>
          <w:rFonts w:ascii="方正大标宋简体" w:eastAsia="方正大标宋简体" w:cs="Times New Roman"/>
          <w:color w:val="000000" w:themeColor="text1"/>
          <w:sz w:val="32"/>
          <w14:textFill>
            <w14:solidFill>
              <w14:schemeClr w14:val="tx1"/>
            </w14:solidFill>
          </w14:textFill>
        </w:rPr>
      </w:pPr>
    </w:p>
    <w:p>
      <w:pPr>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二〇二五年十一月</w:t>
      </w:r>
    </w:p>
    <w:p>
      <w:pPr>
        <w:tabs>
          <w:tab w:val="center" w:pos="4153"/>
          <w:tab w:val="left" w:pos="5595"/>
        </w:tabs>
        <w:spacing w:before="144"/>
        <w:ind w:firstLine="643"/>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p>
    <w:p>
      <w:pPr>
        <w:spacing w:before="144"/>
        <w:ind w:firstLine="480"/>
        <w:jc w:val="center"/>
        <w:rPr>
          <w:rFonts w:eastAsia="方正仿宋简体" w:cs="Times New Roman"/>
          <w:color w:val="000000" w:themeColor="text1"/>
          <w14:textFill>
            <w14:solidFill>
              <w14:schemeClr w14:val="tx1"/>
            </w14:solidFill>
          </w14:textFill>
        </w:rPr>
      </w:pPr>
    </w:p>
    <w:p>
      <w:pPr>
        <w:spacing w:before="187" w:line="480" w:lineRule="auto"/>
        <w:ind w:firstLine="560"/>
        <w:rPr>
          <w:rFonts w:eastAsia="方正仿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pageBreakBefore/>
        <w:spacing w:before="187" w:after="156" w:afterLines="50"/>
        <w:ind w:firstLine="723"/>
        <w:jc w:val="center"/>
        <w:rPr>
          <w:rFonts w:eastAsia="方正仿宋简体" w:cs="Times New Roman"/>
          <w:b/>
          <w:bCs/>
          <w:color w:val="000000" w:themeColor="text1"/>
          <w:sz w:val="36"/>
          <w:szCs w:val="24"/>
          <w14:textFill>
            <w14:solidFill>
              <w14:schemeClr w14:val="tx1"/>
            </w14:solidFill>
          </w14:textFill>
        </w:rPr>
      </w:pPr>
      <w:r>
        <w:rPr>
          <w:rFonts w:eastAsia="方正仿宋简体" w:cs="Times New Roman"/>
          <w:b/>
          <w:bCs/>
          <w:color w:val="000000" w:themeColor="text1"/>
          <w:sz w:val="36"/>
          <w:szCs w:val="24"/>
          <w14:textFill>
            <w14:solidFill>
              <w14:schemeClr w14:val="tx1"/>
            </w14:solidFill>
          </w14:textFill>
        </w:rPr>
        <w:t>目   录</w:t>
      </w:r>
    </w:p>
    <w:p>
      <w:pPr>
        <w:pStyle w:val="26"/>
        <w:tabs>
          <w:tab w:val="right" w:leader="dot" w:pos="8306"/>
        </w:tabs>
        <w:ind w:firstLine="480"/>
      </w:pPr>
      <w:r>
        <w:rPr>
          <w:rStyle w:val="44"/>
        </w:rPr>
        <w:fldChar w:fldCharType="begin"/>
      </w:r>
      <w:r>
        <w:rPr>
          <w:rStyle w:val="44"/>
          <w:rFonts w:eastAsia="方正仿宋简体"/>
        </w:rPr>
        <w:instrText xml:space="preserve"> TOC \o "1-3" \h \z \u </w:instrText>
      </w:r>
      <w:r>
        <w:rPr>
          <w:rStyle w:val="44"/>
        </w:rPr>
        <w:fldChar w:fldCharType="separate"/>
      </w:r>
      <w:r>
        <w:fldChar w:fldCharType="begin"/>
      </w:r>
      <w:r>
        <w:instrText xml:space="preserve"> HYPERLINK \l "_Toc330991095" </w:instrText>
      </w:r>
      <w:r>
        <w:fldChar w:fldCharType="separate"/>
      </w:r>
      <w:r>
        <w:rPr>
          <w:rFonts w:hint="eastAsia"/>
        </w:rPr>
        <w:t>一</w:t>
      </w:r>
      <w:r>
        <w:t>、测试目的和背景</w:t>
      </w:r>
      <w:r>
        <w:tab/>
      </w:r>
      <w:r>
        <w:fldChar w:fldCharType="begin"/>
      </w:r>
      <w:r>
        <w:instrText xml:space="preserve"> PAGEREF _Toc330991095 </w:instrText>
      </w:r>
      <w:r>
        <w:fldChar w:fldCharType="separate"/>
      </w:r>
      <w:r>
        <w:t>- 1 -</w:t>
      </w:r>
      <w:r>
        <w:fldChar w:fldCharType="end"/>
      </w:r>
      <w:r>
        <w:fldChar w:fldCharType="end"/>
      </w:r>
    </w:p>
    <w:p>
      <w:pPr>
        <w:pStyle w:val="26"/>
        <w:tabs>
          <w:tab w:val="right" w:leader="dot" w:pos="8306"/>
        </w:tabs>
        <w:ind w:firstLine="480"/>
      </w:pPr>
      <w:r>
        <w:fldChar w:fldCharType="begin"/>
      </w:r>
      <w:r>
        <w:instrText xml:space="preserve"> HYPERLINK \l "_Toc263046878" </w:instrText>
      </w:r>
      <w:r>
        <w:fldChar w:fldCharType="separate"/>
      </w:r>
      <w:r>
        <w:t>二</w:t>
      </w:r>
      <w:r>
        <w:rPr>
          <w:rFonts w:hint="eastAsia"/>
        </w:rPr>
        <w:t>、</w:t>
      </w:r>
      <w:r>
        <w:t>参测</w:t>
      </w:r>
      <w:r>
        <w:rPr>
          <w:rFonts w:hint="eastAsia"/>
        </w:rPr>
        <w:t>机构</w:t>
      </w:r>
      <w:r>
        <w:tab/>
      </w:r>
      <w:r>
        <w:fldChar w:fldCharType="begin"/>
      </w:r>
      <w:r>
        <w:instrText xml:space="preserve"> PAGEREF _Toc263046878 </w:instrText>
      </w:r>
      <w:r>
        <w:fldChar w:fldCharType="separate"/>
      </w:r>
      <w:r>
        <w:t>- 1 -</w:t>
      </w:r>
      <w:r>
        <w:fldChar w:fldCharType="end"/>
      </w:r>
      <w:r>
        <w:fldChar w:fldCharType="end"/>
      </w:r>
    </w:p>
    <w:p>
      <w:pPr>
        <w:pStyle w:val="26"/>
        <w:tabs>
          <w:tab w:val="right" w:leader="dot" w:pos="8306"/>
        </w:tabs>
        <w:ind w:firstLine="480"/>
      </w:pPr>
      <w:r>
        <w:fldChar w:fldCharType="begin"/>
      </w:r>
      <w:r>
        <w:instrText xml:space="preserve"> HYPERLINK \l "_Toc831121316" </w:instrText>
      </w:r>
      <w:r>
        <w:fldChar w:fldCharType="separate"/>
      </w:r>
      <w:r>
        <w:rPr>
          <w:rFonts w:hint="eastAsia"/>
        </w:rPr>
        <w:t>三、</w:t>
      </w:r>
      <w:r>
        <w:t>参考技术规范</w:t>
      </w:r>
      <w:r>
        <w:tab/>
      </w:r>
      <w:r>
        <w:fldChar w:fldCharType="begin"/>
      </w:r>
      <w:r>
        <w:instrText xml:space="preserve"> PAGEREF _Toc831121316 </w:instrText>
      </w:r>
      <w:r>
        <w:fldChar w:fldCharType="separate"/>
      </w:r>
      <w:r>
        <w:t>- 1 -</w:t>
      </w:r>
      <w:r>
        <w:fldChar w:fldCharType="end"/>
      </w:r>
      <w:r>
        <w:fldChar w:fldCharType="end"/>
      </w:r>
    </w:p>
    <w:p>
      <w:pPr>
        <w:pStyle w:val="26"/>
        <w:tabs>
          <w:tab w:val="right" w:leader="dot" w:pos="8306"/>
        </w:tabs>
        <w:ind w:firstLine="480"/>
      </w:pPr>
      <w:r>
        <w:fldChar w:fldCharType="begin"/>
      </w:r>
      <w:r>
        <w:instrText xml:space="preserve"> HYPERLINK \l "_Toc1608564267" </w:instrText>
      </w:r>
      <w:r>
        <w:fldChar w:fldCharType="separate"/>
      </w:r>
      <w:r>
        <w:rPr>
          <w:rFonts w:hint="eastAsia"/>
        </w:rPr>
        <w:t>四、</w:t>
      </w:r>
      <w:r>
        <w:t>参测技术系统</w:t>
      </w:r>
      <w:r>
        <w:tab/>
      </w:r>
      <w:r>
        <w:fldChar w:fldCharType="begin"/>
      </w:r>
      <w:r>
        <w:instrText xml:space="preserve"> PAGEREF _Toc1608564267 </w:instrText>
      </w:r>
      <w:r>
        <w:fldChar w:fldCharType="separate"/>
      </w:r>
      <w:r>
        <w:t>- 2 -</w:t>
      </w:r>
      <w:r>
        <w:fldChar w:fldCharType="end"/>
      </w:r>
      <w:r>
        <w:fldChar w:fldCharType="end"/>
      </w:r>
    </w:p>
    <w:p>
      <w:pPr>
        <w:pStyle w:val="26"/>
        <w:tabs>
          <w:tab w:val="right" w:leader="dot" w:pos="8306"/>
        </w:tabs>
        <w:ind w:firstLine="480"/>
      </w:pPr>
      <w:r>
        <w:fldChar w:fldCharType="begin"/>
      </w:r>
      <w:r>
        <w:instrText xml:space="preserve"> HYPERLINK \l "_Toc590547991" </w:instrText>
      </w:r>
      <w:r>
        <w:fldChar w:fldCharType="separate"/>
      </w:r>
      <w:r>
        <w:rPr>
          <w:rFonts w:hint="eastAsia"/>
        </w:rPr>
        <w:t>五、通关测试</w:t>
      </w:r>
      <w:r>
        <w:t>时间安排</w:t>
      </w:r>
      <w:r>
        <w:tab/>
      </w:r>
      <w:r>
        <w:fldChar w:fldCharType="begin"/>
      </w:r>
      <w:r>
        <w:instrText xml:space="preserve"> PAGEREF _Toc590547991 </w:instrText>
      </w:r>
      <w:r>
        <w:fldChar w:fldCharType="separate"/>
      </w:r>
      <w:r>
        <w:t>- 2 -</w:t>
      </w:r>
      <w:r>
        <w:fldChar w:fldCharType="end"/>
      </w:r>
      <w:r>
        <w:fldChar w:fldCharType="end"/>
      </w:r>
    </w:p>
    <w:p>
      <w:pPr>
        <w:pStyle w:val="26"/>
        <w:tabs>
          <w:tab w:val="right" w:leader="dot" w:pos="8306"/>
        </w:tabs>
        <w:ind w:firstLine="480"/>
      </w:pPr>
      <w:r>
        <w:fldChar w:fldCharType="begin"/>
      </w:r>
      <w:r>
        <w:instrText xml:space="preserve"> HYPERLINK \l "_Toc448090906" </w:instrText>
      </w:r>
      <w:r>
        <w:fldChar w:fldCharType="separate"/>
      </w:r>
      <w:r>
        <w:rPr>
          <w:rFonts w:hint="eastAsia"/>
        </w:rPr>
        <w:t>六、通关测试</w:t>
      </w:r>
      <w:r>
        <w:t>内容</w:t>
      </w:r>
      <w:r>
        <w:tab/>
      </w:r>
      <w:r>
        <w:fldChar w:fldCharType="begin"/>
      </w:r>
      <w:r>
        <w:instrText xml:space="preserve"> PAGEREF _Toc448090906 </w:instrText>
      </w:r>
      <w:r>
        <w:fldChar w:fldCharType="separate"/>
      </w:r>
      <w:r>
        <w:t>- 3 -</w:t>
      </w:r>
      <w:r>
        <w:fldChar w:fldCharType="end"/>
      </w:r>
      <w:r>
        <w:fldChar w:fldCharType="end"/>
      </w:r>
    </w:p>
    <w:p>
      <w:pPr>
        <w:pStyle w:val="26"/>
        <w:tabs>
          <w:tab w:val="right" w:leader="dot" w:pos="8306"/>
        </w:tabs>
        <w:ind w:firstLine="480"/>
      </w:pPr>
      <w:r>
        <w:fldChar w:fldCharType="begin"/>
      </w:r>
      <w:r>
        <w:instrText xml:space="preserve"> HYPERLINK \l "_Toc460151935" </w:instrText>
      </w:r>
      <w:r>
        <w:fldChar w:fldCharType="separate"/>
      </w:r>
      <w:r>
        <w:rPr>
          <w:rFonts w:hint="eastAsia"/>
        </w:rPr>
        <w:t>七、</w:t>
      </w:r>
      <w:r>
        <w:t>测试场景</w:t>
      </w:r>
      <w:r>
        <w:rPr>
          <w:rFonts w:hint="eastAsia"/>
        </w:rPr>
        <w:t>及相关说明</w:t>
      </w:r>
      <w:r>
        <w:tab/>
      </w:r>
      <w:r>
        <w:fldChar w:fldCharType="begin"/>
      </w:r>
      <w:r>
        <w:instrText xml:space="preserve"> PAGEREF _Toc460151935 </w:instrText>
      </w:r>
      <w:r>
        <w:fldChar w:fldCharType="separate"/>
      </w:r>
      <w:r>
        <w:t>- 3 -</w:t>
      </w:r>
      <w:r>
        <w:fldChar w:fldCharType="end"/>
      </w:r>
      <w:r>
        <w:fldChar w:fldCharType="end"/>
      </w:r>
    </w:p>
    <w:p>
      <w:pPr>
        <w:pStyle w:val="31"/>
        <w:tabs>
          <w:tab w:val="right" w:leader="dot" w:pos="8306"/>
        </w:tabs>
        <w:ind w:left="240" w:firstLine="480"/>
      </w:pPr>
      <w:r>
        <w:fldChar w:fldCharType="begin"/>
      </w:r>
      <w:r>
        <w:instrText xml:space="preserve"> HYPERLINK \l "_Toc1648677476" </w:instrText>
      </w:r>
      <w:r>
        <w:fldChar w:fldCharType="separate"/>
      </w:r>
      <w:r>
        <w:rPr>
          <w:rFonts w:hint="eastAsia"/>
          <w:szCs w:val="30"/>
        </w:rPr>
        <w:t>（一）测试场景安排</w:t>
      </w:r>
      <w:r>
        <w:tab/>
      </w:r>
      <w:r>
        <w:fldChar w:fldCharType="begin"/>
      </w:r>
      <w:r>
        <w:instrText xml:space="preserve"> PAGEREF _Toc1648677476 </w:instrText>
      </w:r>
      <w:r>
        <w:fldChar w:fldCharType="separate"/>
      </w:r>
      <w:r>
        <w:t>- 3 -</w:t>
      </w:r>
      <w:r>
        <w:fldChar w:fldCharType="end"/>
      </w:r>
      <w:r>
        <w:fldChar w:fldCharType="end"/>
      </w:r>
    </w:p>
    <w:p>
      <w:pPr>
        <w:pStyle w:val="31"/>
        <w:tabs>
          <w:tab w:val="right" w:leader="dot" w:pos="8306"/>
        </w:tabs>
        <w:ind w:left="240" w:firstLine="480"/>
      </w:pPr>
      <w:r>
        <w:fldChar w:fldCharType="begin"/>
      </w:r>
      <w:r>
        <w:instrText xml:space="preserve"> HYPERLINK \l "_Toc695317091" </w:instrText>
      </w:r>
      <w:r>
        <w:fldChar w:fldCharType="separate"/>
      </w:r>
      <w:r>
        <w:rPr>
          <w:rFonts w:hint="eastAsia"/>
          <w:szCs w:val="30"/>
        </w:rPr>
        <w:t>（二）测试说明</w:t>
      </w:r>
      <w:r>
        <w:tab/>
      </w:r>
      <w:r>
        <w:fldChar w:fldCharType="begin"/>
      </w:r>
      <w:r>
        <w:instrText xml:space="preserve"> PAGEREF _Toc695317091 </w:instrText>
      </w:r>
      <w:r>
        <w:fldChar w:fldCharType="separate"/>
      </w:r>
      <w:r>
        <w:t>- 4 -</w:t>
      </w:r>
      <w:r>
        <w:fldChar w:fldCharType="end"/>
      </w:r>
      <w:r>
        <w:fldChar w:fldCharType="end"/>
      </w:r>
    </w:p>
    <w:p>
      <w:pPr>
        <w:pStyle w:val="26"/>
        <w:tabs>
          <w:tab w:val="right" w:leader="dot" w:pos="8306"/>
        </w:tabs>
        <w:ind w:firstLine="480"/>
      </w:pPr>
      <w:r>
        <w:fldChar w:fldCharType="begin"/>
      </w:r>
      <w:r>
        <w:instrText xml:space="preserve"> HYPERLINK \l "_Toc462588408" </w:instrText>
      </w:r>
      <w:r>
        <w:fldChar w:fldCharType="separate"/>
      </w:r>
      <w:r>
        <w:rPr>
          <w:rFonts w:hint="eastAsia"/>
        </w:rPr>
        <w:t>八、通关测试</w:t>
      </w:r>
      <w:r>
        <w:t>数据准备</w:t>
      </w:r>
      <w:r>
        <w:tab/>
      </w:r>
      <w:r>
        <w:fldChar w:fldCharType="begin"/>
      </w:r>
      <w:r>
        <w:instrText xml:space="preserve"> PAGEREF _Toc462588408 </w:instrText>
      </w:r>
      <w:r>
        <w:fldChar w:fldCharType="separate"/>
      </w:r>
      <w:r>
        <w:t>- 4 -</w:t>
      </w:r>
      <w:r>
        <w:fldChar w:fldCharType="end"/>
      </w:r>
      <w:r>
        <w:fldChar w:fldCharType="end"/>
      </w:r>
    </w:p>
    <w:p>
      <w:pPr>
        <w:pStyle w:val="31"/>
        <w:tabs>
          <w:tab w:val="right" w:leader="dot" w:pos="8306"/>
        </w:tabs>
        <w:ind w:left="240" w:firstLine="480"/>
      </w:pPr>
      <w:r>
        <w:fldChar w:fldCharType="begin"/>
      </w:r>
      <w:r>
        <w:instrText xml:space="preserve"> HYPERLINK \l "_Toc294425482" </w:instrText>
      </w:r>
      <w:r>
        <w:fldChar w:fldCharType="separate"/>
      </w:r>
      <w:r>
        <w:rPr>
          <w:rFonts w:hint="eastAsia"/>
          <w:szCs w:val="30"/>
        </w:rPr>
        <w:t>（一）证券行情信息</w:t>
      </w:r>
      <w:r>
        <w:tab/>
      </w:r>
      <w:r>
        <w:fldChar w:fldCharType="begin"/>
      </w:r>
      <w:r>
        <w:instrText xml:space="preserve"> PAGEREF _Toc294425482 </w:instrText>
      </w:r>
      <w:r>
        <w:fldChar w:fldCharType="separate"/>
      </w:r>
      <w:r>
        <w:t>- 4 -</w:t>
      </w:r>
      <w:r>
        <w:fldChar w:fldCharType="end"/>
      </w:r>
      <w:r>
        <w:fldChar w:fldCharType="end"/>
      </w:r>
    </w:p>
    <w:p>
      <w:pPr>
        <w:pStyle w:val="31"/>
        <w:tabs>
          <w:tab w:val="right" w:leader="dot" w:pos="8306"/>
        </w:tabs>
        <w:ind w:left="240" w:firstLine="480"/>
      </w:pPr>
      <w:r>
        <w:fldChar w:fldCharType="begin"/>
      </w:r>
      <w:r>
        <w:instrText xml:space="preserve"> HYPERLINK \l "_Toc1818661730" </w:instrText>
      </w:r>
      <w:r>
        <w:fldChar w:fldCharType="separate"/>
      </w:r>
      <w:r>
        <w:rPr>
          <w:rFonts w:hint="eastAsia"/>
          <w:szCs w:val="30"/>
        </w:rPr>
        <w:t>（二）证券账户、交易单元、托管单元及持仓</w:t>
      </w:r>
      <w:r>
        <w:tab/>
      </w:r>
      <w:r>
        <w:fldChar w:fldCharType="begin"/>
      </w:r>
      <w:r>
        <w:instrText xml:space="preserve"> PAGEREF _Toc1818661730 </w:instrText>
      </w:r>
      <w:r>
        <w:fldChar w:fldCharType="separate"/>
      </w:r>
      <w:r>
        <w:t>- 4 -</w:t>
      </w:r>
      <w:r>
        <w:fldChar w:fldCharType="end"/>
      </w:r>
      <w:r>
        <w:fldChar w:fldCharType="end"/>
      </w:r>
    </w:p>
    <w:p>
      <w:pPr>
        <w:pStyle w:val="31"/>
        <w:tabs>
          <w:tab w:val="right" w:leader="dot" w:pos="8306"/>
        </w:tabs>
        <w:ind w:left="240" w:firstLine="480"/>
      </w:pPr>
      <w:r>
        <w:fldChar w:fldCharType="begin"/>
      </w:r>
      <w:r>
        <w:instrText xml:space="preserve"> HYPERLINK \l "_Toc1904069484" </w:instrText>
      </w:r>
      <w:r>
        <w:fldChar w:fldCharType="separate"/>
      </w:r>
      <w:r>
        <w:rPr>
          <w:rFonts w:hint="eastAsia"/>
          <w:szCs w:val="30"/>
        </w:rPr>
        <w:t>（三）交易网关、行情网关和结算网关</w:t>
      </w:r>
      <w:r>
        <w:tab/>
      </w:r>
      <w:r>
        <w:fldChar w:fldCharType="begin"/>
      </w:r>
      <w:r>
        <w:instrText xml:space="preserve"> PAGEREF _Toc1904069484 </w:instrText>
      </w:r>
      <w:r>
        <w:fldChar w:fldCharType="separate"/>
      </w:r>
      <w:r>
        <w:t>- 4 -</w:t>
      </w:r>
      <w:r>
        <w:fldChar w:fldCharType="end"/>
      </w:r>
      <w:r>
        <w:fldChar w:fldCharType="end"/>
      </w:r>
    </w:p>
    <w:p>
      <w:pPr>
        <w:pStyle w:val="31"/>
        <w:tabs>
          <w:tab w:val="right" w:leader="dot" w:pos="8306"/>
        </w:tabs>
        <w:ind w:left="240" w:firstLine="480"/>
      </w:pPr>
      <w:r>
        <w:fldChar w:fldCharType="begin"/>
      </w:r>
      <w:r>
        <w:instrText xml:space="preserve"> HYPERLINK \l "_Toc480675927" </w:instrText>
      </w:r>
      <w:r>
        <w:fldChar w:fldCharType="separate"/>
      </w:r>
      <w:r>
        <w:rPr>
          <w:rFonts w:hint="eastAsia"/>
          <w:szCs w:val="30"/>
        </w:rPr>
        <w:t>（四）FDEP小站</w:t>
      </w:r>
      <w:r>
        <w:tab/>
      </w:r>
      <w:r>
        <w:fldChar w:fldCharType="begin"/>
      </w:r>
      <w:r>
        <w:instrText xml:space="preserve"> PAGEREF _Toc480675927 </w:instrText>
      </w:r>
      <w:r>
        <w:fldChar w:fldCharType="separate"/>
      </w:r>
      <w:r>
        <w:t>- 4 -</w:t>
      </w:r>
      <w:r>
        <w:fldChar w:fldCharType="end"/>
      </w:r>
      <w:r>
        <w:fldChar w:fldCharType="end"/>
      </w:r>
    </w:p>
    <w:p>
      <w:pPr>
        <w:pStyle w:val="26"/>
        <w:tabs>
          <w:tab w:val="right" w:leader="dot" w:pos="8306"/>
        </w:tabs>
        <w:ind w:firstLine="480"/>
      </w:pPr>
      <w:r>
        <w:fldChar w:fldCharType="begin"/>
      </w:r>
      <w:r>
        <w:instrText xml:space="preserve"> HYPERLINK \l "_Toc18774233" </w:instrText>
      </w:r>
      <w:r>
        <w:fldChar w:fldCharType="separate"/>
      </w:r>
      <w:r>
        <w:rPr>
          <w:rFonts w:hint="eastAsia"/>
        </w:rPr>
        <w:t>九、通关测试</w:t>
      </w:r>
      <w:r>
        <w:t>系统接入方式</w:t>
      </w:r>
      <w:r>
        <w:tab/>
      </w:r>
      <w:r>
        <w:fldChar w:fldCharType="begin"/>
      </w:r>
      <w:r>
        <w:instrText xml:space="preserve"> PAGEREF _Toc18774233 </w:instrText>
      </w:r>
      <w:r>
        <w:fldChar w:fldCharType="separate"/>
      </w:r>
      <w:r>
        <w:t>- 5 -</w:t>
      </w:r>
      <w:r>
        <w:fldChar w:fldCharType="end"/>
      </w:r>
      <w:r>
        <w:fldChar w:fldCharType="end"/>
      </w:r>
    </w:p>
    <w:p>
      <w:pPr>
        <w:pStyle w:val="31"/>
        <w:tabs>
          <w:tab w:val="right" w:leader="dot" w:pos="8306"/>
        </w:tabs>
        <w:ind w:left="240" w:firstLine="480"/>
      </w:pPr>
      <w:r>
        <w:fldChar w:fldCharType="begin"/>
      </w:r>
      <w:r>
        <w:instrText xml:space="preserve"> HYPERLINK \l "_Toc1987001217" </w:instrText>
      </w:r>
      <w:r>
        <w:fldChar w:fldCharType="separate"/>
      </w:r>
      <w:r>
        <w:rPr>
          <w:rFonts w:hint="eastAsia"/>
          <w:szCs w:val="30"/>
        </w:rPr>
        <w:t>（一）参测机构接入深证通</w:t>
      </w:r>
      <w:r>
        <w:tab/>
      </w:r>
      <w:r>
        <w:fldChar w:fldCharType="begin"/>
      </w:r>
      <w:r>
        <w:instrText xml:space="preserve"> PAGEREF _Toc1987001217 </w:instrText>
      </w:r>
      <w:r>
        <w:fldChar w:fldCharType="separate"/>
      </w:r>
      <w:r>
        <w:t>- 5 -</w:t>
      </w:r>
      <w:r>
        <w:fldChar w:fldCharType="end"/>
      </w:r>
      <w:r>
        <w:fldChar w:fldCharType="end"/>
      </w:r>
    </w:p>
    <w:p>
      <w:pPr>
        <w:pStyle w:val="31"/>
        <w:tabs>
          <w:tab w:val="right" w:leader="dot" w:pos="8306"/>
        </w:tabs>
        <w:ind w:left="240" w:firstLine="480"/>
      </w:pPr>
      <w:r>
        <w:fldChar w:fldCharType="begin"/>
      </w:r>
      <w:r>
        <w:instrText xml:space="preserve"> HYPERLINK \l "_Toc1514433773" </w:instrText>
      </w:r>
      <w:r>
        <w:fldChar w:fldCharType="separate"/>
      </w:r>
      <w:r>
        <w:rPr>
          <w:rFonts w:hint="eastAsia"/>
          <w:szCs w:val="30"/>
        </w:rPr>
        <w:t>（二）参测机构接入中国结算</w:t>
      </w:r>
      <w:r>
        <w:tab/>
      </w:r>
      <w:r>
        <w:fldChar w:fldCharType="begin"/>
      </w:r>
      <w:r>
        <w:instrText xml:space="preserve"> PAGEREF _Toc1514433773 </w:instrText>
      </w:r>
      <w:r>
        <w:fldChar w:fldCharType="separate"/>
      </w:r>
      <w:r>
        <w:t>- 5 -</w:t>
      </w:r>
      <w:r>
        <w:fldChar w:fldCharType="end"/>
      </w:r>
      <w:r>
        <w:fldChar w:fldCharType="end"/>
      </w:r>
    </w:p>
    <w:p>
      <w:pPr>
        <w:pStyle w:val="31"/>
        <w:tabs>
          <w:tab w:val="right" w:leader="dot" w:pos="8306"/>
        </w:tabs>
        <w:ind w:left="240" w:firstLine="480"/>
      </w:pPr>
      <w:r>
        <w:fldChar w:fldCharType="begin"/>
      </w:r>
      <w:r>
        <w:instrText xml:space="preserve"> HYPERLINK \l "_Toc1110447430" </w:instrText>
      </w:r>
      <w:r>
        <w:fldChar w:fldCharType="separate"/>
      </w:r>
      <w:r>
        <w:rPr>
          <w:rFonts w:hint="eastAsia"/>
          <w:szCs w:val="30"/>
        </w:rPr>
        <w:t>（三）测试相关软件下载</w:t>
      </w:r>
      <w:r>
        <w:tab/>
      </w:r>
      <w:r>
        <w:fldChar w:fldCharType="begin"/>
      </w:r>
      <w:r>
        <w:instrText xml:space="preserve"> PAGEREF _Toc1110447430 </w:instrText>
      </w:r>
      <w:r>
        <w:fldChar w:fldCharType="separate"/>
      </w:r>
      <w:r>
        <w:t>- 5 -</w:t>
      </w:r>
      <w:r>
        <w:fldChar w:fldCharType="end"/>
      </w:r>
      <w:r>
        <w:fldChar w:fldCharType="end"/>
      </w:r>
    </w:p>
    <w:p>
      <w:pPr>
        <w:pStyle w:val="26"/>
        <w:tabs>
          <w:tab w:val="right" w:leader="dot" w:pos="8306"/>
        </w:tabs>
        <w:ind w:firstLine="480"/>
      </w:pPr>
      <w:r>
        <w:fldChar w:fldCharType="begin"/>
      </w:r>
      <w:r>
        <w:instrText xml:space="preserve"> HYPERLINK \l "_Toc2124117125" </w:instrText>
      </w:r>
      <w:r>
        <w:fldChar w:fldCharType="separate"/>
      </w:r>
      <w:r>
        <w:rPr>
          <w:rFonts w:hint="eastAsia"/>
        </w:rPr>
        <w:t>十、</w:t>
      </w:r>
      <w:r>
        <w:t>测试要求及注意事项</w:t>
      </w:r>
      <w:r>
        <w:tab/>
      </w:r>
      <w:r>
        <w:fldChar w:fldCharType="begin"/>
      </w:r>
      <w:r>
        <w:instrText xml:space="preserve"> PAGEREF _Toc2124117125 </w:instrText>
      </w:r>
      <w:r>
        <w:fldChar w:fldCharType="separate"/>
      </w:r>
      <w:r>
        <w:t>- 5 -</w:t>
      </w:r>
      <w:r>
        <w:fldChar w:fldCharType="end"/>
      </w:r>
      <w:r>
        <w:fldChar w:fldCharType="end"/>
      </w:r>
    </w:p>
    <w:p>
      <w:pPr>
        <w:pStyle w:val="26"/>
        <w:tabs>
          <w:tab w:val="right" w:leader="dot" w:pos="8306"/>
        </w:tabs>
        <w:ind w:firstLine="480"/>
      </w:pPr>
      <w:r>
        <w:fldChar w:fldCharType="begin"/>
      </w:r>
      <w:r>
        <w:instrText xml:space="preserve"> HYPERLINK \l "_Toc269177614" </w:instrText>
      </w:r>
      <w:r>
        <w:fldChar w:fldCharType="separate"/>
      </w:r>
      <w:r>
        <w:rPr>
          <w:rFonts w:hint="eastAsia"/>
        </w:rPr>
        <w:t>十一、</w:t>
      </w:r>
      <w:r>
        <w:t>联系方式</w:t>
      </w:r>
      <w:r>
        <w:tab/>
      </w:r>
      <w:r>
        <w:fldChar w:fldCharType="begin"/>
      </w:r>
      <w:r>
        <w:instrText xml:space="preserve"> PAGEREF _Toc269177614 </w:instrText>
      </w:r>
      <w:r>
        <w:fldChar w:fldCharType="separate"/>
      </w:r>
      <w:r>
        <w:t>- 6 -</w:t>
      </w:r>
      <w:r>
        <w:fldChar w:fldCharType="end"/>
      </w:r>
      <w:r>
        <w:fldChar w:fldCharType="end"/>
      </w:r>
    </w:p>
    <w:p>
      <w:pPr>
        <w:pStyle w:val="26"/>
        <w:tabs>
          <w:tab w:val="left" w:pos="400"/>
          <w:tab w:val="right" w:leader="dot" w:pos="8296"/>
        </w:tabs>
        <w:ind w:firstLine="480"/>
        <w:rPr>
          <w:rFonts w:eastAsia="方正仿宋简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eastAsia="方正仿宋简体"/>
        </w:rPr>
        <w:fldChar w:fldCharType="end"/>
      </w:r>
    </w:p>
    <w:p>
      <w:pPr>
        <w:pStyle w:val="73"/>
        <w:spacing w:beforeLines="0" w:afterLines="0" w:line="560" w:lineRule="exact"/>
        <w:ind w:firstLine="600"/>
      </w:pPr>
      <w:bookmarkStart w:id="0" w:name="_Toc366050038"/>
      <w:bookmarkStart w:id="1" w:name="_Toc374381845"/>
      <w:bookmarkStart w:id="2" w:name="_Toc375070721"/>
      <w:bookmarkStart w:id="3" w:name="_Toc376285219"/>
      <w:bookmarkStart w:id="4" w:name="_Toc375557957"/>
      <w:bookmarkStart w:id="5" w:name="_Toc1748422228"/>
      <w:bookmarkStart w:id="6" w:name="_Toc376597516"/>
      <w:bookmarkStart w:id="7" w:name="_Toc330991095"/>
      <w:bookmarkStart w:id="8" w:name="_Toc374957903"/>
      <w:bookmarkStart w:id="9" w:name="_Toc374381911"/>
      <w:bookmarkStart w:id="10" w:name="_Toc49652922"/>
      <w:r>
        <w:rPr>
          <w:rFonts w:hint="eastAsia"/>
        </w:rPr>
        <w:t>一</w:t>
      </w:r>
      <w:r>
        <w:t>、测试目的</w:t>
      </w:r>
      <w:bookmarkEnd w:id="0"/>
      <w:r>
        <w:t>和背景</w:t>
      </w:r>
      <w:bookmarkEnd w:id="1"/>
      <w:bookmarkEnd w:id="2"/>
      <w:bookmarkEnd w:id="3"/>
      <w:bookmarkEnd w:id="4"/>
      <w:bookmarkEnd w:id="5"/>
      <w:bookmarkEnd w:id="6"/>
      <w:bookmarkEnd w:id="7"/>
      <w:bookmarkEnd w:id="8"/>
      <w:bookmarkEnd w:id="9"/>
    </w:p>
    <w:p>
      <w:pPr>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为验证固定收益平台数据接口规范（V1.0）技术系统</w:t>
      </w:r>
      <w:r>
        <w:rPr>
          <w:rFonts w:hint="eastAsia" w:cs="Times New Roman"/>
          <w:color w:val="000000" w:themeColor="text1"/>
          <w:sz w:val="30"/>
          <w:szCs w:val="30"/>
          <w14:textFill>
            <w14:solidFill>
              <w14:schemeClr w14:val="tx1"/>
            </w14:solidFill>
          </w14:textFill>
        </w:rPr>
        <w:t>准备</w:t>
      </w:r>
      <w:r>
        <w:rPr>
          <w:rFonts w:cs="Times New Roman"/>
          <w:color w:val="000000" w:themeColor="text1"/>
          <w:sz w:val="30"/>
          <w:szCs w:val="30"/>
          <w14:textFill>
            <w14:solidFill>
              <w14:schemeClr w14:val="tx1"/>
            </w14:solidFill>
          </w14:textFill>
        </w:rPr>
        <w:t>情况，北京证券交易所（以下简称</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北交所</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）联合中国证券登记结算有限责任公司（以下简称</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）、深圳证券通信有限公司（以下简称</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深证通</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）共同组织本次</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w:t>
      </w:r>
    </w:p>
    <w:p>
      <w:pPr>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各参测机构应认真阅读本方案，按照要求完成测试任务，确保系统功能完备、业务流程正确。</w:t>
      </w:r>
    </w:p>
    <w:p>
      <w:pPr>
        <w:pStyle w:val="73"/>
        <w:spacing w:beforeLines="0" w:afterLines="0" w:line="560" w:lineRule="exact"/>
        <w:ind w:firstLine="600"/>
      </w:pPr>
      <w:bookmarkStart w:id="11" w:name="_Toc374957904"/>
      <w:bookmarkStart w:id="12" w:name="_Toc375070722"/>
      <w:bookmarkStart w:id="13" w:name="_Toc374381846"/>
      <w:bookmarkStart w:id="14" w:name="_Toc375557958"/>
      <w:bookmarkStart w:id="15" w:name="_Toc376597517"/>
      <w:bookmarkStart w:id="16" w:name="_Toc376285220"/>
      <w:bookmarkStart w:id="17" w:name="_Toc374381912"/>
      <w:bookmarkStart w:id="18" w:name="_Toc1894743054"/>
      <w:bookmarkStart w:id="19" w:name="_Toc263046878"/>
      <w:r>
        <w:t>二</w:t>
      </w:r>
      <w:r>
        <w:rPr>
          <w:rFonts w:hint="eastAsia"/>
        </w:rPr>
        <w:t>、</w:t>
      </w:r>
      <w:r>
        <w:t>参测</w:t>
      </w:r>
      <w:bookmarkEnd w:id="11"/>
      <w:bookmarkEnd w:id="12"/>
      <w:bookmarkEnd w:id="13"/>
      <w:bookmarkEnd w:id="14"/>
      <w:bookmarkEnd w:id="15"/>
      <w:bookmarkEnd w:id="16"/>
      <w:bookmarkEnd w:id="17"/>
      <w:r>
        <w:rPr>
          <w:rFonts w:hint="eastAsia"/>
        </w:rPr>
        <w:t>机构</w:t>
      </w:r>
      <w:bookmarkEnd w:id="18"/>
      <w:bookmarkEnd w:id="19"/>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1.北京证券交易所</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2.中国证券登记结算有限责任公司</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3.深圳证券通信有限公司</w:t>
      </w:r>
    </w:p>
    <w:p>
      <w:pPr>
        <w:spacing w:line="560" w:lineRule="exact"/>
        <w:ind w:firstLine="600"/>
        <w:jc w:val="both"/>
        <w:rPr>
          <w:rFonts w:cs="Times New Roman"/>
          <w:color w:val="000000" w:themeColor="text1"/>
          <w:sz w:val="30"/>
          <w:szCs w:val="30"/>
          <w14:textFill>
            <w14:solidFill>
              <w14:schemeClr w14:val="tx1"/>
            </w14:solidFill>
          </w14:textFill>
        </w:rPr>
      </w:pPr>
      <w:bookmarkStart w:id="20" w:name="_Toc375557959"/>
      <w:bookmarkStart w:id="21" w:name="_Toc375070723"/>
      <w:bookmarkStart w:id="22" w:name="_Toc374381913"/>
      <w:bookmarkStart w:id="23" w:name="_Toc376285221"/>
      <w:bookmarkStart w:id="24" w:name="_Toc374957905"/>
      <w:bookmarkStart w:id="25" w:name="_Toc143003900"/>
      <w:bookmarkStart w:id="26" w:name="_Toc374381847"/>
      <w:bookmarkStart w:id="27" w:name="_Toc376597518"/>
      <w:r>
        <w:rPr>
          <w:rFonts w:hint="eastAsia" w:cs="Times New Roman"/>
          <w:color w:val="000000" w:themeColor="text1"/>
          <w:sz w:val="30"/>
          <w:szCs w:val="30"/>
          <w14:textFill>
            <w14:solidFill>
              <w14:schemeClr w14:val="tx1"/>
            </w14:solidFill>
          </w14:textFill>
        </w:rPr>
        <w:t>4.证券公司等市场参与者</w:t>
      </w:r>
    </w:p>
    <w:p>
      <w:pPr>
        <w:pStyle w:val="73"/>
        <w:spacing w:beforeLines="0" w:afterLines="0" w:line="560" w:lineRule="exact"/>
        <w:ind w:firstLine="600"/>
      </w:pPr>
      <w:bookmarkStart w:id="28" w:name="_Toc831121316"/>
      <w:r>
        <w:rPr>
          <w:rFonts w:hint="eastAsia"/>
        </w:rPr>
        <w:t>三、</w:t>
      </w:r>
      <w:r>
        <w:t>参考技术规范</w:t>
      </w:r>
      <w:bookmarkEnd w:id="20"/>
      <w:bookmarkEnd w:id="21"/>
      <w:bookmarkEnd w:id="22"/>
      <w:bookmarkEnd w:id="23"/>
      <w:bookmarkEnd w:id="24"/>
      <w:bookmarkEnd w:id="25"/>
      <w:bookmarkEnd w:id="26"/>
      <w:bookmarkEnd w:id="27"/>
      <w:bookmarkEnd w:id="28"/>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w:t>
      </w:r>
      <w:r>
        <w:fldChar w:fldCharType="begin"/>
      </w:r>
      <w:r>
        <w:instrText xml:space="preserve"> HYPERLINK "https://www.bse.cn/uploads/6/file/public/202309/20230915170118_cyq3x19duw.pdf" \t "/home/yangjw/Documentsx/_self" </w:instrText>
      </w:r>
      <w:r>
        <w:fldChar w:fldCharType="separate"/>
      </w:r>
      <w:r>
        <w:rPr>
          <w:rFonts w:cs="Times New Roman"/>
          <w:color w:val="000000" w:themeColor="text1"/>
          <w:sz w:val="30"/>
          <w:szCs w:val="30"/>
          <w14:textFill>
            <w14:solidFill>
              <w14:schemeClr w14:val="tx1"/>
            </w14:solidFill>
          </w14:textFill>
        </w:rPr>
        <w:t>北京证券交易所、全国中小企业股份转让系统交易数据接口规范（二进制</w:t>
      </w:r>
      <w:r>
        <w:rPr>
          <w:rFonts w:hint="eastAsia" w:cs="Times New Roman"/>
          <w:color w:val="000000" w:themeColor="text1"/>
          <w:sz w:val="30"/>
          <w:szCs w:val="30"/>
          <w14:textFill>
            <w14:solidFill>
              <w14:schemeClr w14:val="tx1"/>
            </w14:solidFill>
          </w14:textFill>
        </w:rPr>
        <w:t>V1.0</w:t>
      </w:r>
      <w:r>
        <w:rPr>
          <w:rFonts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fldChar w:fldCharType="end"/>
      </w:r>
      <w:r>
        <w:rPr>
          <w:rFonts w:hint="eastAsia" w:cs="Times New Roman"/>
          <w:color w:val="000000" w:themeColor="text1"/>
          <w:sz w:val="30"/>
          <w:szCs w:val="30"/>
          <w14:textFill>
            <w14:solidFill>
              <w14:schemeClr w14:val="tx1"/>
            </w14:solidFill>
          </w14:textFill>
        </w:rPr>
        <w:t>》</w:t>
      </w:r>
    </w:p>
    <w:p>
      <w:pPr>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w:t>
      </w:r>
      <w:r>
        <w:fldChar w:fldCharType="begin"/>
      </w:r>
      <w:r>
        <w:instrText xml:space="preserve"> HYPERLINK "https://www.bse.cn/uploads/6/file/public/202309/20230915170118_48mwltetto.pdf" \t "/home/yangjw/Documentsx/_self" </w:instrText>
      </w:r>
      <w:r>
        <w:fldChar w:fldCharType="separate"/>
      </w:r>
      <w:r>
        <w:rPr>
          <w:rFonts w:cs="Times New Roman"/>
          <w:color w:val="000000" w:themeColor="text1"/>
          <w:sz w:val="30"/>
          <w:szCs w:val="30"/>
          <w14:textFill>
            <w14:solidFill>
              <w14:schemeClr w14:val="tx1"/>
            </w14:solidFill>
          </w14:textFill>
        </w:rPr>
        <w:t>北京证券交易所、全国中小企业股份转让系统行情数据接口规范（二进制</w:t>
      </w:r>
      <w:r>
        <w:rPr>
          <w:rFonts w:hint="eastAsia" w:cs="Times New Roman"/>
          <w:color w:val="000000" w:themeColor="text1"/>
          <w:sz w:val="30"/>
          <w:szCs w:val="30"/>
          <w14:textFill>
            <w14:solidFill>
              <w14:schemeClr w14:val="tx1"/>
            </w14:solidFill>
          </w14:textFill>
        </w:rPr>
        <w:t>V1.0</w:t>
      </w:r>
      <w:r>
        <w:rPr>
          <w:rFonts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fldChar w:fldCharType="end"/>
      </w:r>
      <w:r>
        <w:rPr>
          <w:rFonts w:hint="eastAsia" w:cs="Times New Roman"/>
          <w:color w:val="000000" w:themeColor="text1"/>
          <w:sz w:val="30"/>
          <w:szCs w:val="30"/>
          <w14:textFill>
            <w14:solidFill>
              <w14:schemeClr w14:val="tx1"/>
            </w14:solidFill>
          </w14:textFill>
        </w:rPr>
        <w:t>》</w:t>
      </w:r>
    </w:p>
    <w:p>
      <w:pPr>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北京证券交易所、全国中小企业股份转让系统数据文件接口规范（</w:t>
      </w:r>
      <w:r>
        <w:rPr>
          <w:rFonts w:hint="eastAsia" w:cs="Times New Roman"/>
          <w:color w:val="000000" w:themeColor="text1"/>
          <w:sz w:val="30"/>
          <w:szCs w:val="30"/>
          <w14:textFill>
            <w14:solidFill>
              <w14:schemeClr w14:val="tx1"/>
            </w14:solidFill>
          </w14:textFill>
        </w:rPr>
        <w:t>V1.0</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p>
    <w:p>
      <w:pPr>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w:t>
      </w:r>
      <w:r>
        <w:fldChar w:fldCharType="begin"/>
      </w:r>
      <w:r>
        <w:instrText xml:space="preserve"> HYPERLINK "https://www.bse.cn/uploads/6/file/public/202309/20230915170118_k62w7wk76g.pdf" \t "/home/yangjw/Documentsx/_self" </w:instrText>
      </w:r>
      <w:r>
        <w:fldChar w:fldCharType="separate"/>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北京证券交易所、全国中小企业股份转让系统组播行情数据分发协议（</w:t>
      </w:r>
      <w:r>
        <w:rPr>
          <w:rFonts w:hint="eastAsia" w:cs="Times New Roman"/>
          <w:color w:val="000000" w:themeColor="text1"/>
          <w:sz w:val="30"/>
          <w:szCs w:val="30"/>
          <w14:textFill>
            <w14:solidFill>
              <w14:schemeClr w14:val="tx1"/>
            </w14:solidFill>
          </w14:textFill>
        </w:rPr>
        <w:t>V1.</w:t>
      </w:r>
      <w:r>
        <w:rPr>
          <w:rFonts w:cs="Times New Roman"/>
          <w:color w:val="000000" w:themeColor="text1"/>
          <w:sz w:val="30"/>
          <w:szCs w:val="30"/>
          <w14:textFill>
            <w14:solidFill>
              <w14:schemeClr w14:val="tx1"/>
            </w14:solidFill>
          </w14:textFill>
        </w:rPr>
        <w:t>0）</w:t>
      </w:r>
      <w:r>
        <w:rPr>
          <w:rFonts w:cs="Times New Roman"/>
          <w:color w:val="000000" w:themeColor="text1"/>
          <w:sz w:val="30"/>
          <w:szCs w:val="30"/>
          <w14:textFill>
            <w14:solidFill>
              <w14:schemeClr w14:val="tx1"/>
            </w14:solidFill>
          </w14:textFill>
        </w:rPr>
        <w:fldChar w:fldCharType="end"/>
      </w:r>
      <w:r>
        <w:rPr>
          <w:rFonts w:hint="eastAsia" w:cs="Times New Roman"/>
          <w:color w:val="000000" w:themeColor="text1"/>
          <w:sz w:val="30"/>
          <w:szCs w:val="30"/>
          <w14:textFill>
            <w14:solidFill>
              <w14:schemeClr w14:val="tx1"/>
            </w14:solidFill>
          </w14:textFill>
        </w:rPr>
        <w:t>》</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5.《北京证券交易所市场参与者技术系统开发指南之债券现券交易业务</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V</w:t>
      </w:r>
      <w:r>
        <w:rPr>
          <w:rFonts w:cs="Times New Roman"/>
          <w:color w:val="000000" w:themeColor="text1"/>
          <w:sz w:val="30"/>
          <w:szCs w:val="30"/>
          <w14:textFill>
            <w14:solidFill>
              <w14:schemeClr w14:val="tx1"/>
            </w14:solidFill>
          </w14:textFill>
        </w:rPr>
        <w:t>1.0）</w:t>
      </w:r>
      <w:r>
        <w:rPr>
          <w:rFonts w:hint="eastAsia" w:cs="Times New Roman"/>
          <w:color w:val="000000" w:themeColor="text1"/>
          <w:sz w:val="30"/>
          <w:szCs w:val="30"/>
          <w14:textFill>
            <w14:solidFill>
              <w14:schemeClr w14:val="tx1"/>
            </w14:solidFill>
          </w14:textFill>
        </w:rPr>
        <w:t>》</w:t>
      </w:r>
    </w:p>
    <w:p>
      <w:pPr>
        <w:pStyle w:val="73"/>
        <w:spacing w:beforeLines="0" w:afterLines="0" w:line="560" w:lineRule="exact"/>
        <w:ind w:firstLine="600"/>
      </w:pPr>
      <w:bookmarkStart w:id="29" w:name="_Toc374957908"/>
      <w:bookmarkStart w:id="30" w:name="_Toc376285224"/>
      <w:bookmarkStart w:id="31" w:name="_Toc375070726"/>
      <w:bookmarkStart w:id="32" w:name="_Toc374381850"/>
      <w:bookmarkStart w:id="33" w:name="_Toc257742172"/>
      <w:bookmarkStart w:id="34" w:name="_Toc375557962"/>
      <w:bookmarkStart w:id="35" w:name="_Toc376597521"/>
      <w:bookmarkStart w:id="36" w:name="_Toc1608564267"/>
      <w:bookmarkStart w:id="37" w:name="_Toc374381916"/>
      <w:r>
        <w:rPr>
          <w:rFonts w:hint="eastAsia"/>
        </w:rPr>
        <w:t>四、</w:t>
      </w:r>
      <w:r>
        <w:t>参测技术系统</w:t>
      </w:r>
      <w:bookmarkEnd w:id="29"/>
      <w:bookmarkEnd w:id="30"/>
      <w:bookmarkEnd w:id="31"/>
      <w:bookmarkEnd w:id="32"/>
      <w:bookmarkEnd w:id="33"/>
      <w:bookmarkEnd w:id="34"/>
      <w:bookmarkEnd w:id="35"/>
      <w:bookmarkEnd w:id="36"/>
      <w:bookmarkEnd w:id="37"/>
    </w:p>
    <w:p>
      <w:pPr>
        <w:spacing w:line="560" w:lineRule="exact"/>
        <w:ind w:firstLine="600"/>
        <w:jc w:val="both"/>
        <w:rPr>
          <w:rFonts w:cs="Times New Roman"/>
          <w:color w:val="000000" w:themeColor="text1"/>
          <w:sz w:val="30"/>
          <w:szCs w:val="30"/>
          <w14:textFill>
            <w14:solidFill>
              <w14:schemeClr w14:val="tx1"/>
            </w14:solidFill>
          </w14:textFill>
        </w:rPr>
      </w:pPr>
      <w:bookmarkStart w:id="38" w:name="_Toc1647921772"/>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.北交所固定收益平台</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环境</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.中国结算北京市场登记结算系统</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环境</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.深证通通信系统、金融数据交换平台（FDEP）</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环境</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.证券公司</w:t>
      </w:r>
      <w:r>
        <w:rPr>
          <w:rFonts w:hint="eastAsia" w:cs="Times New Roman"/>
          <w:color w:val="000000" w:themeColor="text1"/>
          <w:sz w:val="30"/>
          <w:szCs w:val="30"/>
          <w14:textFill>
            <w14:solidFill>
              <w14:schemeClr w14:val="tx1"/>
            </w14:solidFill>
          </w14:textFill>
        </w:rPr>
        <w:t>等市场参与者</w:t>
      </w:r>
      <w:r>
        <w:rPr>
          <w:rFonts w:cs="Times New Roman"/>
          <w:color w:val="000000" w:themeColor="text1"/>
          <w:sz w:val="30"/>
          <w:szCs w:val="30"/>
          <w14:textFill>
            <w14:solidFill>
              <w14:schemeClr w14:val="tx1"/>
            </w14:solidFill>
          </w14:textFill>
        </w:rPr>
        <w:t>相关测试环境</w:t>
      </w:r>
    </w:p>
    <w:p>
      <w:pPr>
        <w:pStyle w:val="73"/>
        <w:spacing w:beforeLines="0" w:afterLines="0" w:line="560" w:lineRule="exact"/>
        <w:ind w:firstLine="600"/>
      </w:pPr>
      <w:bookmarkStart w:id="39" w:name="_Toc590547991"/>
      <w:r>
        <w:rPr>
          <w:rFonts w:hint="eastAsia"/>
        </w:rPr>
        <w:t>五、通关测试</w:t>
      </w:r>
      <w:r>
        <w:t>时间安排</w:t>
      </w:r>
      <w:bookmarkEnd w:id="38"/>
      <w:bookmarkEnd w:id="39"/>
    </w:p>
    <w:p>
      <w:pPr>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测试日期：2025年</w:t>
      </w:r>
      <w:r>
        <w:rPr>
          <w:rFonts w:hint="eastAsia" w:cs="Times New Roman"/>
          <w:color w:val="000000" w:themeColor="text1"/>
          <w:sz w:val="30"/>
          <w:szCs w:val="30"/>
          <w14:textFill>
            <w14:solidFill>
              <w14:schemeClr w14:val="tx1"/>
            </w14:solidFill>
          </w14:textFill>
        </w:rPr>
        <w:t>11月29日</w:t>
      </w:r>
      <w:r>
        <w:rPr>
          <w:rFonts w:cs="Times New Roman"/>
          <w:color w:val="000000" w:themeColor="text1"/>
          <w:sz w:val="30"/>
          <w:szCs w:val="30"/>
          <w14:textFill>
            <w14:solidFill>
              <w14:schemeClr w14:val="tx1"/>
            </w14:solidFill>
          </w14:textFill>
        </w:rPr>
        <w:t>（星期六），</w:t>
      </w:r>
      <w:r>
        <w:rPr>
          <w:rFonts w:hint="eastAsia" w:cs="Times New Roman"/>
          <w:color w:val="000000" w:themeColor="text1"/>
          <w:sz w:val="30"/>
          <w:szCs w:val="30"/>
          <w14:textFill>
            <w14:solidFill>
              <w14:schemeClr w14:val="tx1"/>
            </w14:solidFill>
          </w14:textFill>
        </w:rPr>
        <w:t>具体时间</w:t>
      </w:r>
      <w:r>
        <w:rPr>
          <w:rFonts w:cs="Times New Roman"/>
          <w:color w:val="000000" w:themeColor="text1"/>
          <w:sz w:val="30"/>
          <w:szCs w:val="30"/>
          <w14:textFill>
            <w14:solidFill>
              <w14:schemeClr w14:val="tx1"/>
            </w14:solidFill>
          </w14:textFill>
        </w:rPr>
        <w:t>安排如下：</w:t>
      </w:r>
    </w:p>
    <w:tbl>
      <w:tblPr>
        <w:tblStyle w:val="37"/>
        <w:tblW w:w="55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3062"/>
        <w:gridCol w:w="2342"/>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11" w:type="pct"/>
            <w:vMerge w:val="restart"/>
            <w:shd w:val="clear" w:color="auto" w:fill="D8D8D8" w:themeFill="background1" w:themeFillShade="D9"/>
            <w:vAlign w:val="center"/>
          </w:tcPr>
          <w:p>
            <w:pPr>
              <w:spacing w:line="520" w:lineRule="exact"/>
              <w:ind w:firstLine="0" w:firstLineChars="0"/>
              <w:jc w:val="center"/>
              <w:rPr>
                <w:rFonts w:eastAsia="楷体"/>
                <w:b/>
                <w:sz w:val="21"/>
                <w:szCs w:val="21"/>
              </w:rPr>
            </w:pPr>
            <w:r>
              <w:rPr>
                <w:rFonts w:hint="eastAsia" w:ascii="楷体" w:hAnsi="楷体" w:eastAsia="楷体"/>
                <w:b/>
                <w:szCs w:val="24"/>
              </w:rPr>
              <w:t>交易时段</w:t>
            </w:r>
          </w:p>
        </w:tc>
        <w:tc>
          <w:tcPr>
            <w:tcW w:w="4188" w:type="pct"/>
            <w:gridSpan w:val="3"/>
            <w:tcBorders>
              <w:bottom w:val="single" w:color="auto" w:sz="4" w:space="0"/>
            </w:tcBorders>
            <w:shd w:val="clear" w:color="auto" w:fill="D8D8D8" w:themeFill="background1" w:themeFillShade="D9"/>
            <w:vAlign w:val="center"/>
          </w:tcPr>
          <w:p>
            <w:pPr>
              <w:spacing w:line="520" w:lineRule="exact"/>
              <w:ind w:firstLine="0" w:firstLineChars="0"/>
              <w:jc w:val="center"/>
              <w:rPr>
                <w:rFonts w:ascii="楷体" w:hAnsi="楷体" w:eastAsia="楷体"/>
                <w:b/>
                <w:szCs w:val="24"/>
              </w:rPr>
            </w:pPr>
            <w:r>
              <w:rPr>
                <w:rFonts w:hint="eastAsia" w:ascii="楷体" w:hAnsi="楷体" w:eastAsia="楷体"/>
                <w:b/>
                <w:szCs w:val="24"/>
              </w:rPr>
              <w:t>北交所公司债券（含企业债券）现券交易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1" w:type="pct"/>
            <w:vMerge w:val="continue"/>
            <w:shd w:val="clear" w:color="auto" w:fill="auto"/>
            <w:vAlign w:val="center"/>
          </w:tcPr>
          <w:p>
            <w:pPr>
              <w:spacing w:line="520" w:lineRule="exact"/>
              <w:ind w:firstLine="0" w:firstLineChars="0"/>
              <w:jc w:val="center"/>
              <w:rPr>
                <w:rFonts w:cs="Times New Roman"/>
                <w:sz w:val="21"/>
                <w:szCs w:val="21"/>
              </w:rPr>
            </w:pPr>
          </w:p>
        </w:tc>
        <w:tc>
          <w:tcPr>
            <w:tcW w:w="1612" w:type="pct"/>
            <w:shd w:val="clear" w:color="auto" w:fill="auto"/>
            <w:vAlign w:val="center"/>
          </w:tcPr>
          <w:p>
            <w:pPr>
              <w:spacing w:line="520" w:lineRule="exact"/>
              <w:ind w:firstLine="0" w:firstLineChars="0"/>
              <w:jc w:val="center"/>
              <w:rPr>
                <w:rFonts w:ascii="楷体" w:hAnsi="楷体" w:eastAsia="楷体"/>
                <w:b/>
                <w:szCs w:val="24"/>
                <w:lang w:val="en"/>
              </w:rPr>
            </w:pPr>
            <w:r>
              <w:rPr>
                <w:rFonts w:hint="eastAsia" w:ascii="楷体" w:hAnsi="楷体" w:eastAsia="楷体"/>
                <w:b/>
                <w:szCs w:val="24"/>
              </w:rPr>
              <w:t>匹配成交方式</w:t>
            </w:r>
          </w:p>
        </w:tc>
        <w:tc>
          <w:tcPr>
            <w:tcW w:w="1237" w:type="pct"/>
            <w:shd w:val="clear" w:color="auto" w:fill="auto"/>
            <w:vAlign w:val="center"/>
          </w:tcPr>
          <w:p>
            <w:pPr>
              <w:spacing w:line="520" w:lineRule="exact"/>
              <w:ind w:firstLine="0" w:firstLineChars="0"/>
              <w:jc w:val="center"/>
              <w:rPr>
                <w:rFonts w:ascii="楷体" w:hAnsi="楷体" w:eastAsia="楷体"/>
                <w:b/>
                <w:szCs w:val="24"/>
              </w:rPr>
            </w:pPr>
            <w:r>
              <w:rPr>
                <w:rFonts w:hint="eastAsia" w:ascii="楷体" w:hAnsi="楷体" w:eastAsia="楷体"/>
                <w:b/>
                <w:szCs w:val="24"/>
              </w:rPr>
              <w:t>协商成交方式</w:t>
            </w:r>
          </w:p>
        </w:tc>
        <w:tc>
          <w:tcPr>
            <w:tcW w:w="1339" w:type="pct"/>
            <w:vAlign w:val="center"/>
          </w:tcPr>
          <w:p>
            <w:pPr>
              <w:spacing w:line="520" w:lineRule="exact"/>
              <w:ind w:firstLine="0" w:firstLineChars="0"/>
              <w:jc w:val="center"/>
              <w:rPr>
                <w:rFonts w:ascii="楷体" w:hAnsi="楷体" w:eastAsia="楷体"/>
                <w:b/>
                <w:szCs w:val="24"/>
              </w:rPr>
            </w:pPr>
            <w:r>
              <w:rPr>
                <w:rFonts w:hint="eastAsia" w:ascii="楷体" w:hAnsi="楷体" w:eastAsia="楷体"/>
                <w:b/>
                <w:szCs w:val="24"/>
              </w:rPr>
              <w:t>数据</w:t>
            </w:r>
            <w:r>
              <w:rPr>
                <w:rFonts w:ascii="楷体" w:hAnsi="楷体" w:eastAsia="楷体"/>
                <w:b/>
                <w:szCs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1" w:type="pct"/>
            <w:shd w:val="clear" w:color="auto" w:fill="auto"/>
            <w:vAlign w:val="center"/>
          </w:tcPr>
          <w:p>
            <w:pPr>
              <w:spacing w:line="520" w:lineRule="exact"/>
              <w:ind w:firstLine="120" w:firstLineChars="50"/>
              <w:jc w:val="both"/>
              <w:rPr>
                <w:rFonts w:ascii="楷体" w:hAnsi="楷体" w:eastAsia="楷体" w:cs="Times New Roman"/>
                <w:sz w:val="21"/>
                <w:szCs w:val="21"/>
                <w:lang w:val="en"/>
              </w:rPr>
            </w:pPr>
            <w:r>
              <w:rPr>
                <w:rFonts w:ascii="楷体" w:hAnsi="楷体" w:eastAsia="楷体" w:cs="宋体"/>
                <w:kern w:val="0"/>
                <w:szCs w:val="24"/>
                <w:lang w:val="en" w:bidi="ar"/>
              </w:rPr>
              <w:t>9:00-9:15</w:t>
            </w:r>
          </w:p>
        </w:tc>
        <w:tc>
          <w:tcPr>
            <w:tcW w:w="1612" w:type="pct"/>
            <w:shd w:val="clear" w:color="auto" w:fill="auto"/>
            <w:vAlign w:val="center"/>
          </w:tcPr>
          <w:p>
            <w:pPr>
              <w:spacing w:line="520" w:lineRule="exact"/>
              <w:ind w:firstLine="0" w:firstLineChars="0"/>
              <w:rPr>
                <w:rFonts w:ascii="楷体" w:hAnsi="楷体" w:eastAsia="楷体"/>
                <w:sz w:val="21"/>
                <w:szCs w:val="21"/>
              </w:rPr>
            </w:pPr>
            <w:r>
              <w:rPr>
                <w:rFonts w:ascii="楷体" w:hAnsi="楷体" w:eastAsia="楷体" w:cs="宋体"/>
                <w:kern w:val="0"/>
                <w:szCs w:val="24"/>
                <w:lang w:bidi="ar"/>
              </w:rPr>
              <w:t>不收单</w:t>
            </w:r>
          </w:p>
        </w:tc>
        <w:tc>
          <w:tcPr>
            <w:tcW w:w="1237" w:type="pct"/>
            <w:vMerge w:val="restart"/>
            <w:shd w:val="clear" w:color="auto" w:fill="auto"/>
            <w:vAlign w:val="center"/>
          </w:tcPr>
          <w:p>
            <w:pPr>
              <w:spacing w:line="520" w:lineRule="exact"/>
              <w:ind w:firstLine="0" w:firstLineChars="0"/>
              <w:rPr>
                <w:rFonts w:ascii="楷体" w:hAnsi="楷体" w:eastAsia="楷体"/>
                <w:sz w:val="21"/>
                <w:szCs w:val="21"/>
              </w:rPr>
            </w:pPr>
            <w:r>
              <w:rPr>
                <w:rFonts w:ascii="楷体" w:hAnsi="楷体" w:eastAsia="楷体" w:cs="宋体"/>
                <w:kern w:val="0"/>
                <w:szCs w:val="24"/>
                <w:lang w:bidi="ar"/>
              </w:rPr>
              <w:t>成交确认申报买入、卖出、撤单</w:t>
            </w:r>
          </w:p>
        </w:tc>
        <w:tc>
          <w:tcPr>
            <w:tcW w:w="1339" w:type="pct"/>
            <w:vMerge w:val="restart"/>
            <w:vAlign w:val="center"/>
          </w:tcPr>
          <w:p>
            <w:pPr>
              <w:spacing w:line="520" w:lineRule="exact"/>
              <w:ind w:firstLine="0" w:firstLineChars="0"/>
              <w:rPr>
                <w:rFonts w:ascii="楷体" w:hAnsi="楷体" w:eastAsia="楷体" w:cs="宋体"/>
                <w:kern w:val="0"/>
                <w:szCs w:val="24"/>
                <w:lang w:bidi="ar"/>
              </w:rPr>
            </w:pPr>
            <w:r>
              <w:rPr>
                <w:rFonts w:hint="eastAsia" w:ascii="楷体" w:hAnsi="楷体" w:eastAsia="楷体" w:cs="宋体"/>
                <w:kern w:val="0"/>
                <w:szCs w:val="24"/>
                <w:lang w:bidi="ar"/>
              </w:rPr>
              <w:t>1.参测</w:t>
            </w:r>
            <w:r>
              <w:rPr>
                <w:rFonts w:ascii="楷体" w:hAnsi="楷体" w:eastAsia="楷体" w:cs="宋体"/>
                <w:kern w:val="0"/>
                <w:szCs w:val="24"/>
                <w:lang w:bidi="ar"/>
              </w:rPr>
              <w:t>机构报送投资者</w:t>
            </w:r>
            <w:r>
              <w:rPr>
                <w:rFonts w:hint="eastAsia" w:ascii="楷体" w:hAnsi="楷体" w:eastAsia="楷体" w:cs="宋体"/>
                <w:kern w:val="0"/>
                <w:szCs w:val="24"/>
                <w:lang w:bidi="ar"/>
              </w:rPr>
              <w:t>适当性</w:t>
            </w:r>
            <w:r>
              <w:rPr>
                <w:rFonts w:ascii="楷体" w:hAnsi="楷体" w:eastAsia="楷体" w:cs="宋体"/>
                <w:kern w:val="0"/>
                <w:szCs w:val="24"/>
                <w:lang w:bidi="ar"/>
              </w:rPr>
              <w:t>管理信息库</w:t>
            </w:r>
            <w:r>
              <w:rPr>
                <w:rFonts w:hint="eastAsia" w:ascii="楷体" w:hAnsi="楷体" w:eastAsia="楷体" w:cs="宋体"/>
                <w:kern w:val="0"/>
                <w:szCs w:val="24"/>
                <w:lang w:bidi="ar"/>
              </w:rPr>
              <w:t>、债券</w:t>
            </w:r>
            <w:r>
              <w:rPr>
                <w:rFonts w:ascii="楷体" w:hAnsi="楷体" w:eastAsia="楷体" w:cs="宋体"/>
                <w:kern w:val="0"/>
                <w:szCs w:val="24"/>
                <w:lang w:bidi="ar"/>
              </w:rPr>
              <w:t>市场交易员信息</w:t>
            </w:r>
            <w:r>
              <w:rPr>
                <w:rFonts w:hint="eastAsia" w:ascii="楷体" w:hAnsi="楷体" w:eastAsia="楷体" w:cs="宋体"/>
                <w:kern w:val="0"/>
                <w:szCs w:val="24"/>
                <w:lang w:bidi="ar"/>
              </w:rPr>
              <w:t>库（16:15前</w:t>
            </w:r>
            <w:r>
              <w:rPr>
                <w:rFonts w:ascii="楷体" w:hAnsi="楷体" w:eastAsia="楷体" w:cs="宋体"/>
                <w:kern w:val="0"/>
                <w:szCs w:val="24"/>
                <w:lang w:bidi="ar"/>
              </w:rPr>
              <w:t>）</w:t>
            </w:r>
          </w:p>
          <w:p>
            <w:pPr>
              <w:spacing w:line="520" w:lineRule="exact"/>
              <w:ind w:firstLine="0" w:firstLineChars="0"/>
              <w:rPr>
                <w:rFonts w:ascii="楷体" w:hAnsi="楷体" w:eastAsia="楷体" w:cs="宋体"/>
                <w:kern w:val="0"/>
                <w:szCs w:val="24"/>
                <w:lang w:bidi="ar"/>
              </w:rPr>
            </w:pPr>
            <w:r>
              <w:rPr>
                <w:rFonts w:ascii="楷体" w:hAnsi="楷体" w:eastAsia="楷体" w:cs="宋体"/>
                <w:kern w:val="0"/>
                <w:szCs w:val="24"/>
                <w:lang w:bidi="ar"/>
              </w:rPr>
              <w:t>2.</w:t>
            </w:r>
            <w:r>
              <w:rPr>
                <w:rFonts w:hint="eastAsia" w:ascii="楷体" w:hAnsi="楷体" w:eastAsia="楷体" w:cs="宋体"/>
                <w:kern w:val="0"/>
                <w:szCs w:val="24"/>
                <w:lang w:bidi="ar"/>
              </w:rPr>
              <w:t>北交所下发</w:t>
            </w:r>
            <w:r>
              <w:rPr>
                <w:rFonts w:ascii="楷体" w:hAnsi="楷体" w:eastAsia="楷体" w:cs="宋体"/>
                <w:kern w:val="0"/>
                <w:szCs w:val="24"/>
                <w:lang w:bidi="ar"/>
              </w:rPr>
              <w:t>投资者适当性管理</w:t>
            </w:r>
            <w:r>
              <w:rPr>
                <w:rFonts w:hint="eastAsia" w:ascii="楷体" w:hAnsi="楷体" w:eastAsia="楷体" w:cs="宋体"/>
                <w:kern w:val="0"/>
                <w:szCs w:val="24"/>
                <w:lang w:bidi="ar"/>
              </w:rPr>
              <w:t>信息</w:t>
            </w:r>
            <w:r>
              <w:rPr>
                <w:rFonts w:ascii="楷体" w:hAnsi="楷体" w:eastAsia="楷体" w:cs="宋体"/>
                <w:kern w:val="0"/>
                <w:szCs w:val="24"/>
                <w:lang w:bidi="ar"/>
              </w:rPr>
              <w:t>检查库</w:t>
            </w:r>
            <w:r>
              <w:rPr>
                <w:rFonts w:hint="eastAsia" w:ascii="楷体" w:hAnsi="楷体" w:eastAsia="楷体" w:cs="宋体"/>
                <w:kern w:val="0"/>
                <w:szCs w:val="24"/>
                <w:lang w:bidi="ar"/>
              </w:rPr>
              <w:t>、债券</w:t>
            </w:r>
            <w:r>
              <w:rPr>
                <w:rFonts w:ascii="楷体" w:hAnsi="楷体" w:eastAsia="楷体" w:cs="宋体"/>
                <w:kern w:val="0"/>
                <w:szCs w:val="24"/>
                <w:lang w:bidi="ar"/>
              </w:rPr>
              <w:t>市场交易员信息</w:t>
            </w:r>
            <w:r>
              <w:rPr>
                <w:rFonts w:hint="eastAsia" w:ascii="楷体" w:hAnsi="楷体" w:eastAsia="楷体" w:cs="宋体"/>
                <w:kern w:val="0"/>
                <w:szCs w:val="24"/>
                <w:lang w:bidi="ar"/>
              </w:rPr>
              <w:t>检查</w:t>
            </w:r>
            <w:r>
              <w:rPr>
                <w:rFonts w:ascii="楷体" w:hAnsi="楷体" w:eastAsia="楷体" w:cs="宋体"/>
                <w:kern w:val="0"/>
                <w:szCs w:val="24"/>
                <w:lang w:bidi="ar"/>
              </w:rPr>
              <w:t>库</w:t>
            </w:r>
            <w:r>
              <w:rPr>
                <w:rFonts w:hint="eastAsia" w:ascii="楷体" w:hAnsi="楷体" w:eastAsia="楷体" w:cs="宋体"/>
                <w:kern w:val="0"/>
                <w:szCs w:val="24"/>
                <w:lang w:bidi="ar"/>
              </w:rPr>
              <w:t>（16:15前</w:t>
            </w:r>
            <w:r>
              <w:rPr>
                <w:rFonts w:ascii="楷体" w:hAnsi="楷体" w:eastAsia="楷体" w:cs="宋体"/>
                <w:kern w:val="0"/>
                <w:szCs w:val="24"/>
                <w:lang w:bidi="ar"/>
              </w:rPr>
              <w:t>）</w:t>
            </w:r>
          </w:p>
          <w:p>
            <w:pPr>
              <w:spacing w:line="520" w:lineRule="exact"/>
              <w:ind w:firstLine="0" w:firstLineChars="0"/>
              <w:rPr>
                <w:rFonts w:ascii="楷体" w:hAnsi="楷体" w:eastAsia="楷体" w:cs="宋体"/>
                <w:kern w:val="0"/>
                <w:szCs w:val="24"/>
                <w:lang w:bidi="ar"/>
              </w:rPr>
            </w:pPr>
            <w:r>
              <w:rPr>
                <w:rFonts w:hint="eastAsia" w:ascii="楷体" w:hAnsi="楷体" w:eastAsia="楷体" w:cs="宋体"/>
                <w:kern w:val="0"/>
                <w:szCs w:val="24"/>
                <w:lang w:bidi="ar"/>
              </w:rPr>
              <w:t>3.北交所下发</w:t>
            </w:r>
            <w:r>
              <w:rPr>
                <w:rFonts w:ascii="楷体" w:hAnsi="楷体" w:eastAsia="楷体" w:cs="宋体"/>
                <w:kern w:val="0"/>
                <w:szCs w:val="24"/>
                <w:lang w:bidi="ar"/>
              </w:rPr>
              <w:t>日终静态行情信息</w:t>
            </w:r>
            <w:r>
              <w:rPr>
                <w:rFonts w:hint="eastAsia" w:ascii="楷体" w:hAnsi="楷体" w:eastAsia="楷体" w:cs="宋体"/>
                <w:kern w:val="0"/>
                <w:szCs w:val="24"/>
                <w:lang w:bidi="ar"/>
              </w:rPr>
              <w:t>（15:3</w:t>
            </w:r>
            <w:r>
              <w:rPr>
                <w:rFonts w:ascii="楷体" w:hAnsi="楷体" w:eastAsia="楷体" w:cs="宋体"/>
                <w:kern w:val="0"/>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1" w:type="pct"/>
            <w:shd w:val="clear" w:color="auto" w:fill="auto"/>
            <w:vAlign w:val="center"/>
          </w:tcPr>
          <w:p>
            <w:pPr>
              <w:spacing w:line="520" w:lineRule="exact"/>
              <w:ind w:firstLine="120" w:firstLineChars="50"/>
              <w:jc w:val="both"/>
              <w:rPr>
                <w:rFonts w:ascii="楷体" w:hAnsi="楷体" w:eastAsia="楷体" w:cs="Times New Roman"/>
                <w:sz w:val="21"/>
                <w:szCs w:val="21"/>
                <w:lang w:val="en"/>
              </w:rPr>
            </w:pPr>
            <w:r>
              <w:rPr>
                <w:rFonts w:ascii="楷体" w:hAnsi="楷体" w:eastAsia="楷体" w:cs="宋体"/>
                <w:kern w:val="0"/>
                <w:szCs w:val="24"/>
                <w:lang w:bidi="ar"/>
              </w:rPr>
              <w:t>9:15-9:20</w:t>
            </w:r>
          </w:p>
        </w:tc>
        <w:tc>
          <w:tcPr>
            <w:tcW w:w="1612" w:type="pct"/>
            <w:shd w:val="clear" w:color="auto" w:fill="auto"/>
            <w:vAlign w:val="center"/>
          </w:tcPr>
          <w:p>
            <w:pPr>
              <w:spacing w:line="520" w:lineRule="exact"/>
              <w:ind w:firstLine="0" w:firstLineChars="0"/>
              <w:rPr>
                <w:rFonts w:ascii="楷体" w:hAnsi="楷体" w:eastAsia="楷体"/>
                <w:sz w:val="21"/>
                <w:szCs w:val="21"/>
              </w:rPr>
            </w:pPr>
            <w:r>
              <w:rPr>
                <w:rFonts w:ascii="楷体" w:hAnsi="楷体" w:eastAsia="楷体" w:cs="宋体"/>
                <w:kern w:val="0"/>
                <w:szCs w:val="24"/>
                <w:lang w:bidi="ar"/>
              </w:rPr>
              <w:t>限价申报买入、卖出、撤单</w:t>
            </w:r>
          </w:p>
        </w:tc>
        <w:tc>
          <w:tcPr>
            <w:tcW w:w="1237" w:type="pct"/>
            <w:vMerge w:val="continue"/>
            <w:shd w:val="clear" w:color="auto" w:fill="auto"/>
            <w:vAlign w:val="center"/>
          </w:tcPr>
          <w:p>
            <w:pPr>
              <w:spacing w:line="520" w:lineRule="exact"/>
              <w:ind w:firstLine="0" w:firstLineChars="0"/>
              <w:rPr>
                <w:rFonts w:ascii="楷体" w:hAnsi="楷体" w:eastAsia="楷体"/>
                <w:sz w:val="21"/>
                <w:szCs w:val="21"/>
              </w:rPr>
            </w:pPr>
          </w:p>
        </w:tc>
        <w:tc>
          <w:tcPr>
            <w:tcW w:w="1339" w:type="pct"/>
            <w:vMerge w:val="continue"/>
          </w:tcPr>
          <w:p>
            <w:pPr>
              <w:spacing w:line="520" w:lineRule="exact"/>
              <w:ind w:firstLine="0" w:firstLineChars="0"/>
              <w:rPr>
                <w:rFonts w:ascii="楷体" w:hAnsi="楷体" w:eastAsia="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1" w:type="pct"/>
            <w:shd w:val="clear" w:color="auto" w:fill="auto"/>
            <w:vAlign w:val="center"/>
          </w:tcPr>
          <w:p>
            <w:pPr>
              <w:spacing w:line="520" w:lineRule="exact"/>
              <w:ind w:firstLine="120" w:firstLineChars="50"/>
              <w:jc w:val="both"/>
              <w:rPr>
                <w:rFonts w:ascii="楷体" w:hAnsi="楷体" w:eastAsia="楷体" w:cs="宋体"/>
                <w:kern w:val="0"/>
                <w:szCs w:val="24"/>
                <w:lang w:bidi="ar"/>
              </w:rPr>
            </w:pPr>
            <w:r>
              <w:rPr>
                <w:rFonts w:ascii="楷体" w:hAnsi="楷体" w:eastAsia="楷体" w:cs="宋体"/>
                <w:kern w:val="0"/>
                <w:szCs w:val="24"/>
                <w:lang w:bidi="ar"/>
              </w:rPr>
              <w:t>9:20-9:25</w:t>
            </w:r>
          </w:p>
        </w:tc>
        <w:tc>
          <w:tcPr>
            <w:tcW w:w="1612" w:type="pct"/>
            <w:shd w:val="clear" w:color="auto" w:fill="auto"/>
            <w:vAlign w:val="center"/>
          </w:tcPr>
          <w:p>
            <w:pPr>
              <w:spacing w:line="520" w:lineRule="exact"/>
              <w:ind w:firstLine="0" w:firstLineChars="0"/>
              <w:rPr>
                <w:rFonts w:ascii="楷体" w:hAnsi="楷体" w:eastAsia="楷体" w:cs="宋体"/>
                <w:kern w:val="0"/>
                <w:szCs w:val="24"/>
                <w:lang w:bidi="ar"/>
              </w:rPr>
            </w:pPr>
            <w:r>
              <w:rPr>
                <w:rFonts w:ascii="楷体" w:hAnsi="楷体" w:eastAsia="楷体" w:cs="宋体"/>
                <w:kern w:val="0"/>
                <w:szCs w:val="24"/>
                <w:lang w:bidi="ar"/>
              </w:rPr>
              <w:t>限价申报买入、卖出</w:t>
            </w:r>
            <w:r>
              <w:rPr>
                <w:rFonts w:hint="eastAsia" w:ascii="楷体" w:hAnsi="楷体" w:eastAsia="楷体" w:cs="宋体"/>
                <w:kern w:val="0"/>
                <w:szCs w:val="24"/>
                <w:lang w:bidi="ar"/>
              </w:rPr>
              <w:t>（禁止撤单</w:t>
            </w:r>
            <w:r>
              <w:rPr>
                <w:rFonts w:ascii="楷体" w:hAnsi="楷体" w:eastAsia="楷体" w:cs="宋体"/>
                <w:kern w:val="0"/>
                <w:szCs w:val="24"/>
                <w:lang w:bidi="ar"/>
              </w:rPr>
              <w:t>）</w:t>
            </w:r>
          </w:p>
        </w:tc>
        <w:tc>
          <w:tcPr>
            <w:tcW w:w="1237" w:type="pct"/>
            <w:vMerge w:val="continue"/>
            <w:shd w:val="clear" w:color="auto" w:fill="auto"/>
            <w:vAlign w:val="center"/>
          </w:tcPr>
          <w:p>
            <w:pPr>
              <w:spacing w:line="520" w:lineRule="exact"/>
              <w:ind w:firstLine="0" w:firstLineChars="0"/>
              <w:rPr>
                <w:rFonts w:ascii="楷体" w:hAnsi="楷体" w:eastAsia="楷体"/>
                <w:sz w:val="21"/>
                <w:szCs w:val="21"/>
              </w:rPr>
            </w:pPr>
          </w:p>
        </w:tc>
        <w:tc>
          <w:tcPr>
            <w:tcW w:w="1339" w:type="pct"/>
            <w:vMerge w:val="continue"/>
          </w:tcPr>
          <w:p>
            <w:pPr>
              <w:spacing w:line="520" w:lineRule="exact"/>
              <w:ind w:firstLine="0" w:firstLineChars="0"/>
              <w:rPr>
                <w:rFonts w:ascii="楷体" w:hAnsi="楷体" w:eastAsia="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1" w:type="pct"/>
            <w:shd w:val="clear" w:color="auto" w:fill="auto"/>
            <w:vAlign w:val="center"/>
          </w:tcPr>
          <w:p>
            <w:pPr>
              <w:spacing w:line="520" w:lineRule="exact"/>
              <w:ind w:firstLine="120" w:firstLineChars="50"/>
              <w:jc w:val="both"/>
              <w:rPr>
                <w:rFonts w:ascii="楷体" w:hAnsi="楷体" w:eastAsia="楷体" w:cs="Times New Roman"/>
                <w:sz w:val="21"/>
                <w:szCs w:val="21"/>
                <w:lang w:val="en"/>
              </w:rPr>
            </w:pPr>
            <w:r>
              <w:rPr>
                <w:rFonts w:ascii="楷体" w:hAnsi="楷体" w:eastAsia="楷体" w:cs="宋体"/>
                <w:kern w:val="0"/>
                <w:szCs w:val="24"/>
                <w:lang w:bidi="ar"/>
              </w:rPr>
              <w:t xml:space="preserve">9:25-9:30 </w:t>
            </w:r>
          </w:p>
        </w:tc>
        <w:tc>
          <w:tcPr>
            <w:tcW w:w="1612" w:type="pct"/>
            <w:shd w:val="clear" w:color="auto" w:fill="auto"/>
            <w:vAlign w:val="center"/>
          </w:tcPr>
          <w:p>
            <w:pPr>
              <w:spacing w:line="520" w:lineRule="exact"/>
              <w:ind w:firstLine="0" w:firstLineChars="0"/>
              <w:rPr>
                <w:rFonts w:ascii="楷体" w:hAnsi="楷体" w:eastAsia="楷体"/>
                <w:sz w:val="21"/>
                <w:szCs w:val="21"/>
              </w:rPr>
            </w:pPr>
            <w:r>
              <w:rPr>
                <w:rFonts w:ascii="楷体" w:hAnsi="楷体" w:eastAsia="楷体" w:cs="宋体"/>
                <w:kern w:val="0"/>
                <w:szCs w:val="24"/>
                <w:lang w:bidi="ar"/>
              </w:rPr>
              <w:t>收单自动废单</w:t>
            </w:r>
          </w:p>
        </w:tc>
        <w:tc>
          <w:tcPr>
            <w:tcW w:w="1237" w:type="pct"/>
            <w:vMerge w:val="continue"/>
            <w:shd w:val="clear" w:color="auto" w:fill="auto"/>
            <w:vAlign w:val="center"/>
          </w:tcPr>
          <w:p>
            <w:pPr>
              <w:spacing w:line="520" w:lineRule="exact"/>
              <w:ind w:firstLine="0" w:firstLineChars="0"/>
              <w:rPr>
                <w:rFonts w:ascii="楷体" w:hAnsi="楷体" w:eastAsia="楷体"/>
                <w:sz w:val="21"/>
                <w:szCs w:val="21"/>
              </w:rPr>
            </w:pPr>
          </w:p>
        </w:tc>
        <w:tc>
          <w:tcPr>
            <w:tcW w:w="1339" w:type="pct"/>
            <w:vMerge w:val="continue"/>
          </w:tcPr>
          <w:p>
            <w:pPr>
              <w:spacing w:line="520" w:lineRule="exact"/>
              <w:ind w:firstLine="0" w:firstLineChars="0"/>
              <w:rPr>
                <w:rFonts w:ascii="楷体" w:hAnsi="楷体" w:eastAsia="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1" w:type="pct"/>
            <w:shd w:val="clear" w:color="auto" w:fill="auto"/>
            <w:vAlign w:val="center"/>
          </w:tcPr>
          <w:p>
            <w:pPr>
              <w:spacing w:line="520" w:lineRule="exact"/>
              <w:ind w:firstLine="120" w:firstLineChars="50"/>
              <w:jc w:val="both"/>
              <w:rPr>
                <w:rFonts w:ascii="楷体" w:hAnsi="楷体" w:eastAsia="楷体" w:cs="宋体"/>
                <w:kern w:val="0"/>
                <w:szCs w:val="24"/>
                <w:lang w:bidi="ar"/>
              </w:rPr>
            </w:pPr>
            <w:r>
              <w:rPr>
                <w:rFonts w:ascii="楷体" w:hAnsi="楷体" w:eastAsia="楷体" w:cs="宋体"/>
                <w:kern w:val="0"/>
                <w:szCs w:val="24"/>
                <w:lang w:bidi="ar"/>
              </w:rPr>
              <w:t>9:30-1</w:t>
            </w:r>
            <w:r>
              <w:rPr>
                <w:rFonts w:hint="eastAsia" w:ascii="楷体" w:hAnsi="楷体" w:eastAsia="楷体" w:cs="宋体"/>
                <w:kern w:val="0"/>
                <w:szCs w:val="24"/>
                <w:lang w:bidi="ar"/>
              </w:rPr>
              <w:t>1</w:t>
            </w:r>
            <w:r>
              <w:rPr>
                <w:rFonts w:ascii="楷体" w:hAnsi="楷体" w:eastAsia="楷体" w:cs="宋体"/>
                <w:kern w:val="0"/>
                <w:szCs w:val="24"/>
                <w:lang w:bidi="ar"/>
              </w:rPr>
              <w:t>:30</w:t>
            </w:r>
          </w:p>
        </w:tc>
        <w:tc>
          <w:tcPr>
            <w:tcW w:w="1612" w:type="pct"/>
            <w:shd w:val="clear" w:color="auto" w:fill="auto"/>
            <w:vAlign w:val="center"/>
          </w:tcPr>
          <w:p>
            <w:pPr>
              <w:spacing w:line="520" w:lineRule="exact"/>
              <w:ind w:firstLine="0" w:firstLineChars="0"/>
              <w:rPr>
                <w:rFonts w:ascii="楷体" w:hAnsi="楷体" w:eastAsia="楷体"/>
                <w:sz w:val="21"/>
                <w:szCs w:val="21"/>
              </w:rPr>
            </w:pPr>
            <w:r>
              <w:rPr>
                <w:rFonts w:ascii="楷体" w:hAnsi="楷体" w:eastAsia="楷体" w:cs="宋体"/>
                <w:kern w:val="0"/>
                <w:szCs w:val="24"/>
                <w:lang w:bidi="ar"/>
              </w:rPr>
              <w:t>限价申报买入、卖出、撤单</w:t>
            </w:r>
          </w:p>
        </w:tc>
        <w:tc>
          <w:tcPr>
            <w:tcW w:w="1237" w:type="pct"/>
            <w:vMerge w:val="continue"/>
            <w:shd w:val="clear" w:color="auto" w:fill="auto"/>
            <w:vAlign w:val="center"/>
          </w:tcPr>
          <w:p>
            <w:pPr>
              <w:spacing w:line="520" w:lineRule="exact"/>
              <w:ind w:firstLine="0" w:firstLineChars="0"/>
              <w:rPr>
                <w:rFonts w:ascii="楷体" w:hAnsi="楷体" w:eastAsia="楷体"/>
                <w:sz w:val="21"/>
                <w:szCs w:val="21"/>
              </w:rPr>
            </w:pPr>
          </w:p>
        </w:tc>
        <w:tc>
          <w:tcPr>
            <w:tcW w:w="1339" w:type="pct"/>
            <w:vMerge w:val="continue"/>
          </w:tcPr>
          <w:p>
            <w:pPr>
              <w:spacing w:line="520" w:lineRule="exact"/>
              <w:ind w:firstLine="0" w:firstLineChars="0"/>
              <w:rPr>
                <w:rFonts w:ascii="楷体" w:hAnsi="楷体" w:eastAsia="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1" w:type="pct"/>
            <w:shd w:val="clear" w:color="auto" w:fill="auto"/>
            <w:vAlign w:val="center"/>
          </w:tcPr>
          <w:p>
            <w:pPr>
              <w:spacing w:line="520" w:lineRule="exact"/>
              <w:ind w:firstLine="120" w:firstLineChars="50"/>
              <w:jc w:val="both"/>
              <w:rPr>
                <w:rFonts w:ascii="楷体" w:hAnsi="楷体" w:eastAsia="楷体" w:cs="宋体"/>
                <w:kern w:val="0"/>
                <w:szCs w:val="24"/>
                <w:lang w:bidi="ar"/>
              </w:rPr>
            </w:pPr>
            <w:r>
              <w:rPr>
                <w:rFonts w:ascii="楷体" w:hAnsi="楷体" w:eastAsia="楷体" w:cs="宋体"/>
                <w:kern w:val="0"/>
                <w:szCs w:val="24"/>
                <w:lang w:bidi="ar"/>
              </w:rPr>
              <w:t>1</w:t>
            </w:r>
            <w:r>
              <w:rPr>
                <w:rFonts w:hint="eastAsia" w:ascii="楷体" w:hAnsi="楷体" w:eastAsia="楷体" w:cs="宋体"/>
                <w:kern w:val="0"/>
                <w:szCs w:val="24"/>
                <w:lang w:bidi="ar"/>
              </w:rPr>
              <w:t>1</w:t>
            </w:r>
            <w:r>
              <w:rPr>
                <w:rFonts w:ascii="楷体" w:hAnsi="楷体" w:eastAsia="楷体" w:cs="宋体"/>
                <w:kern w:val="0"/>
                <w:szCs w:val="24"/>
                <w:lang w:bidi="ar"/>
              </w:rPr>
              <w:t>:30-1</w:t>
            </w:r>
            <w:r>
              <w:rPr>
                <w:rFonts w:hint="eastAsia" w:ascii="楷体" w:hAnsi="楷体" w:eastAsia="楷体" w:cs="宋体"/>
                <w:kern w:val="0"/>
                <w:szCs w:val="24"/>
                <w:lang w:bidi="ar"/>
              </w:rPr>
              <w:t>3</w:t>
            </w:r>
            <w:r>
              <w:rPr>
                <w:rFonts w:ascii="楷体" w:hAnsi="楷体" w:eastAsia="楷体" w:cs="宋体"/>
                <w:kern w:val="0"/>
                <w:szCs w:val="24"/>
                <w:lang w:bidi="ar"/>
              </w:rPr>
              <w:t>:</w:t>
            </w:r>
            <w:r>
              <w:rPr>
                <w:rFonts w:hint="eastAsia" w:ascii="楷体" w:hAnsi="楷体" w:eastAsia="楷体" w:cs="宋体"/>
                <w:kern w:val="0"/>
                <w:szCs w:val="24"/>
                <w:lang w:bidi="ar"/>
              </w:rPr>
              <w:t>00</w:t>
            </w:r>
          </w:p>
        </w:tc>
        <w:tc>
          <w:tcPr>
            <w:tcW w:w="1612" w:type="pct"/>
            <w:shd w:val="clear" w:color="auto" w:fill="auto"/>
            <w:vAlign w:val="center"/>
          </w:tcPr>
          <w:p>
            <w:pPr>
              <w:spacing w:line="520" w:lineRule="exact"/>
              <w:ind w:firstLine="0" w:firstLineChars="0"/>
              <w:rPr>
                <w:rFonts w:ascii="楷体" w:hAnsi="楷体" w:eastAsia="楷体"/>
                <w:sz w:val="21"/>
                <w:szCs w:val="21"/>
              </w:rPr>
            </w:pPr>
            <w:r>
              <w:rPr>
                <w:rFonts w:ascii="楷体" w:hAnsi="楷体" w:eastAsia="楷体" w:cs="宋体"/>
                <w:kern w:val="0"/>
                <w:szCs w:val="24"/>
                <w:lang w:bidi="ar"/>
              </w:rPr>
              <w:t>不收单</w:t>
            </w:r>
          </w:p>
        </w:tc>
        <w:tc>
          <w:tcPr>
            <w:tcW w:w="1237" w:type="pct"/>
            <w:shd w:val="clear" w:color="auto" w:fill="auto"/>
            <w:vAlign w:val="center"/>
          </w:tcPr>
          <w:p>
            <w:pPr>
              <w:spacing w:line="520" w:lineRule="exact"/>
              <w:ind w:firstLine="0" w:firstLineChars="0"/>
              <w:rPr>
                <w:rFonts w:ascii="楷体" w:hAnsi="楷体" w:eastAsia="楷体"/>
                <w:sz w:val="21"/>
                <w:szCs w:val="21"/>
              </w:rPr>
            </w:pPr>
            <w:r>
              <w:rPr>
                <w:rFonts w:ascii="楷体" w:hAnsi="楷体" w:eastAsia="楷体" w:cs="宋体"/>
                <w:kern w:val="0"/>
                <w:szCs w:val="24"/>
                <w:lang w:bidi="ar"/>
              </w:rPr>
              <w:t>不收单</w:t>
            </w:r>
          </w:p>
        </w:tc>
        <w:tc>
          <w:tcPr>
            <w:tcW w:w="1339" w:type="pct"/>
            <w:vMerge w:val="continue"/>
          </w:tcPr>
          <w:p>
            <w:pPr>
              <w:spacing w:line="520" w:lineRule="exact"/>
              <w:ind w:firstLine="0" w:firstLineChars="0"/>
              <w:rPr>
                <w:rFonts w:ascii="楷体" w:hAnsi="楷体" w:eastAsia="楷体" w:cs="宋体"/>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1" w:type="pct"/>
            <w:shd w:val="clear" w:color="auto" w:fill="auto"/>
            <w:vAlign w:val="center"/>
          </w:tcPr>
          <w:p>
            <w:pPr>
              <w:spacing w:line="520" w:lineRule="exact"/>
              <w:ind w:firstLine="120" w:firstLineChars="50"/>
              <w:jc w:val="both"/>
              <w:rPr>
                <w:rFonts w:ascii="楷体" w:hAnsi="楷体" w:eastAsia="楷体" w:cs="宋体"/>
                <w:kern w:val="0"/>
                <w:szCs w:val="24"/>
                <w:lang w:bidi="ar"/>
              </w:rPr>
            </w:pPr>
            <w:r>
              <w:rPr>
                <w:rFonts w:ascii="楷体" w:hAnsi="楷体" w:eastAsia="楷体" w:cs="宋体"/>
                <w:kern w:val="0"/>
                <w:szCs w:val="24"/>
                <w:lang w:bidi="ar"/>
              </w:rPr>
              <w:t>1</w:t>
            </w:r>
            <w:r>
              <w:rPr>
                <w:rFonts w:hint="eastAsia" w:ascii="楷体" w:hAnsi="楷体" w:eastAsia="楷体" w:cs="宋体"/>
                <w:kern w:val="0"/>
                <w:szCs w:val="24"/>
                <w:lang w:bidi="ar"/>
              </w:rPr>
              <w:t>3</w:t>
            </w:r>
            <w:r>
              <w:rPr>
                <w:rFonts w:ascii="楷体" w:hAnsi="楷体" w:eastAsia="楷体" w:cs="宋体"/>
                <w:kern w:val="0"/>
                <w:szCs w:val="24"/>
                <w:lang w:bidi="ar"/>
              </w:rPr>
              <w:t>:</w:t>
            </w:r>
            <w:r>
              <w:rPr>
                <w:rFonts w:hint="eastAsia" w:ascii="楷体" w:hAnsi="楷体" w:eastAsia="楷体" w:cs="宋体"/>
                <w:kern w:val="0"/>
                <w:szCs w:val="24"/>
                <w:lang w:bidi="ar"/>
              </w:rPr>
              <w:t>00</w:t>
            </w:r>
            <w:r>
              <w:rPr>
                <w:rFonts w:ascii="楷体" w:hAnsi="楷体" w:eastAsia="楷体" w:cs="宋体"/>
                <w:kern w:val="0"/>
                <w:szCs w:val="24"/>
                <w:lang w:bidi="ar"/>
              </w:rPr>
              <w:t>-1</w:t>
            </w:r>
            <w:r>
              <w:rPr>
                <w:rFonts w:hint="eastAsia" w:ascii="楷体" w:hAnsi="楷体" w:eastAsia="楷体" w:cs="宋体"/>
                <w:kern w:val="0"/>
                <w:szCs w:val="24"/>
                <w:lang w:bidi="ar"/>
              </w:rPr>
              <w:t>5</w:t>
            </w:r>
            <w:r>
              <w:rPr>
                <w:rFonts w:ascii="楷体" w:hAnsi="楷体" w:eastAsia="楷体" w:cs="宋体"/>
                <w:kern w:val="0"/>
                <w:szCs w:val="24"/>
                <w:lang w:bidi="ar"/>
              </w:rPr>
              <w:t>:30</w:t>
            </w:r>
          </w:p>
        </w:tc>
        <w:tc>
          <w:tcPr>
            <w:tcW w:w="1612" w:type="pct"/>
            <w:shd w:val="clear" w:color="auto" w:fill="auto"/>
            <w:vAlign w:val="center"/>
          </w:tcPr>
          <w:p>
            <w:pPr>
              <w:spacing w:line="520" w:lineRule="exact"/>
              <w:ind w:firstLine="0" w:firstLineChars="0"/>
              <w:rPr>
                <w:rFonts w:ascii="楷体" w:hAnsi="楷体" w:eastAsia="楷体"/>
                <w:sz w:val="21"/>
                <w:szCs w:val="21"/>
              </w:rPr>
            </w:pPr>
            <w:r>
              <w:rPr>
                <w:rFonts w:ascii="楷体" w:hAnsi="楷体" w:eastAsia="楷体" w:cs="宋体"/>
                <w:kern w:val="0"/>
                <w:szCs w:val="24"/>
                <w:lang w:bidi="ar"/>
              </w:rPr>
              <w:t>限价申报买入、卖出、撤单</w:t>
            </w:r>
          </w:p>
        </w:tc>
        <w:tc>
          <w:tcPr>
            <w:tcW w:w="1237" w:type="pct"/>
            <w:shd w:val="clear" w:color="auto" w:fill="auto"/>
            <w:vAlign w:val="center"/>
          </w:tcPr>
          <w:p>
            <w:pPr>
              <w:spacing w:line="520" w:lineRule="exact"/>
              <w:ind w:firstLine="0" w:firstLineChars="0"/>
              <w:rPr>
                <w:rFonts w:ascii="楷体" w:hAnsi="楷体" w:eastAsia="楷体"/>
                <w:sz w:val="21"/>
                <w:szCs w:val="21"/>
              </w:rPr>
            </w:pPr>
            <w:r>
              <w:rPr>
                <w:rFonts w:ascii="楷体" w:hAnsi="楷体" w:eastAsia="楷体" w:cs="宋体"/>
                <w:kern w:val="0"/>
                <w:szCs w:val="24"/>
                <w:lang w:bidi="ar"/>
              </w:rPr>
              <w:t>成交确认申报买入、卖出、撤单</w:t>
            </w:r>
          </w:p>
        </w:tc>
        <w:tc>
          <w:tcPr>
            <w:tcW w:w="1339" w:type="pct"/>
            <w:vMerge w:val="continue"/>
          </w:tcPr>
          <w:p>
            <w:pPr>
              <w:spacing w:line="520" w:lineRule="exact"/>
              <w:ind w:firstLine="0" w:firstLineChars="0"/>
              <w:rPr>
                <w:rFonts w:ascii="楷体" w:hAnsi="楷体" w:eastAsia="楷体" w:cs="宋体"/>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1" w:type="pct"/>
            <w:shd w:val="clear" w:color="auto" w:fill="auto"/>
            <w:vAlign w:val="center"/>
          </w:tcPr>
          <w:p>
            <w:pPr>
              <w:spacing w:line="520" w:lineRule="exact"/>
              <w:ind w:firstLine="120" w:firstLineChars="50"/>
              <w:jc w:val="both"/>
              <w:rPr>
                <w:rFonts w:ascii="楷体" w:hAnsi="楷体" w:eastAsia="楷体" w:cs="宋体"/>
                <w:kern w:val="0"/>
                <w:szCs w:val="24"/>
                <w:lang w:bidi="ar"/>
              </w:rPr>
            </w:pPr>
            <w:r>
              <w:rPr>
                <w:rFonts w:ascii="楷体" w:hAnsi="楷体" w:eastAsia="楷体" w:cs="宋体"/>
                <w:kern w:val="0"/>
                <w:szCs w:val="24"/>
                <w:lang w:bidi="ar"/>
              </w:rPr>
              <w:t>1</w:t>
            </w:r>
            <w:r>
              <w:rPr>
                <w:rFonts w:hint="eastAsia" w:ascii="楷体" w:hAnsi="楷体" w:eastAsia="楷体" w:cs="宋体"/>
                <w:kern w:val="0"/>
                <w:szCs w:val="24"/>
                <w:lang w:bidi="ar"/>
              </w:rPr>
              <w:t>5</w:t>
            </w:r>
            <w:r>
              <w:rPr>
                <w:rFonts w:ascii="楷体" w:hAnsi="楷体" w:eastAsia="楷体" w:cs="宋体"/>
                <w:kern w:val="0"/>
                <w:szCs w:val="24"/>
                <w:lang w:bidi="ar"/>
              </w:rPr>
              <w:t>:30-</w:t>
            </w:r>
            <w:r>
              <w:rPr>
                <w:rFonts w:hint="eastAsia" w:ascii="楷体" w:hAnsi="楷体" w:eastAsia="楷体" w:cs="宋体"/>
                <w:kern w:val="0"/>
                <w:szCs w:val="24"/>
                <w:lang w:bidi="ar"/>
              </w:rPr>
              <w:t>17:00</w:t>
            </w:r>
          </w:p>
        </w:tc>
        <w:tc>
          <w:tcPr>
            <w:tcW w:w="1612" w:type="pct"/>
            <w:shd w:val="clear" w:color="auto" w:fill="auto"/>
            <w:vAlign w:val="center"/>
          </w:tcPr>
          <w:p>
            <w:pPr>
              <w:spacing w:line="520" w:lineRule="exact"/>
              <w:ind w:firstLine="0" w:firstLineChars="0"/>
              <w:rPr>
                <w:rFonts w:ascii="楷体" w:hAnsi="楷体" w:eastAsia="楷体"/>
                <w:sz w:val="21"/>
                <w:szCs w:val="21"/>
              </w:rPr>
            </w:pPr>
            <w:r>
              <w:rPr>
                <w:rFonts w:ascii="楷体" w:hAnsi="楷体" w:eastAsia="楷体" w:cs="宋体"/>
                <w:kern w:val="0"/>
                <w:szCs w:val="24"/>
                <w:lang w:bidi="ar"/>
              </w:rPr>
              <w:t>不收单</w:t>
            </w:r>
          </w:p>
        </w:tc>
        <w:tc>
          <w:tcPr>
            <w:tcW w:w="1237" w:type="pct"/>
            <w:shd w:val="clear" w:color="auto" w:fill="auto"/>
            <w:vAlign w:val="center"/>
          </w:tcPr>
          <w:p>
            <w:pPr>
              <w:spacing w:line="520" w:lineRule="exact"/>
              <w:ind w:firstLine="0" w:firstLineChars="0"/>
              <w:rPr>
                <w:rFonts w:ascii="楷体" w:hAnsi="楷体" w:eastAsia="楷体"/>
                <w:sz w:val="21"/>
                <w:szCs w:val="21"/>
              </w:rPr>
            </w:pPr>
            <w:r>
              <w:rPr>
                <w:rFonts w:ascii="楷体" w:hAnsi="楷体" w:eastAsia="楷体" w:cs="宋体"/>
                <w:kern w:val="0"/>
                <w:szCs w:val="24"/>
                <w:lang w:bidi="ar"/>
              </w:rPr>
              <w:t>不收单</w:t>
            </w:r>
          </w:p>
        </w:tc>
        <w:tc>
          <w:tcPr>
            <w:tcW w:w="1339" w:type="pct"/>
            <w:vMerge w:val="continue"/>
            <w:vAlign w:val="center"/>
          </w:tcPr>
          <w:p>
            <w:pPr>
              <w:spacing w:line="520" w:lineRule="exact"/>
              <w:ind w:firstLine="0" w:firstLineChars="0"/>
              <w:rPr>
                <w:rFonts w:ascii="楷体" w:hAnsi="楷体" w:eastAsia="楷体" w:cs="宋体"/>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1" w:type="pct"/>
            <w:shd w:val="clear" w:color="auto" w:fill="auto"/>
            <w:vAlign w:val="center"/>
          </w:tcPr>
          <w:p>
            <w:pPr>
              <w:spacing w:line="520" w:lineRule="exact"/>
              <w:ind w:firstLine="120" w:firstLineChars="50"/>
              <w:jc w:val="both"/>
              <w:rPr>
                <w:rFonts w:ascii="楷体" w:hAnsi="楷体" w:eastAsia="楷体" w:cs="宋体"/>
                <w:kern w:val="0"/>
                <w:szCs w:val="24"/>
                <w:lang w:bidi="ar"/>
              </w:rPr>
            </w:pPr>
            <w:r>
              <w:rPr>
                <w:rFonts w:hint="eastAsia" w:ascii="楷体" w:hAnsi="楷体" w:eastAsia="楷体" w:cs="宋体"/>
                <w:kern w:val="0"/>
                <w:szCs w:val="24"/>
                <w:lang w:bidi="ar"/>
              </w:rPr>
              <w:t>17:00后</w:t>
            </w:r>
          </w:p>
        </w:tc>
        <w:tc>
          <w:tcPr>
            <w:tcW w:w="4188" w:type="pct"/>
            <w:gridSpan w:val="3"/>
            <w:shd w:val="clear" w:color="auto" w:fill="auto"/>
            <w:vAlign w:val="center"/>
          </w:tcPr>
          <w:p>
            <w:pPr>
              <w:spacing w:line="520" w:lineRule="exact"/>
              <w:ind w:firstLine="0" w:firstLineChars="0"/>
              <w:rPr>
                <w:rFonts w:ascii="楷体" w:hAnsi="楷体" w:eastAsia="楷体" w:cs="宋体"/>
                <w:kern w:val="0"/>
                <w:szCs w:val="24"/>
                <w:lang w:bidi="ar"/>
              </w:rPr>
            </w:pPr>
            <w:r>
              <w:rPr>
                <w:rFonts w:hint="eastAsia" w:ascii="楷体" w:hAnsi="楷体" w:eastAsia="楷体" w:cs="宋体"/>
                <w:kern w:val="0"/>
                <w:szCs w:val="24"/>
                <w:lang w:bidi="ar"/>
              </w:rPr>
              <w:t>17:00开始日终处理，北交所</w:t>
            </w:r>
            <w:r>
              <w:rPr>
                <w:rFonts w:ascii="楷体" w:hAnsi="楷体" w:eastAsia="楷体" w:cs="宋体"/>
                <w:kern w:val="0"/>
                <w:szCs w:val="24"/>
                <w:lang w:bidi="ar"/>
              </w:rPr>
              <w:t>下发</w:t>
            </w:r>
            <w:r>
              <w:rPr>
                <w:rFonts w:hint="eastAsia" w:ascii="楷体" w:hAnsi="楷体" w:eastAsia="楷体" w:cs="宋体"/>
                <w:kern w:val="0"/>
                <w:szCs w:val="24"/>
                <w:lang w:bidi="ar"/>
              </w:rPr>
              <w:t>投资者</w:t>
            </w:r>
            <w:r>
              <w:rPr>
                <w:rFonts w:ascii="楷体" w:hAnsi="楷体" w:eastAsia="楷体" w:cs="宋体"/>
                <w:kern w:val="0"/>
                <w:szCs w:val="24"/>
                <w:lang w:bidi="ar"/>
              </w:rPr>
              <w:t>适当性</w:t>
            </w:r>
            <w:r>
              <w:rPr>
                <w:rFonts w:hint="eastAsia" w:ascii="楷体" w:hAnsi="楷体" w:eastAsia="楷体" w:cs="宋体"/>
                <w:kern w:val="0"/>
                <w:szCs w:val="24"/>
                <w:lang w:bidi="ar"/>
              </w:rPr>
              <w:t>管理</w:t>
            </w:r>
            <w:r>
              <w:rPr>
                <w:rFonts w:ascii="楷体" w:hAnsi="楷体" w:eastAsia="楷体" w:cs="宋体"/>
                <w:kern w:val="0"/>
                <w:szCs w:val="24"/>
                <w:lang w:bidi="ar"/>
              </w:rPr>
              <w:t>信息确认</w:t>
            </w:r>
            <w:r>
              <w:rPr>
                <w:rFonts w:hint="eastAsia" w:ascii="楷体" w:hAnsi="楷体" w:eastAsia="楷体" w:cs="宋体"/>
                <w:kern w:val="0"/>
                <w:szCs w:val="24"/>
                <w:lang w:bidi="ar"/>
              </w:rPr>
              <w:t>库</w:t>
            </w:r>
            <w:r>
              <w:rPr>
                <w:rFonts w:ascii="楷体" w:hAnsi="楷体" w:eastAsia="楷体" w:cs="宋体"/>
                <w:kern w:val="0"/>
                <w:szCs w:val="24"/>
                <w:lang w:bidi="ar"/>
              </w:rPr>
              <w:t>、</w:t>
            </w:r>
            <w:r>
              <w:rPr>
                <w:rFonts w:hint="eastAsia" w:ascii="楷体" w:hAnsi="楷体" w:eastAsia="楷体" w:cs="宋体"/>
                <w:kern w:val="0"/>
                <w:szCs w:val="24"/>
                <w:lang w:bidi="ar"/>
              </w:rPr>
              <w:t>债券</w:t>
            </w:r>
            <w:r>
              <w:rPr>
                <w:rFonts w:ascii="楷体" w:hAnsi="楷体" w:eastAsia="楷体" w:cs="宋体"/>
                <w:kern w:val="0"/>
                <w:szCs w:val="24"/>
                <w:lang w:bidi="ar"/>
              </w:rPr>
              <w:t>市场交易员信息</w:t>
            </w:r>
            <w:r>
              <w:rPr>
                <w:rFonts w:hint="eastAsia" w:ascii="楷体" w:hAnsi="楷体" w:eastAsia="楷体" w:cs="宋体"/>
                <w:kern w:val="0"/>
                <w:szCs w:val="24"/>
                <w:lang w:bidi="ar"/>
              </w:rPr>
              <w:t>确认</w:t>
            </w:r>
            <w:r>
              <w:rPr>
                <w:rFonts w:ascii="楷体" w:hAnsi="楷体" w:eastAsia="楷体" w:cs="宋体"/>
                <w:kern w:val="0"/>
                <w:szCs w:val="24"/>
                <w:lang w:bidi="ar"/>
              </w:rPr>
              <w:t>库</w:t>
            </w:r>
            <w:r>
              <w:rPr>
                <w:rFonts w:hint="eastAsia" w:ascii="楷体" w:hAnsi="楷体" w:eastAsia="楷体" w:cs="宋体"/>
                <w:kern w:val="0"/>
                <w:szCs w:val="24"/>
                <w:lang w:bidi="ar"/>
              </w:rPr>
              <w:t>、</w:t>
            </w:r>
            <w:r>
              <w:rPr>
                <w:rFonts w:ascii="楷体" w:hAnsi="楷体" w:eastAsia="楷体" w:cs="宋体"/>
                <w:kern w:val="0"/>
                <w:szCs w:val="24"/>
                <w:lang w:bidi="ar"/>
              </w:rPr>
              <w:t>静态交易参考信息</w:t>
            </w:r>
            <w:r>
              <w:rPr>
                <w:rFonts w:hint="eastAsia" w:ascii="楷体" w:hAnsi="楷体" w:eastAsia="楷体" w:cs="宋体"/>
                <w:kern w:val="0"/>
                <w:szCs w:val="24"/>
                <w:lang w:bidi="ar"/>
              </w:rPr>
              <w:t>。</w:t>
            </w:r>
          </w:p>
        </w:tc>
      </w:tr>
    </w:tbl>
    <w:p>
      <w:pPr>
        <w:pStyle w:val="73"/>
        <w:spacing w:beforeLines="0" w:afterLines="0" w:line="560" w:lineRule="exact"/>
        <w:ind w:firstLine="600"/>
      </w:pPr>
      <w:bookmarkStart w:id="40" w:name="_Toc376597522"/>
      <w:bookmarkStart w:id="41" w:name="_Toc448090906"/>
      <w:bookmarkStart w:id="42" w:name="_Toc1455581406"/>
      <w:r>
        <w:rPr>
          <w:rFonts w:hint="eastAsia"/>
        </w:rPr>
        <w:t>六、通关测试</w:t>
      </w:r>
      <w:r>
        <w:t>内容</w:t>
      </w:r>
      <w:bookmarkEnd w:id="40"/>
      <w:bookmarkEnd w:id="41"/>
      <w:bookmarkEnd w:id="42"/>
    </w:p>
    <w:p>
      <w:pPr>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验证各机构技术系统是否已按</w:t>
      </w:r>
      <w:r>
        <w:rPr>
          <w:rFonts w:hint="eastAsia" w:cs="Times New Roman"/>
          <w:color w:val="000000" w:themeColor="text1"/>
          <w:sz w:val="30"/>
          <w:szCs w:val="30"/>
          <w14:textFill>
            <w14:solidFill>
              <w14:schemeClr w14:val="tx1"/>
            </w14:solidFill>
          </w14:textFill>
        </w:rPr>
        <w:t>相关数据接口规范</w:t>
      </w:r>
      <w:r>
        <w:rPr>
          <w:rFonts w:cs="Times New Roman"/>
          <w:color w:val="000000" w:themeColor="text1"/>
          <w:sz w:val="30"/>
          <w:szCs w:val="30"/>
          <w14:textFill>
            <w14:solidFill>
              <w14:schemeClr w14:val="tx1"/>
            </w14:solidFill>
          </w14:textFill>
        </w:rPr>
        <w:t>完成改造并具备上线条件。</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.验证固定收益平台能否正确接收、处理交易申报，返回订单状态与剩余数量字段，发布行情与交易参考信息。</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.验证中国结算系统能否正确处理成交数据、完成清算并下发结果。</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.验证深证通系统能否稳定转发交易、行情数据，FDEP能否正常传输各类文件。</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.验证市场</w:t>
      </w:r>
      <w:r>
        <w:rPr>
          <w:rFonts w:hint="eastAsia" w:cs="Times New Roman"/>
          <w:color w:val="000000" w:themeColor="text1"/>
          <w:sz w:val="30"/>
          <w:szCs w:val="30"/>
          <w14:textFill>
            <w14:solidFill>
              <w14:schemeClr w14:val="tx1"/>
            </w14:solidFill>
          </w14:textFill>
        </w:rPr>
        <w:t>参与者</w:t>
      </w:r>
      <w:r>
        <w:rPr>
          <w:rFonts w:cs="Times New Roman"/>
          <w:color w:val="000000" w:themeColor="text1"/>
          <w:sz w:val="30"/>
          <w:szCs w:val="30"/>
          <w14:textFill>
            <w14:solidFill>
              <w14:schemeClr w14:val="tx1"/>
            </w14:solidFill>
          </w14:textFill>
        </w:rPr>
        <w:t>能否正确处理新字段（订单状态、剩余数量）及交易会话状态消息。</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.验证债券现券交易业务全流程运行正常，包括匹配成交、协商成交、盘中临停、分期偿还等场景。</w:t>
      </w:r>
    </w:p>
    <w:p>
      <w:pPr>
        <w:pStyle w:val="73"/>
        <w:spacing w:beforeLines="0" w:afterLines="0" w:line="560" w:lineRule="exact"/>
        <w:ind w:firstLine="600"/>
      </w:pPr>
      <w:bookmarkStart w:id="43" w:name="_Toc460151935"/>
      <w:bookmarkStart w:id="44" w:name="_Toc1037702227"/>
      <w:r>
        <w:rPr>
          <w:rFonts w:hint="eastAsia"/>
        </w:rPr>
        <w:t>七、</w:t>
      </w:r>
      <w:r>
        <w:t>测试场景</w:t>
      </w:r>
      <w:r>
        <w:rPr>
          <w:rFonts w:hint="eastAsia"/>
        </w:rPr>
        <w:t>及相关说明</w:t>
      </w:r>
      <w:bookmarkEnd w:id="43"/>
      <w:bookmarkEnd w:id="44"/>
    </w:p>
    <w:p>
      <w:pPr>
        <w:pStyle w:val="74"/>
        <w:spacing w:before="0" w:beforeLines="0" w:after="0" w:afterLines="0" w:line="560" w:lineRule="exact"/>
        <w:ind w:firstLine="602"/>
        <w:rPr>
          <w:sz w:val="30"/>
          <w:szCs w:val="30"/>
        </w:rPr>
      </w:pPr>
      <w:bookmarkStart w:id="45" w:name="_Toc1648677476"/>
      <w:r>
        <w:rPr>
          <w:rFonts w:hint="eastAsia"/>
          <w:sz w:val="30"/>
          <w:szCs w:val="30"/>
        </w:rPr>
        <w:t>（一）测试场景安排</w:t>
      </w:r>
      <w:bookmarkEnd w:id="45"/>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468"/>
        <w:gridCol w:w="1562"/>
        <w:gridCol w:w="1524"/>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1" w:type="dxa"/>
            <w:shd w:val="clear" w:color="auto" w:fill="D0CECE" w:themeFill="background2" w:themeFillShade="E6"/>
            <w:vAlign w:val="center"/>
          </w:tcPr>
          <w:p>
            <w:pPr>
              <w:spacing w:line="520" w:lineRule="exact"/>
              <w:ind w:firstLine="0" w:firstLineChars="0"/>
              <w:jc w:val="center"/>
              <w:rPr>
                <w:rFonts w:ascii="楷体" w:hAnsi="楷体" w:eastAsia="楷体"/>
                <w:b/>
                <w:szCs w:val="24"/>
              </w:rPr>
            </w:pPr>
            <w:r>
              <w:rPr>
                <w:rFonts w:hint="eastAsia" w:ascii="楷体" w:hAnsi="楷体" w:eastAsia="楷体"/>
                <w:b/>
                <w:szCs w:val="24"/>
              </w:rPr>
              <w:t>业务类型</w:t>
            </w:r>
          </w:p>
        </w:tc>
        <w:tc>
          <w:tcPr>
            <w:tcW w:w="1468" w:type="dxa"/>
            <w:shd w:val="clear" w:color="auto" w:fill="D0CECE" w:themeFill="background2" w:themeFillShade="E6"/>
            <w:vAlign w:val="center"/>
          </w:tcPr>
          <w:p>
            <w:pPr>
              <w:spacing w:line="520" w:lineRule="exact"/>
              <w:ind w:firstLine="0" w:firstLineChars="0"/>
              <w:jc w:val="center"/>
              <w:rPr>
                <w:rFonts w:ascii="楷体" w:hAnsi="楷体" w:eastAsia="楷体"/>
                <w:b/>
                <w:szCs w:val="24"/>
              </w:rPr>
            </w:pPr>
            <w:r>
              <w:rPr>
                <w:rFonts w:hint="eastAsia" w:ascii="楷体" w:hAnsi="楷体" w:eastAsia="楷体"/>
                <w:b/>
                <w:szCs w:val="24"/>
              </w:rPr>
              <w:t>证券代码</w:t>
            </w:r>
          </w:p>
        </w:tc>
        <w:tc>
          <w:tcPr>
            <w:tcW w:w="1562" w:type="dxa"/>
            <w:shd w:val="clear" w:color="auto" w:fill="D0CECE" w:themeFill="background2" w:themeFillShade="E6"/>
            <w:vAlign w:val="center"/>
          </w:tcPr>
          <w:p>
            <w:pPr>
              <w:spacing w:line="520" w:lineRule="exact"/>
              <w:ind w:firstLine="0" w:firstLineChars="0"/>
              <w:jc w:val="center"/>
              <w:rPr>
                <w:rFonts w:ascii="楷体" w:hAnsi="楷体" w:eastAsia="楷体"/>
                <w:b/>
                <w:szCs w:val="24"/>
              </w:rPr>
            </w:pPr>
            <w:r>
              <w:rPr>
                <w:rFonts w:hint="eastAsia" w:ascii="楷体" w:hAnsi="楷体" w:eastAsia="楷体"/>
                <w:b/>
                <w:szCs w:val="24"/>
              </w:rPr>
              <w:t>操作日</w:t>
            </w:r>
          </w:p>
        </w:tc>
        <w:tc>
          <w:tcPr>
            <w:tcW w:w="1524" w:type="dxa"/>
            <w:shd w:val="clear" w:color="auto" w:fill="D0CECE" w:themeFill="background2" w:themeFillShade="E6"/>
            <w:vAlign w:val="center"/>
          </w:tcPr>
          <w:p>
            <w:pPr>
              <w:spacing w:line="520" w:lineRule="exact"/>
              <w:ind w:firstLine="0" w:firstLineChars="0"/>
              <w:jc w:val="center"/>
              <w:rPr>
                <w:rFonts w:ascii="楷体" w:hAnsi="楷体" w:eastAsia="楷体"/>
                <w:b/>
                <w:szCs w:val="24"/>
              </w:rPr>
            </w:pPr>
            <w:r>
              <w:rPr>
                <w:rFonts w:hint="eastAsia" w:ascii="楷体" w:hAnsi="楷体" w:eastAsia="楷体"/>
                <w:b/>
                <w:szCs w:val="24"/>
              </w:rPr>
              <w:t>生效日</w:t>
            </w:r>
          </w:p>
        </w:tc>
        <w:tc>
          <w:tcPr>
            <w:tcW w:w="2439" w:type="dxa"/>
            <w:shd w:val="clear" w:color="auto" w:fill="D0CECE" w:themeFill="background2" w:themeFillShade="E6"/>
            <w:vAlign w:val="center"/>
          </w:tcPr>
          <w:p>
            <w:pPr>
              <w:spacing w:line="520" w:lineRule="exact"/>
              <w:ind w:firstLine="0" w:firstLineChars="0"/>
              <w:jc w:val="center"/>
              <w:rPr>
                <w:rFonts w:ascii="楷体" w:hAnsi="楷体" w:eastAsia="楷体"/>
                <w:b/>
                <w:szCs w:val="24"/>
                <w:lang w:val="en"/>
              </w:rPr>
            </w:pPr>
            <w:r>
              <w:rPr>
                <w:rFonts w:hint="eastAsia" w:ascii="楷体" w:hAnsi="楷体" w:eastAsia="楷体"/>
                <w:b/>
                <w:szCs w:val="24"/>
              </w:rPr>
              <w:t>业务安排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1" w:type="dxa"/>
            <w:vAlign w:val="center"/>
          </w:tcPr>
          <w:p>
            <w:pPr>
              <w:spacing w:line="520" w:lineRule="exact"/>
              <w:ind w:firstLine="0" w:firstLineChars="0"/>
              <w:jc w:val="center"/>
              <w:rPr>
                <w:rFonts w:ascii="仿宋" w:hAnsi="仿宋"/>
                <w:szCs w:val="24"/>
              </w:rPr>
            </w:pPr>
            <w:r>
              <w:rPr>
                <w:rFonts w:hint="eastAsia" w:ascii="仿宋" w:hAnsi="仿宋"/>
                <w:szCs w:val="24"/>
              </w:rPr>
              <w:t>现券交易</w:t>
            </w:r>
          </w:p>
        </w:tc>
        <w:tc>
          <w:tcPr>
            <w:tcW w:w="1468" w:type="dxa"/>
            <w:vAlign w:val="center"/>
          </w:tcPr>
          <w:p>
            <w:pPr>
              <w:spacing w:line="520" w:lineRule="exact"/>
              <w:ind w:firstLine="0" w:firstLineChars="0"/>
              <w:jc w:val="center"/>
              <w:rPr>
                <w:rFonts w:cs="Times New Roman"/>
                <w:szCs w:val="24"/>
              </w:rPr>
            </w:pPr>
            <w:r>
              <w:rPr>
                <w:rFonts w:hint="eastAsia" w:cs="Times New Roman"/>
                <w:szCs w:val="24"/>
              </w:rPr>
              <w:t>8</w:t>
            </w:r>
            <w:r>
              <w:rPr>
                <w:rFonts w:cs="Times New Roman"/>
                <w:szCs w:val="24"/>
              </w:rPr>
              <w:t>21003</w:t>
            </w:r>
          </w:p>
          <w:p>
            <w:pPr>
              <w:spacing w:line="520" w:lineRule="exact"/>
              <w:ind w:firstLine="0" w:firstLineChars="0"/>
              <w:jc w:val="center"/>
              <w:rPr>
                <w:rFonts w:cs="Times New Roman"/>
                <w:szCs w:val="24"/>
              </w:rPr>
            </w:pPr>
            <w:r>
              <w:rPr>
                <w:rFonts w:hint="eastAsia" w:cs="Times New Roman"/>
                <w:szCs w:val="24"/>
              </w:rPr>
              <w:t>8210</w:t>
            </w:r>
            <w:r>
              <w:rPr>
                <w:rFonts w:cs="Times New Roman"/>
                <w:szCs w:val="24"/>
              </w:rPr>
              <w:t>14</w:t>
            </w:r>
          </w:p>
          <w:p>
            <w:pPr>
              <w:spacing w:line="520" w:lineRule="exact"/>
              <w:ind w:firstLine="0" w:firstLineChars="0"/>
              <w:jc w:val="center"/>
              <w:rPr>
                <w:rFonts w:cs="Times New Roman"/>
                <w:szCs w:val="24"/>
              </w:rPr>
            </w:pPr>
            <w:r>
              <w:rPr>
                <w:rFonts w:hint="eastAsia" w:cs="Times New Roman"/>
                <w:szCs w:val="24"/>
              </w:rPr>
              <w:t>8210</w:t>
            </w:r>
            <w:r>
              <w:rPr>
                <w:rFonts w:cs="Times New Roman"/>
                <w:szCs w:val="24"/>
              </w:rPr>
              <w:t>15</w:t>
            </w:r>
          </w:p>
        </w:tc>
        <w:tc>
          <w:tcPr>
            <w:tcW w:w="1562" w:type="dxa"/>
            <w:vAlign w:val="center"/>
          </w:tcPr>
          <w:p>
            <w:pPr>
              <w:spacing w:line="520" w:lineRule="exact"/>
              <w:ind w:firstLine="0" w:firstLineChars="0"/>
              <w:jc w:val="center"/>
              <w:rPr>
                <w:rFonts w:cs="Times New Roman"/>
                <w:szCs w:val="24"/>
              </w:rPr>
            </w:pPr>
            <w:r>
              <w:rPr>
                <w:rFonts w:hint="eastAsia" w:cs="Times New Roman"/>
                <w:szCs w:val="24"/>
              </w:rPr>
              <w:t>——</w:t>
            </w:r>
          </w:p>
        </w:tc>
        <w:tc>
          <w:tcPr>
            <w:tcW w:w="1524" w:type="dxa"/>
            <w:vAlign w:val="center"/>
          </w:tcPr>
          <w:p>
            <w:pPr>
              <w:spacing w:line="520" w:lineRule="exact"/>
              <w:ind w:firstLine="0" w:firstLineChars="0"/>
              <w:jc w:val="center"/>
              <w:rPr>
                <w:rFonts w:cs="Times New Roman"/>
                <w:szCs w:val="24"/>
              </w:rPr>
            </w:pPr>
            <w:r>
              <w:rPr>
                <w:rFonts w:hint="eastAsia" w:cs="Times New Roman"/>
                <w:szCs w:val="24"/>
              </w:rPr>
              <w:t>——</w:t>
            </w:r>
          </w:p>
        </w:tc>
        <w:tc>
          <w:tcPr>
            <w:tcW w:w="2439" w:type="dxa"/>
            <w:vAlign w:val="center"/>
          </w:tcPr>
          <w:p>
            <w:pPr>
              <w:spacing w:line="520" w:lineRule="exact"/>
              <w:ind w:firstLine="0" w:firstLineChars="0"/>
              <w:jc w:val="center"/>
              <w:rPr>
                <w:rFonts w:cs="Times New Roman"/>
                <w:szCs w:val="24"/>
              </w:rPr>
            </w:pPr>
            <w:r>
              <w:rPr>
                <w:rFonts w:hint="eastAsia" w:cs="Times New Roman"/>
                <w:szCs w:val="24"/>
              </w:rPr>
              <w:t>匹配成交、协商成交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1" w:type="dxa"/>
            <w:vAlign w:val="center"/>
          </w:tcPr>
          <w:p>
            <w:pPr>
              <w:spacing w:line="520" w:lineRule="exact"/>
              <w:ind w:firstLine="0" w:firstLineChars="0"/>
              <w:jc w:val="center"/>
              <w:rPr>
                <w:rFonts w:ascii="仿宋" w:hAnsi="仿宋"/>
                <w:szCs w:val="24"/>
              </w:rPr>
            </w:pPr>
            <w:r>
              <w:rPr>
                <w:rFonts w:ascii="仿宋" w:hAnsi="仿宋"/>
                <w:szCs w:val="24"/>
              </w:rPr>
              <w:t>债券分期偿还</w:t>
            </w:r>
            <w:r>
              <w:rPr>
                <w:rFonts w:hint="eastAsia" w:ascii="仿宋" w:hAnsi="仿宋"/>
                <w:szCs w:val="24"/>
              </w:rPr>
              <w:t>（债权登记日）</w:t>
            </w:r>
          </w:p>
        </w:tc>
        <w:tc>
          <w:tcPr>
            <w:tcW w:w="1468" w:type="dxa"/>
            <w:vAlign w:val="center"/>
          </w:tcPr>
          <w:p>
            <w:pPr>
              <w:spacing w:line="520" w:lineRule="exact"/>
              <w:ind w:firstLine="0" w:firstLineChars="0"/>
              <w:jc w:val="center"/>
              <w:rPr>
                <w:rFonts w:cs="Times New Roman"/>
                <w:szCs w:val="24"/>
              </w:rPr>
            </w:pPr>
            <w:r>
              <w:rPr>
                <w:rFonts w:cs="Times New Roman"/>
                <w:szCs w:val="24"/>
              </w:rPr>
              <w:t>821010</w:t>
            </w:r>
          </w:p>
        </w:tc>
        <w:tc>
          <w:tcPr>
            <w:tcW w:w="1562" w:type="dxa"/>
            <w:vAlign w:val="center"/>
          </w:tcPr>
          <w:p>
            <w:pPr>
              <w:spacing w:line="520" w:lineRule="exact"/>
              <w:ind w:firstLine="0" w:firstLineChars="0"/>
              <w:jc w:val="center"/>
              <w:rPr>
                <w:rFonts w:cs="Times New Roman"/>
                <w:szCs w:val="24"/>
              </w:rPr>
            </w:pPr>
            <w:r>
              <w:rPr>
                <w:rFonts w:hint="eastAsia" w:cs="Times New Roman"/>
                <w:szCs w:val="24"/>
              </w:rPr>
              <w:t>11月29日</w:t>
            </w:r>
          </w:p>
        </w:tc>
        <w:tc>
          <w:tcPr>
            <w:tcW w:w="1524" w:type="dxa"/>
            <w:vAlign w:val="center"/>
          </w:tcPr>
          <w:p>
            <w:pPr>
              <w:spacing w:line="520" w:lineRule="exact"/>
              <w:ind w:firstLine="0" w:firstLineChars="0"/>
              <w:jc w:val="center"/>
              <w:rPr>
                <w:rFonts w:cs="Times New Roman"/>
                <w:szCs w:val="24"/>
              </w:rPr>
            </w:pPr>
            <w:r>
              <w:rPr>
                <w:rFonts w:cs="Times New Roman"/>
                <w:szCs w:val="24"/>
              </w:rPr>
              <w:t>1</w:t>
            </w:r>
            <w:r>
              <w:rPr>
                <w:rFonts w:hint="eastAsia" w:cs="Times New Roman"/>
                <w:szCs w:val="24"/>
              </w:rPr>
              <w:t>2</w:t>
            </w:r>
            <w:r>
              <w:rPr>
                <w:rFonts w:cs="Times New Roman"/>
                <w:szCs w:val="24"/>
              </w:rPr>
              <w:t>月1日</w:t>
            </w:r>
          </w:p>
        </w:tc>
        <w:tc>
          <w:tcPr>
            <w:tcW w:w="2439" w:type="dxa"/>
            <w:vAlign w:val="center"/>
          </w:tcPr>
          <w:p>
            <w:pPr>
              <w:spacing w:line="520" w:lineRule="exact"/>
              <w:ind w:firstLine="0" w:firstLineChars="0"/>
              <w:jc w:val="center"/>
              <w:rPr>
                <w:rFonts w:cs="Times New Roman"/>
                <w:szCs w:val="24"/>
              </w:rPr>
            </w:pPr>
            <w:r>
              <w:rPr>
                <w:rFonts w:cs="Times New Roman"/>
                <w:szCs w:val="24"/>
              </w:rPr>
              <w:t>分期偿还</w:t>
            </w:r>
            <w:r>
              <w:rPr>
                <w:rFonts w:hint="eastAsia" w:cs="Times New Roman"/>
                <w:szCs w:val="24"/>
              </w:rPr>
              <w:t>（减面值）</w:t>
            </w:r>
          </w:p>
          <w:p>
            <w:pPr>
              <w:spacing w:line="520" w:lineRule="exact"/>
              <w:ind w:firstLine="0" w:firstLineChars="0"/>
              <w:jc w:val="center"/>
              <w:rPr>
                <w:rFonts w:cs="Times New Roman"/>
                <w:szCs w:val="24"/>
              </w:rPr>
            </w:pPr>
            <w:r>
              <w:rPr>
                <w:rFonts w:cs="Times New Roman"/>
                <w:szCs w:val="24"/>
              </w:rPr>
              <w:t>兑付本金</w:t>
            </w:r>
            <w:r>
              <w:rPr>
                <w:rFonts w:hint="eastAsia" w:cs="Times New Roman"/>
                <w:szCs w:val="24"/>
              </w:rPr>
              <w:t>：</w:t>
            </w:r>
            <w:r>
              <w:rPr>
                <w:rFonts w:cs="Times New Roman"/>
                <w:szCs w:val="24"/>
              </w:rPr>
              <w:t>25元</w:t>
            </w:r>
            <w:r>
              <w:rPr>
                <w:rFonts w:hint="eastAsia" w:cs="Times New Roman"/>
                <w:szCs w:val="24"/>
              </w:rPr>
              <w:t>（面值由1</w:t>
            </w:r>
            <w:r>
              <w:rPr>
                <w:rFonts w:cs="Times New Roman"/>
                <w:szCs w:val="24"/>
              </w:rPr>
              <w:t>00元变为75元</w:t>
            </w:r>
            <w:r>
              <w:rPr>
                <w:rFonts w:hint="eastAsia"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501" w:type="dxa"/>
            <w:vAlign w:val="center"/>
          </w:tcPr>
          <w:p>
            <w:pPr>
              <w:spacing w:line="520" w:lineRule="exact"/>
              <w:ind w:firstLine="0" w:firstLineChars="0"/>
              <w:jc w:val="center"/>
              <w:rPr>
                <w:rFonts w:ascii="仿宋" w:hAnsi="仿宋"/>
                <w:szCs w:val="24"/>
              </w:rPr>
            </w:pPr>
            <w:r>
              <w:rPr>
                <w:rFonts w:hint="eastAsia" w:ascii="仿宋" w:hAnsi="仿宋" w:cs="Times New Roman"/>
                <w:szCs w:val="24"/>
              </w:rPr>
              <w:t>匹配成交盘中临停</w:t>
            </w:r>
          </w:p>
        </w:tc>
        <w:tc>
          <w:tcPr>
            <w:tcW w:w="1468" w:type="dxa"/>
            <w:vAlign w:val="center"/>
          </w:tcPr>
          <w:p>
            <w:pPr>
              <w:spacing w:line="520" w:lineRule="exact"/>
              <w:ind w:firstLine="0" w:firstLineChars="0"/>
              <w:jc w:val="center"/>
              <w:rPr>
                <w:rFonts w:cs="Times New Roman"/>
                <w:szCs w:val="24"/>
              </w:rPr>
            </w:pPr>
            <w:r>
              <w:rPr>
                <w:rFonts w:cs="Times New Roman"/>
                <w:szCs w:val="24"/>
              </w:rPr>
              <w:t>821010</w:t>
            </w:r>
          </w:p>
        </w:tc>
        <w:tc>
          <w:tcPr>
            <w:tcW w:w="1562" w:type="dxa"/>
            <w:vAlign w:val="center"/>
          </w:tcPr>
          <w:p>
            <w:pPr>
              <w:spacing w:line="520" w:lineRule="exact"/>
              <w:ind w:firstLine="0" w:firstLineChars="0"/>
              <w:jc w:val="center"/>
              <w:rPr>
                <w:rFonts w:cs="Times New Roman"/>
                <w:szCs w:val="24"/>
              </w:rPr>
            </w:pPr>
            <w:r>
              <w:rPr>
                <w:rFonts w:hint="eastAsia" w:cs="Times New Roman"/>
                <w:szCs w:val="24"/>
              </w:rPr>
              <w:t>——</w:t>
            </w:r>
          </w:p>
        </w:tc>
        <w:tc>
          <w:tcPr>
            <w:tcW w:w="1524" w:type="dxa"/>
            <w:vAlign w:val="center"/>
          </w:tcPr>
          <w:p>
            <w:pPr>
              <w:spacing w:line="520" w:lineRule="exact"/>
              <w:ind w:firstLine="0" w:firstLineChars="0"/>
              <w:jc w:val="center"/>
              <w:rPr>
                <w:rFonts w:cs="Times New Roman"/>
                <w:szCs w:val="24"/>
              </w:rPr>
            </w:pPr>
            <w:r>
              <w:rPr>
                <w:rFonts w:hint="eastAsia" w:cs="Times New Roman"/>
                <w:szCs w:val="24"/>
              </w:rPr>
              <w:t>11月29日</w:t>
            </w:r>
          </w:p>
        </w:tc>
        <w:tc>
          <w:tcPr>
            <w:tcW w:w="2439" w:type="dxa"/>
            <w:vAlign w:val="center"/>
          </w:tcPr>
          <w:p>
            <w:pPr>
              <w:spacing w:line="520" w:lineRule="exact"/>
              <w:ind w:firstLine="1200" w:firstLineChars="500"/>
              <w:jc w:val="center"/>
              <w:rPr>
                <w:rFonts w:cs="Times New Roman"/>
                <w:szCs w:val="24"/>
              </w:rPr>
            </w:pPr>
            <w:r>
              <w:rPr>
                <w:rFonts w:hint="eastAsia" w:cs="Times New Roman"/>
                <w:szCs w:val="24"/>
              </w:rPr>
              <w:t>——</w:t>
            </w:r>
          </w:p>
        </w:tc>
      </w:tr>
    </w:tbl>
    <w:p>
      <w:pPr>
        <w:pStyle w:val="74"/>
        <w:spacing w:before="0" w:beforeLines="0" w:after="0" w:afterLines="0" w:line="560" w:lineRule="exact"/>
        <w:ind w:firstLine="602"/>
        <w:rPr>
          <w:sz w:val="30"/>
          <w:szCs w:val="30"/>
        </w:rPr>
      </w:pPr>
      <w:bookmarkStart w:id="46" w:name="_Toc695317091"/>
      <w:bookmarkStart w:id="47" w:name="_Toc652945123"/>
      <w:r>
        <w:rPr>
          <w:rFonts w:hint="eastAsia"/>
          <w:sz w:val="30"/>
          <w:szCs w:val="30"/>
        </w:rPr>
        <w:t>（二）测试说明</w:t>
      </w:r>
      <w:bookmarkEnd w:id="46"/>
    </w:p>
    <w:p>
      <w:pPr>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1.</w:t>
      </w:r>
      <w:r>
        <w:rPr>
          <w:rFonts w:hint="eastAsia" w:cs="Times New Roman"/>
          <w:color w:val="000000" w:themeColor="text1"/>
          <w:sz w:val="30"/>
          <w:szCs w:val="30"/>
          <w14:textFill>
            <w14:solidFill>
              <w14:schemeClr w14:val="tx1"/>
            </w14:solidFill>
          </w14:textFill>
        </w:rPr>
        <w:t>参测机构应以测试</w:t>
      </w:r>
      <w:r>
        <w:rPr>
          <w:rFonts w:cs="Times New Roman"/>
          <w:color w:val="000000" w:themeColor="text1"/>
          <w:sz w:val="30"/>
          <w:szCs w:val="30"/>
          <w14:textFill>
            <w14:solidFill>
              <w14:schemeClr w14:val="tx1"/>
            </w14:solidFill>
          </w14:textFill>
        </w:rPr>
        <w:t>证券</w:t>
      </w:r>
      <w:r>
        <w:rPr>
          <w:rFonts w:hint="eastAsia" w:cs="Times New Roman"/>
          <w:color w:val="000000" w:themeColor="text1"/>
          <w:sz w:val="30"/>
          <w:szCs w:val="30"/>
          <w14:textFill>
            <w14:solidFill>
              <w14:schemeClr w14:val="tx1"/>
            </w14:solidFill>
          </w14:textFill>
        </w:rPr>
        <w:t>前收盘价作为参考，在合理价格范围内报价，</w:t>
      </w:r>
      <w:r>
        <w:rPr>
          <w:rFonts w:cs="Times New Roman"/>
          <w:color w:val="000000" w:themeColor="text1"/>
          <w:sz w:val="30"/>
          <w:szCs w:val="30"/>
          <w14:textFill>
            <w14:solidFill>
              <w14:schemeClr w14:val="tx1"/>
            </w14:solidFill>
          </w14:textFill>
        </w:rPr>
        <w:t>避免触发非计划临停。</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禁止在非压力测试时段进行持续高频率报单。</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3.测试过程中的</w:t>
      </w:r>
      <w:r>
        <w:rPr>
          <w:rFonts w:cs="Times New Roman"/>
          <w:color w:val="000000" w:themeColor="text1"/>
          <w:sz w:val="30"/>
          <w:szCs w:val="30"/>
          <w14:textFill>
            <w14:solidFill>
              <w14:schemeClr w14:val="tx1"/>
            </w14:solidFill>
          </w14:textFill>
        </w:rPr>
        <w:t>实时通知</w:t>
      </w:r>
      <w:r>
        <w:rPr>
          <w:rFonts w:hint="eastAsia" w:cs="Times New Roman"/>
          <w:color w:val="000000" w:themeColor="text1"/>
          <w:sz w:val="30"/>
          <w:szCs w:val="30"/>
          <w14:textFill>
            <w14:solidFill>
              <w14:schemeClr w14:val="tx1"/>
            </w14:solidFill>
          </w14:textFill>
        </w:rPr>
        <w:t>要求将</w:t>
      </w:r>
      <w:r>
        <w:rPr>
          <w:rFonts w:cs="Times New Roman"/>
          <w:color w:val="000000" w:themeColor="text1"/>
          <w:sz w:val="30"/>
          <w:szCs w:val="30"/>
          <w14:textFill>
            <w14:solidFill>
              <w14:schemeClr w14:val="tx1"/>
            </w14:solidFill>
          </w14:textFill>
        </w:rPr>
        <w:t>在</w:t>
      </w:r>
      <w:r>
        <w:rPr>
          <w:rFonts w:hint="eastAsia" w:cs="Times New Roman"/>
          <w:color w:val="000000" w:themeColor="text1"/>
          <w:sz w:val="30"/>
          <w:szCs w:val="30"/>
          <w14:textFill>
            <w14:solidFill>
              <w14:schemeClr w14:val="tx1"/>
            </w14:solidFill>
          </w14:textFill>
        </w:rPr>
        <w:t>QQ群中发布，请保持</w:t>
      </w:r>
      <w:r>
        <w:rPr>
          <w:rFonts w:cs="Times New Roman"/>
          <w:color w:val="000000" w:themeColor="text1"/>
          <w:sz w:val="30"/>
          <w:szCs w:val="30"/>
          <w14:textFill>
            <w14:solidFill>
              <w14:schemeClr w14:val="tx1"/>
            </w14:solidFill>
          </w14:textFill>
        </w:rPr>
        <w:t>关注</w:t>
      </w:r>
      <w:r>
        <w:rPr>
          <w:rFonts w:hint="eastAsia" w:cs="Times New Roman"/>
          <w:color w:val="000000" w:themeColor="text1"/>
          <w:sz w:val="30"/>
          <w:szCs w:val="30"/>
          <w14:textFill>
            <w14:solidFill>
              <w14:schemeClr w14:val="tx1"/>
            </w14:solidFill>
          </w14:textFill>
        </w:rPr>
        <w:t>。</w:t>
      </w:r>
    </w:p>
    <w:p>
      <w:pPr>
        <w:pStyle w:val="73"/>
        <w:spacing w:beforeLines="0" w:afterLines="0" w:line="560" w:lineRule="exact"/>
        <w:ind w:firstLine="600"/>
      </w:pPr>
      <w:bookmarkStart w:id="48" w:name="_Toc462588408"/>
      <w:r>
        <w:rPr>
          <w:rFonts w:hint="eastAsia"/>
        </w:rPr>
        <w:t>八、通关测试</w:t>
      </w:r>
      <w:r>
        <w:t>数据准备</w:t>
      </w:r>
      <w:bookmarkEnd w:id="47"/>
      <w:bookmarkEnd w:id="48"/>
    </w:p>
    <w:p>
      <w:pPr>
        <w:pStyle w:val="74"/>
        <w:spacing w:before="0" w:beforeLines="0" w:after="0" w:afterLines="0" w:line="560" w:lineRule="exact"/>
        <w:ind w:firstLine="602"/>
        <w:rPr>
          <w:sz w:val="30"/>
          <w:szCs w:val="30"/>
        </w:rPr>
      </w:pPr>
      <w:bookmarkStart w:id="49" w:name="_Toc502217616"/>
      <w:bookmarkStart w:id="50" w:name="_Toc502216522"/>
      <w:bookmarkStart w:id="51" w:name="_Toc12033606"/>
      <w:bookmarkStart w:id="52" w:name="_Toc294425482"/>
      <w:r>
        <w:rPr>
          <w:rFonts w:hint="eastAsia"/>
          <w:sz w:val="30"/>
          <w:szCs w:val="30"/>
        </w:rPr>
        <w:t>（一）证券行情信息</w:t>
      </w:r>
      <w:bookmarkEnd w:id="49"/>
      <w:bookmarkEnd w:id="50"/>
      <w:bookmarkEnd w:id="51"/>
      <w:bookmarkEnd w:id="52"/>
    </w:p>
    <w:p>
      <w:pPr>
        <w:widowControl w:val="0"/>
        <w:spacing w:line="560" w:lineRule="exact"/>
        <w:ind w:firstLine="600"/>
        <w:jc w:val="both"/>
        <w:rPr>
          <w:rFonts w:cs="Times New Roman"/>
          <w:sz w:val="30"/>
          <w:szCs w:val="30"/>
        </w:rPr>
      </w:pPr>
      <w:r>
        <w:rPr>
          <w:rFonts w:cs="Times New Roman"/>
          <w:sz w:val="30"/>
          <w:szCs w:val="30"/>
        </w:rPr>
        <w:t>证券初始行情信息和</w:t>
      </w:r>
      <w:r>
        <w:rPr>
          <w:rFonts w:hint="eastAsia" w:cs="Times New Roman"/>
          <w:sz w:val="30"/>
          <w:szCs w:val="30"/>
        </w:rPr>
        <w:t>静态交易参考信息</w:t>
      </w:r>
      <w:r>
        <w:rPr>
          <w:rFonts w:cs="Times New Roman"/>
          <w:sz w:val="30"/>
          <w:szCs w:val="30"/>
        </w:rPr>
        <w:t>以</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（2025年11月28日）</w:t>
      </w:r>
      <w:r>
        <w:rPr>
          <w:rFonts w:hint="eastAsia" w:cs="Times New Roman"/>
          <w:sz w:val="30"/>
          <w:szCs w:val="30"/>
        </w:rPr>
        <w:t>固定收益平台生产</w:t>
      </w:r>
      <w:r>
        <w:rPr>
          <w:rFonts w:cs="Times New Roman"/>
          <w:sz w:val="30"/>
          <w:szCs w:val="30"/>
        </w:rPr>
        <w:t>环境发布为准。</w:t>
      </w:r>
    </w:p>
    <w:p>
      <w:pPr>
        <w:pStyle w:val="74"/>
        <w:spacing w:before="0" w:beforeLines="0" w:after="0" w:afterLines="0" w:line="560" w:lineRule="exact"/>
        <w:ind w:firstLine="602"/>
        <w:rPr>
          <w:sz w:val="30"/>
          <w:szCs w:val="30"/>
        </w:rPr>
      </w:pPr>
      <w:bookmarkStart w:id="53" w:name="_Toc502216523"/>
      <w:bookmarkStart w:id="54" w:name="_Toc1818661730"/>
      <w:bookmarkStart w:id="55" w:name="_Toc439689166"/>
      <w:bookmarkStart w:id="56" w:name="_Toc502217617"/>
      <w:r>
        <w:rPr>
          <w:rFonts w:hint="eastAsia"/>
          <w:sz w:val="30"/>
          <w:szCs w:val="30"/>
        </w:rPr>
        <w:t>（二）证券账户、交易单元、托管单元及持仓</w:t>
      </w:r>
      <w:bookmarkEnd w:id="53"/>
      <w:bookmarkEnd w:id="54"/>
      <w:bookmarkEnd w:id="55"/>
      <w:bookmarkEnd w:id="56"/>
    </w:p>
    <w:p>
      <w:pPr>
        <w:widowControl w:val="0"/>
        <w:spacing w:line="560" w:lineRule="exact"/>
        <w:ind w:firstLine="600"/>
        <w:jc w:val="both"/>
        <w:rPr>
          <w:rFonts w:cs="Times New Roman"/>
          <w:sz w:val="30"/>
          <w:szCs w:val="30"/>
        </w:rPr>
      </w:pPr>
      <w:bookmarkStart w:id="57" w:name="_Toc960123003"/>
      <w:bookmarkStart w:id="58" w:name="_Toc502217622"/>
      <w:bookmarkStart w:id="59" w:name="_Toc502216528"/>
      <w:r>
        <w:rPr>
          <w:rFonts w:cs="Times New Roman"/>
          <w:sz w:val="30"/>
          <w:szCs w:val="30"/>
        </w:rPr>
        <w:t>证券账户及持仓的初始信息以</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（2025年11月28日）</w:t>
      </w:r>
      <w:r>
        <w:rPr>
          <w:rFonts w:cs="Times New Roman"/>
          <w:sz w:val="30"/>
          <w:szCs w:val="30"/>
        </w:rPr>
        <w:t>中国结算</w:t>
      </w:r>
      <w:r>
        <w:rPr>
          <w:rFonts w:hint="eastAsia" w:cs="Times New Roman"/>
          <w:sz w:val="30"/>
          <w:szCs w:val="30"/>
        </w:rPr>
        <w:t>生产</w:t>
      </w:r>
      <w:r>
        <w:rPr>
          <w:rFonts w:cs="Times New Roman"/>
          <w:sz w:val="30"/>
          <w:szCs w:val="30"/>
        </w:rPr>
        <w:t>环境日终数据为准</w:t>
      </w:r>
      <w:r>
        <w:rPr>
          <w:rFonts w:hint="eastAsia" w:cs="Times New Roman"/>
          <w:sz w:val="30"/>
          <w:szCs w:val="30"/>
        </w:rPr>
        <w:t>。</w:t>
      </w:r>
    </w:p>
    <w:p>
      <w:pPr>
        <w:pStyle w:val="74"/>
        <w:spacing w:before="0" w:beforeLines="0" w:after="0" w:afterLines="0" w:line="560" w:lineRule="exact"/>
        <w:ind w:firstLine="602"/>
        <w:rPr>
          <w:sz w:val="30"/>
          <w:szCs w:val="30"/>
        </w:rPr>
      </w:pPr>
      <w:bookmarkStart w:id="60" w:name="_Toc1904069484"/>
      <w:r>
        <w:rPr>
          <w:rFonts w:hint="eastAsia"/>
          <w:sz w:val="30"/>
          <w:szCs w:val="30"/>
        </w:rPr>
        <w:t>（三）交易网关、行情网关和结算网关</w:t>
      </w:r>
      <w:bookmarkEnd w:id="57"/>
      <w:bookmarkEnd w:id="58"/>
      <w:bookmarkEnd w:id="59"/>
      <w:bookmarkEnd w:id="60"/>
    </w:p>
    <w:p>
      <w:pPr>
        <w:widowControl w:val="0"/>
        <w:spacing w:line="560" w:lineRule="exact"/>
        <w:ind w:firstLine="600"/>
        <w:jc w:val="both"/>
        <w:rPr>
          <w:rFonts w:cs="Times New Roman"/>
          <w:sz w:val="30"/>
          <w:szCs w:val="30"/>
        </w:rPr>
      </w:pPr>
      <w:bookmarkStart w:id="61" w:name="_Toc1913828385"/>
      <w:bookmarkStart w:id="62" w:name="_Toc422310615"/>
      <w:r>
        <w:rPr>
          <w:rFonts w:cs="Times New Roman"/>
          <w:sz w:val="30"/>
          <w:szCs w:val="30"/>
        </w:rPr>
        <w:t>交易网关、行情网关、结算网关的初始用户与密码以</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（2025年11月28日）</w:t>
      </w:r>
      <w:r>
        <w:rPr>
          <w:rFonts w:cs="Times New Roman"/>
          <w:sz w:val="30"/>
          <w:szCs w:val="30"/>
        </w:rPr>
        <w:t>深证通</w:t>
      </w:r>
      <w:r>
        <w:rPr>
          <w:rFonts w:hint="eastAsia" w:cs="Times New Roman"/>
          <w:sz w:val="30"/>
          <w:szCs w:val="30"/>
        </w:rPr>
        <w:t>生产</w:t>
      </w:r>
      <w:r>
        <w:rPr>
          <w:rFonts w:cs="Times New Roman"/>
          <w:sz w:val="30"/>
          <w:szCs w:val="30"/>
        </w:rPr>
        <w:t>环境闭市时数据为准。</w:t>
      </w:r>
    </w:p>
    <w:p>
      <w:pPr>
        <w:pStyle w:val="74"/>
        <w:spacing w:before="0" w:beforeLines="0" w:after="0" w:afterLines="0" w:line="560" w:lineRule="exact"/>
        <w:ind w:firstLine="602"/>
        <w:rPr>
          <w:sz w:val="30"/>
          <w:szCs w:val="30"/>
        </w:rPr>
      </w:pPr>
      <w:bookmarkStart w:id="63" w:name="_Toc480675927"/>
      <w:r>
        <w:rPr>
          <w:rFonts w:hint="eastAsia"/>
          <w:sz w:val="30"/>
          <w:szCs w:val="30"/>
        </w:rPr>
        <w:t>（四）FDEP小站</w:t>
      </w:r>
      <w:bookmarkEnd w:id="61"/>
      <w:bookmarkEnd w:id="63"/>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固定</w:t>
      </w:r>
      <w:r>
        <w:rPr>
          <w:rFonts w:cs="Times New Roman"/>
          <w:color w:val="000000" w:themeColor="text1"/>
          <w:sz w:val="30"/>
          <w:szCs w:val="30"/>
          <w14:textFill>
            <w14:solidFill>
              <w14:schemeClr w14:val="tx1"/>
            </w14:solidFill>
          </w14:textFill>
        </w:rPr>
        <w:t>收益平台</w:t>
      </w:r>
      <w:r>
        <w:rPr>
          <w:rFonts w:hint="eastAsia" w:cs="Times New Roman"/>
          <w:color w:val="000000" w:themeColor="text1"/>
          <w:sz w:val="30"/>
          <w:szCs w:val="30"/>
          <w14:textFill>
            <w14:solidFill>
              <w14:schemeClr w14:val="tx1"/>
            </w14:solidFill>
          </w14:textFill>
        </w:rPr>
        <w:t>FDEP小站号为k</w:t>
      </w:r>
      <w:r>
        <w:rPr>
          <w:rFonts w:cs="Times New Roman"/>
          <w:color w:val="000000" w:themeColor="text1"/>
          <w:sz w:val="30"/>
          <w:szCs w:val="30"/>
          <w14:textFill>
            <w14:solidFill>
              <w14:schemeClr w14:val="tx1"/>
            </w14:solidFill>
          </w14:textFill>
        </w:rPr>
        <w:t>8889</w:t>
      </w:r>
      <w:r>
        <w:rPr>
          <w:rFonts w:hint="eastAsia" w:cs="Times New Roman"/>
          <w:color w:val="000000" w:themeColor="text1"/>
          <w:sz w:val="30"/>
          <w:szCs w:val="30"/>
          <w14:textFill>
            <w14:solidFill>
              <w14:schemeClr w14:val="tx1"/>
            </w14:solidFill>
          </w14:textFill>
        </w:rPr>
        <w:t>。适当性管理</w:t>
      </w:r>
      <w:r>
        <w:rPr>
          <w:rFonts w:cs="Times New Roman"/>
          <w:color w:val="000000" w:themeColor="text1"/>
          <w:sz w:val="30"/>
          <w:szCs w:val="30"/>
          <w14:textFill>
            <w14:solidFill>
              <w14:schemeClr w14:val="tx1"/>
            </w14:solidFill>
          </w14:textFill>
        </w:rPr>
        <w:t>信息库等</w:t>
      </w:r>
      <w:r>
        <w:rPr>
          <w:rFonts w:hint="eastAsia" w:cs="Times New Roman"/>
          <w:color w:val="000000" w:themeColor="text1"/>
          <w:sz w:val="30"/>
          <w:szCs w:val="30"/>
          <w14:textFill>
            <w14:solidFill>
              <w14:schemeClr w14:val="tx1"/>
            </w14:solidFill>
          </w14:textFill>
        </w:rPr>
        <w:t>参测</w:t>
      </w:r>
      <w:r>
        <w:rPr>
          <w:rFonts w:cs="Times New Roman"/>
          <w:color w:val="000000" w:themeColor="text1"/>
          <w:sz w:val="30"/>
          <w:szCs w:val="30"/>
          <w14:textFill>
            <w14:solidFill>
              <w14:schemeClr w14:val="tx1"/>
            </w14:solidFill>
          </w14:textFill>
        </w:rPr>
        <w:t>机构</w:t>
      </w:r>
      <w:r>
        <w:rPr>
          <w:rFonts w:hint="eastAsia" w:cs="Times New Roman"/>
          <w:color w:val="000000" w:themeColor="text1"/>
          <w:sz w:val="30"/>
          <w:szCs w:val="30"/>
          <w14:textFill>
            <w14:solidFill>
              <w14:schemeClr w14:val="tx1"/>
            </w14:solidFill>
          </w14:textFill>
        </w:rPr>
        <w:t>私有</w:t>
      </w:r>
      <w:r>
        <w:rPr>
          <w:rFonts w:cs="Times New Roman"/>
          <w:color w:val="000000" w:themeColor="text1"/>
          <w:sz w:val="30"/>
          <w:szCs w:val="30"/>
          <w14:textFill>
            <w14:solidFill>
              <w14:schemeClr w14:val="tx1"/>
            </w14:solidFill>
          </w14:textFill>
        </w:rPr>
        <w:t>文件</w:t>
      </w:r>
      <w:r>
        <w:rPr>
          <w:rFonts w:hint="eastAsia" w:cs="Times New Roman"/>
          <w:color w:val="000000" w:themeColor="text1"/>
          <w:sz w:val="30"/>
          <w:szCs w:val="30"/>
          <w14:textFill>
            <w14:solidFill>
              <w14:schemeClr w14:val="tx1"/>
            </w14:solidFill>
          </w14:textFill>
        </w:rPr>
        <w:t>的发送和接收应按照单个对端</w:t>
      </w:r>
      <w:r>
        <w:rPr>
          <w:rFonts w:cs="Times New Roman"/>
          <w:color w:val="000000" w:themeColor="text1"/>
          <w:sz w:val="30"/>
          <w:szCs w:val="30"/>
          <w14:textFill>
            <w14:solidFill>
              <w14:schemeClr w14:val="tx1"/>
            </w14:solidFill>
          </w14:textFill>
        </w:rPr>
        <w:t>用户规则</w:t>
      </w:r>
      <w:r>
        <w:rPr>
          <w:rFonts w:hint="eastAsia" w:cs="Times New Roman"/>
          <w:color w:val="000000" w:themeColor="text1"/>
          <w:sz w:val="30"/>
          <w:szCs w:val="30"/>
          <w14:textFill>
            <w14:solidFill>
              <w14:schemeClr w14:val="tx1"/>
            </w14:solidFill>
          </w14:textFill>
        </w:rPr>
        <w:t>配置，证券</w:t>
      </w:r>
      <w:r>
        <w:rPr>
          <w:rFonts w:cs="Times New Roman"/>
          <w:color w:val="000000" w:themeColor="text1"/>
          <w:sz w:val="30"/>
          <w:szCs w:val="30"/>
          <w14:textFill>
            <w14:solidFill>
              <w14:schemeClr w14:val="tx1"/>
            </w14:solidFill>
          </w14:textFill>
        </w:rPr>
        <w:t>信息等</w:t>
      </w:r>
      <w:r>
        <w:rPr>
          <w:rFonts w:hint="eastAsia" w:cs="Times New Roman"/>
          <w:color w:val="000000" w:themeColor="text1"/>
          <w:sz w:val="30"/>
          <w:szCs w:val="30"/>
          <w14:textFill>
            <w14:solidFill>
              <w14:schemeClr w14:val="tx1"/>
            </w14:solidFill>
          </w14:textFill>
        </w:rPr>
        <w:t>全市场</w:t>
      </w:r>
      <w:r>
        <w:rPr>
          <w:rFonts w:cs="Times New Roman"/>
          <w:color w:val="000000" w:themeColor="text1"/>
          <w:sz w:val="30"/>
          <w:szCs w:val="30"/>
          <w14:textFill>
            <w14:solidFill>
              <w14:schemeClr w14:val="tx1"/>
            </w14:solidFill>
          </w14:textFill>
        </w:rPr>
        <w:t>公用文件</w:t>
      </w:r>
      <w:r>
        <w:rPr>
          <w:rFonts w:hint="eastAsia" w:cs="Times New Roman"/>
          <w:color w:val="000000" w:themeColor="text1"/>
          <w:sz w:val="30"/>
          <w:szCs w:val="30"/>
          <w14:textFill>
            <w14:solidFill>
              <w14:schemeClr w14:val="tx1"/>
            </w14:solidFill>
          </w14:textFill>
        </w:rPr>
        <w:t>的发送和接收应按照业务类型规则（规则名称为</w:t>
      </w:r>
      <w:r>
        <w:rPr>
          <w:rFonts w:cs="Times New Roman"/>
          <w:color w:val="000000" w:themeColor="text1"/>
          <w:sz w:val="30"/>
          <w:szCs w:val="30"/>
          <w14:textFill>
            <w14:solidFill>
              <w14:schemeClr w14:val="tx1"/>
            </w14:solidFill>
          </w14:textFill>
        </w:rPr>
        <w:t>BSEBOND</w:t>
      </w:r>
      <w:r>
        <w:rPr>
          <w:rFonts w:hint="eastAsia" w:cs="Times New Roman"/>
          <w:color w:val="000000" w:themeColor="text1"/>
          <w:sz w:val="30"/>
          <w:szCs w:val="30"/>
          <w14:textFill>
            <w14:solidFill>
              <w14:schemeClr w14:val="tx1"/>
            </w14:solidFill>
          </w14:textFill>
        </w:rPr>
        <w:t>）模式配置。</w:t>
      </w:r>
    </w:p>
    <w:bookmarkEnd w:id="62"/>
    <w:p>
      <w:pPr>
        <w:pStyle w:val="73"/>
        <w:spacing w:beforeLines="0" w:afterLines="0" w:line="560" w:lineRule="exact"/>
        <w:ind w:firstLine="600"/>
      </w:pPr>
      <w:bookmarkStart w:id="64" w:name="_Toc18774233"/>
      <w:bookmarkStart w:id="65" w:name="_Toc375557974"/>
      <w:bookmarkStart w:id="66" w:name="_Toc374381928"/>
      <w:bookmarkStart w:id="67" w:name="_Toc374381862"/>
      <w:bookmarkStart w:id="68" w:name="_Toc375070738"/>
      <w:bookmarkStart w:id="69" w:name="_Toc376597526"/>
      <w:bookmarkStart w:id="70" w:name="_Toc1386646997"/>
      <w:bookmarkStart w:id="71" w:name="_Toc376285233"/>
      <w:bookmarkStart w:id="72" w:name="_Toc374957920"/>
      <w:r>
        <w:rPr>
          <w:rFonts w:hint="eastAsia"/>
        </w:rPr>
        <w:t>九、通关测试</w:t>
      </w:r>
      <w:r>
        <w:t>系统接入方式</w:t>
      </w:r>
      <w:bookmarkEnd w:id="64"/>
      <w:bookmarkEnd w:id="65"/>
      <w:bookmarkEnd w:id="66"/>
      <w:bookmarkEnd w:id="67"/>
      <w:bookmarkEnd w:id="68"/>
      <w:bookmarkEnd w:id="69"/>
      <w:bookmarkEnd w:id="70"/>
      <w:bookmarkEnd w:id="71"/>
      <w:bookmarkEnd w:id="72"/>
    </w:p>
    <w:p>
      <w:pPr>
        <w:pStyle w:val="74"/>
        <w:spacing w:before="0" w:beforeLines="0" w:after="0" w:afterLines="0" w:line="560" w:lineRule="exact"/>
        <w:ind w:firstLine="602"/>
        <w:rPr>
          <w:sz w:val="30"/>
          <w:szCs w:val="30"/>
        </w:rPr>
      </w:pPr>
      <w:bookmarkStart w:id="73" w:name="_Toc416422123"/>
      <w:bookmarkStart w:id="74" w:name="_Toc502850310"/>
      <w:bookmarkStart w:id="75" w:name="_Toc1987001217"/>
      <w:bookmarkStart w:id="76" w:name="_Toc374957922"/>
      <w:bookmarkStart w:id="77" w:name="_Toc374381864"/>
      <w:bookmarkStart w:id="78" w:name="_Toc375557976"/>
      <w:bookmarkStart w:id="79" w:name="_Toc376597528"/>
      <w:bookmarkStart w:id="80" w:name="_Toc375070740"/>
      <w:bookmarkStart w:id="81" w:name="_Toc376285235"/>
      <w:bookmarkStart w:id="82" w:name="_Toc374381930"/>
      <w:r>
        <w:rPr>
          <w:rFonts w:hint="eastAsia"/>
          <w:sz w:val="30"/>
          <w:szCs w:val="30"/>
        </w:rPr>
        <w:t>（一）参测机构接入深证通</w:t>
      </w:r>
      <w:bookmarkEnd w:id="73"/>
      <w:bookmarkEnd w:id="74"/>
      <w:bookmarkEnd w:id="75"/>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参测机构通过生产环境线路接入深证通提供的通关测试环境，如有问题，及时联系深证通。</w:t>
      </w:r>
    </w:p>
    <w:p>
      <w:pPr>
        <w:pStyle w:val="74"/>
        <w:spacing w:before="0" w:beforeLines="0" w:after="0" w:afterLines="0" w:line="560" w:lineRule="exact"/>
        <w:ind w:firstLine="602"/>
        <w:rPr>
          <w:sz w:val="30"/>
          <w:szCs w:val="30"/>
        </w:rPr>
      </w:pPr>
      <w:bookmarkStart w:id="83" w:name="_Toc1514433773"/>
      <w:bookmarkStart w:id="84" w:name="_Toc1377912424"/>
      <w:bookmarkStart w:id="85" w:name="_Toc416422124"/>
      <w:bookmarkStart w:id="86" w:name="_Toc386964499"/>
      <w:r>
        <w:rPr>
          <w:rFonts w:hint="eastAsia"/>
          <w:sz w:val="30"/>
          <w:szCs w:val="30"/>
        </w:rPr>
        <w:t>（二）参测机构接入中国结算</w:t>
      </w:r>
      <w:bookmarkEnd w:id="83"/>
      <w:bookmarkEnd w:id="84"/>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按现有方式接入中国结算通关测试环境。</w:t>
      </w:r>
    </w:p>
    <w:p>
      <w:pPr>
        <w:pStyle w:val="74"/>
        <w:spacing w:before="0" w:beforeLines="0" w:after="0" w:afterLines="0" w:line="560" w:lineRule="exact"/>
        <w:ind w:firstLine="602"/>
        <w:rPr>
          <w:sz w:val="30"/>
          <w:szCs w:val="30"/>
        </w:rPr>
      </w:pPr>
      <w:bookmarkStart w:id="87" w:name="_Toc716568656"/>
      <w:bookmarkStart w:id="88" w:name="_Toc1110447430"/>
      <w:r>
        <w:rPr>
          <w:rFonts w:hint="eastAsia"/>
          <w:sz w:val="30"/>
          <w:szCs w:val="30"/>
        </w:rPr>
        <w:t>（三）测试相关软件下载</w:t>
      </w:r>
      <w:bookmarkEnd w:id="85"/>
      <w:bookmarkEnd w:id="86"/>
      <w:bookmarkEnd w:id="87"/>
      <w:bookmarkEnd w:id="88"/>
    </w:p>
    <w:p>
      <w:pPr>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本次测试所需</w:t>
      </w:r>
      <w:r>
        <w:rPr>
          <w:rFonts w:hint="eastAsia" w:cs="Times New Roman"/>
          <w:color w:val="000000" w:themeColor="text1"/>
          <w:sz w:val="30"/>
          <w:szCs w:val="30"/>
          <w14:textFill>
            <w14:solidFill>
              <w14:schemeClr w14:val="tx1"/>
            </w14:solidFill>
          </w14:textFill>
        </w:rPr>
        <w:t>的</w:t>
      </w:r>
      <w:r>
        <w:rPr>
          <w:rFonts w:cs="Times New Roman"/>
          <w:color w:val="000000" w:themeColor="text1"/>
          <w:sz w:val="30"/>
          <w:szCs w:val="30"/>
          <w14:textFill>
            <w14:solidFill>
              <w14:schemeClr w14:val="tx1"/>
            </w14:solidFill>
          </w14:textFill>
        </w:rPr>
        <w:t>交易网关</w:t>
      </w:r>
      <w:r>
        <w:rPr>
          <w:rFonts w:hint="eastAsia" w:cs="Times New Roman"/>
          <w:color w:val="000000" w:themeColor="text1"/>
          <w:sz w:val="30"/>
          <w:szCs w:val="30"/>
          <w14:textFill>
            <w14:solidFill>
              <w14:schemeClr w14:val="tx1"/>
            </w14:solidFill>
          </w14:textFill>
        </w:rPr>
        <w:t>、行情网关等软件可</w:t>
      </w:r>
      <w:r>
        <w:rPr>
          <w:rFonts w:cs="Times New Roman"/>
          <w:color w:val="000000" w:themeColor="text1"/>
          <w:sz w:val="30"/>
          <w:szCs w:val="30"/>
          <w14:textFill>
            <w14:solidFill>
              <w14:schemeClr w14:val="tx1"/>
            </w14:solidFill>
          </w14:textFill>
        </w:rPr>
        <w:t>在</w:t>
      </w:r>
      <w:r>
        <w:rPr>
          <w:rFonts w:hint="eastAsia" w:cs="Times New Roman"/>
          <w:color w:val="000000" w:themeColor="text1"/>
          <w:sz w:val="30"/>
          <w:szCs w:val="30"/>
          <w14:textFill>
            <w14:solidFill>
              <w14:schemeClr w14:val="tx1"/>
            </w14:solidFill>
          </w14:textFill>
        </w:rPr>
        <w:t>深证通网站</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http://biz.sscc.com/download.html</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北交所通信系统栏目</w:t>
      </w:r>
      <w:r>
        <w:rPr>
          <w:rFonts w:hint="eastAsia" w:cs="Times New Roman"/>
          <w:color w:val="000000" w:themeColor="text1"/>
          <w:sz w:val="30"/>
          <w:szCs w:val="30"/>
          <w14:textFill>
            <w14:solidFill>
              <w14:schemeClr w14:val="tx1"/>
            </w14:solidFill>
          </w14:textFill>
        </w:rPr>
        <w:t>下载。</w:t>
      </w:r>
    </w:p>
    <w:bookmarkEnd w:id="76"/>
    <w:bookmarkEnd w:id="77"/>
    <w:bookmarkEnd w:id="78"/>
    <w:bookmarkEnd w:id="79"/>
    <w:bookmarkEnd w:id="80"/>
    <w:bookmarkEnd w:id="81"/>
    <w:bookmarkEnd w:id="82"/>
    <w:p>
      <w:pPr>
        <w:pStyle w:val="73"/>
        <w:spacing w:beforeLines="0" w:afterLines="0" w:line="560" w:lineRule="exact"/>
        <w:ind w:firstLine="600"/>
      </w:pPr>
      <w:bookmarkStart w:id="89" w:name="_Toc375070742"/>
      <w:bookmarkStart w:id="90" w:name="_Toc2124117125"/>
      <w:bookmarkStart w:id="91" w:name="_Toc374381932"/>
      <w:bookmarkStart w:id="92" w:name="_Toc376285237"/>
      <w:bookmarkStart w:id="93" w:name="_Toc375557978"/>
      <w:bookmarkStart w:id="94" w:name="_Toc1509349101"/>
      <w:bookmarkStart w:id="95" w:name="_Toc374381866"/>
      <w:bookmarkStart w:id="96" w:name="_Toc376597530"/>
      <w:bookmarkStart w:id="97" w:name="_Toc374957924"/>
      <w:r>
        <w:rPr>
          <w:rFonts w:hint="eastAsia"/>
        </w:rPr>
        <w:t>十、</w:t>
      </w:r>
      <w:r>
        <w:t>测试要求及注意事项</w:t>
      </w:r>
      <w:bookmarkEnd w:id="89"/>
      <w:bookmarkEnd w:id="90"/>
      <w:bookmarkEnd w:id="91"/>
      <w:bookmarkEnd w:id="92"/>
      <w:bookmarkEnd w:id="93"/>
      <w:bookmarkEnd w:id="94"/>
      <w:bookmarkEnd w:id="95"/>
      <w:bookmarkEnd w:id="96"/>
      <w:bookmarkEnd w:id="97"/>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.各参测机构应认真做好技术准备和测试环境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详尽的测试计划，并指定专人负责本次</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工作。</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.所有拟使用新接口的机构必须参加本次</w:t>
      </w:r>
      <w:r>
        <w:rPr>
          <w:rFonts w:hint="eastAsia" w:cs="Times New Roman"/>
          <w:color w:val="000000" w:themeColor="text1"/>
          <w:sz w:val="30"/>
          <w:szCs w:val="30"/>
          <w14:textFill>
            <w14:solidFill>
              <w14:schemeClr w14:val="tx1"/>
            </w14:solidFill>
          </w14:textFill>
        </w:rPr>
        <w:t>通关测试</w:t>
      </w:r>
      <w:r>
        <w:rPr>
          <w:rFonts w:cs="Times New Roman"/>
          <w:color w:val="000000" w:themeColor="text1"/>
          <w:sz w:val="30"/>
          <w:szCs w:val="30"/>
          <w14:textFill>
            <w14:solidFill>
              <w14:schemeClr w14:val="tx1"/>
            </w14:solidFill>
          </w14:textFill>
        </w:rPr>
        <w:t>。</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.在测试过程中，各参测机构应</w:t>
      </w:r>
      <w:r>
        <w:rPr>
          <w:rFonts w:hint="eastAsia" w:cs="Times New Roman"/>
          <w:color w:val="000000" w:themeColor="text1"/>
          <w:sz w:val="30"/>
          <w:szCs w:val="30"/>
          <w14:textFill>
            <w14:solidFill>
              <w14:schemeClr w14:val="tx1"/>
            </w14:solidFill>
          </w14:textFill>
        </w:rPr>
        <w:t>按要求完成测试场景，并</w:t>
      </w:r>
      <w:r>
        <w:rPr>
          <w:rFonts w:cs="Times New Roman"/>
          <w:color w:val="000000" w:themeColor="text1"/>
          <w:sz w:val="30"/>
          <w:szCs w:val="30"/>
          <w14:textFill>
            <w14:solidFill>
              <w14:schemeClr w14:val="tx1"/>
            </w14:solidFill>
          </w14:textFill>
        </w:rPr>
        <w:t>详细记载测试</w:t>
      </w:r>
      <w:r>
        <w:rPr>
          <w:rFonts w:hint="eastAsia" w:cs="Times New Roman"/>
          <w:color w:val="000000" w:themeColor="text1"/>
          <w:sz w:val="30"/>
          <w:szCs w:val="30"/>
          <w14:textFill>
            <w14:solidFill>
              <w14:schemeClr w14:val="tx1"/>
            </w14:solidFill>
          </w14:textFill>
        </w:rPr>
        <w:t>过程</w:t>
      </w:r>
      <w:r>
        <w:rPr>
          <w:rFonts w:cs="Times New Roman"/>
          <w:color w:val="000000" w:themeColor="text1"/>
          <w:sz w:val="30"/>
          <w:szCs w:val="30"/>
          <w14:textFill>
            <w14:solidFill>
              <w14:schemeClr w14:val="tx1"/>
            </w14:solidFill>
          </w14:textFill>
        </w:rPr>
        <w:t>与结果，检查其正确性。如发现异常现象，请及时通过电话或QQ群与</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沟通联系。</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4.测试结束后，各参测证券公司应收集各自技术系统的测试情况，2025年11月29日16:00之前通过BPM提交测试报告，其它机构应按上述时间要求通过电子邮件提交测试报告，邮件主题和附件名称均为：机构名称+</w:t>
      </w:r>
      <w:r>
        <w:rPr>
          <w:rFonts w:cs="Times New Roman"/>
          <w:color w:val="000000" w:themeColor="text1"/>
          <w:sz w:val="30"/>
          <w:szCs w:val="30"/>
          <w14:textFill>
            <w14:solidFill>
              <w14:schemeClr w14:val="tx1"/>
            </w14:solidFill>
          </w14:textFill>
        </w:rPr>
        <w:t>固定收益平台数据接口规范1.0版</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反馈报告，收件邮箱为：techservice@neeq.com.cn。</w:t>
      </w:r>
    </w:p>
    <w:p>
      <w:pPr>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北交所履行上线决策后，请各参测机构根据北交所的通关测试结果做好技术系统数据恢复和验证工作，并于2025年11月30日10:00前反馈技术系统恢复情况报告。各证券公司通过BPM反馈，其它机构通过电子邮件反馈至techservice@neeq.com.cn。</w:t>
      </w:r>
    </w:p>
    <w:p>
      <w:pPr>
        <w:spacing w:line="560" w:lineRule="exact"/>
        <w:ind w:firstLine="600"/>
        <w:jc w:val="both"/>
        <w:rPr>
          <w:rFonts w:cs="Times New Roman"/>
          <w:color w:val="000000" w:themeColor="text1"/>
          <w:sz w:val="30"/>
          <w:szCs w:val="30"/>
          <w14:textFill>
            <w14:solidFill>
              <w14:schemeClr w14:val="tx1"/>
            </w14:solidFill>
          </w14:textFill>
        </w:rPr>
      </w:pPr>
      <w:bookmarkStart w:id="98" w:name="_Toc376285240"/>
      <w:bookmarkStart w:id="99" w:name="_Toc375070745"/>
      <w:bookmarkStart w:id="100" w:name="_Toc374957927"/>
      <w:bookmarkStart w:id="101" w:name="_Toc375557981"/>
      <w:bookmarkStart w:id="102" w:name="_Toc376597533"/>
      <w:bookmarkStart w:id="103" w:name="_Toc2062526509"/>
      <w:bookmarkStart w:id="104" w:name="_Toc374381935"/>
      <w:bookmarkStart w:id="105" w:name="_Toc374381869"/>
      <w:r>
        <w:rPr>
          <w:rFonts w:cs="Times New Roman"/>
          <w:color w:val="000000" w:themeColor="text1"/>
          <w:sz w:val="30"/>
          <w:szCs w:val="30"/>
          <w14:textFill>
            <w14:solidFill>
              <w14:schemeClr w14:val="tx1"/>
            </w14:solidFill>
          </w14:textFill>
        </w:rPr>
        <w:t>6</w:t>
      </w:r>
      <w:r>
        <w:rPr>
          <w:rFonts w:hint="eastAsia" w:cs="Times New Roman"/>
          <w:color w:val="000000" w:themeColor="text1"/>
          <w:sz w:val="30"/>
          <w:szCs w:val="30"/>
          <w14:textFill>
            <w14:solidFill>
              <w14:schemeClr w14:val="tx1"/>
            </w14:solidFill>
          </w14:textFill>
        </w:rPr>
        <w:t>.通关测试期间数据仅为模拟测试使用，不能作为生产环境任何交易、非交易及开户等业务的依据。</w:t>
      </w:r>
    </w:p>
    <w:p>
      <w:pPr>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7.</w:t>
      </w:r>
      <w:r>
        <w:rPr>
          <w:rFonts w:hint="eastAsia" w:cs="Times New Roman"/>
          <w:color w:val="000000" w:themeColor="text1"/>
          <w:sz w:val="30"/>
          <w:szCs w:val="30"/>
          <w14:textFill>
            <w14:solidFill>
              <w14:schemeClr w14:val="tx1"/>
            </w14:solidFill>
          </w14:textFill>
        </w:rPr>
        <w:t>各参测机构应在测试完毕后，做好环境恢复和验证工作，确保下一交易日生产系统正常。</w:t>
      </w:r>
    </w:p>
    <w:p>
      <w:pPr>
        <w:pStyle w:val="73"/>
        <w:spacing w:beforeLines="0" w:afterLines="0" w:line="560" w:lineRule="exact"/>
        <w:ind w:firstLine="600"/>
      </w:pPr>
      <w:bookmarkStart w:id="106" w:name="_Toc269177614"/>
      <w:r>
        <w:rPr>
          <w:rFonts w:hint="eastAsia"/>
        </w:rPr>
        <w:t>十一、</w:t>
      </w:r>
      <w:r>
        <w:t>联系方式</w:t>
      </w:r>
      <w:bookmarkEnd w:id="98"/>
      <w:bookmarkEnd w:id="99"/>
      <w:bookmarkEnd w:id="100"/>
      <w:bookmarkEnd w:id="101"/>
      <w:bookmarkEnd w:id="102"/>
      <w:bookmarkEnd w:id="103"/>
      <w:bookmarkEnd w:id="104"/>
      <w:bookmarkEnd w:id="105"/>
      <w:bookmarkEnd w:id="106"/>
    </w:p>
    <w:tbl>
      <w:tblPr>
        <w:tblStyle w:val="37"/>
        <w:tblW w:w="47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8"/>
        <w:gridCol w:w="4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line="520" w:lineRule="exact"/>
              <w:ind w:firstLine="0" w:firstLineChars="0"/>
              <w:jc w:val="center"/>
              <w:rPr>
                <w:rFonts w:eastAsia="楷体" w:cs="Times New Roman"/>
                <w:b/>
                <w:color w:val="000000" w:themeColor="text1"/>
                <w:szCs w:val="24"/>
                <w14:textFill>
                  <w14:solidFill>
                    <w14:schemeClr w14:val="tx1"/>
                  </w14:solidFill>
                </w14:textFill>
              </w:rPr>
            </w:pPr>
            <w:r>
              <w:rPr>
                <w:rFonts w:hint="eastAsia" w:eastAsia="楷体" w:cs="Times New Roman"/>
                <w:b/>
                <w:color w:val="000000" w:themeColor="text1"/>
                <w:szCs w:val="24"/>
                <w14:textFill>
                  <w14:solidFill>
                    <w14:schemeClr w14:val="tx1"/>
                  </w14:solidFill>
                </w14:textFill>
              </w:rPr>
              <w:t>通关测试</w:t>
            </w:r>
            <w:r>
              <w:rPr>
                <w:rFonts w:eastAsia="楷体" w:cs="Times New Roman"/>
                <w:b/>
                <w:color w:val="000000" w:themeColor="text1"/>
                <w:szCs w:val="24"/>
                <w14:textFill>
                  <w14:solidFill>
                    <w14:schemeClr w14:val="tx1"/>
                  </w14:solidFill>
                </w14:textFill>
              </w:rPr>
              <w:t>联系单位（人）</w:t>
            </w:r>
          </w:p>
        </w:tc>
        <w:tc>
          <w:tcPr>
            <w:tcW w:w="2896"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line="520" w:lineRule="exact"/>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北京证券</w:t>
            </w:r>
            <w:r>
              <w:rPr>
                <w:rFonts w:cs="Times New Roman"/>
                <w:color w:val="000000" w:themeColor="text1"/>
                <w:szCs w:val="24"/>
                <w14:textFill>
                  <w14:solidFill>
                    <w14:schemeClr w14:val="tx1"/>
                  </w14:solidFill>
                </w14:textFill>
              </w:rPr>
              <w:t>交易所</w:t>
            </w:r>
          </w:p>
          <w:p>
            <w:pPr>
              <w:spacing w:line="52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2896" w:type="pct"/>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深圳证券通信公司</w:t>
            </w:r>
          </w:p>
        </w:tc>
        <w:tc>
          <w:tcPr>
            <w:tcW w:w="2896" w:type="pct"/>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0755-83182222（运行咨询）</w:t>
            </w:r>
          </w:p>
          <w:p>
            <w:pPr>
              <w:spacing w:line="52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0755-88666462（专线、VPN接入）</w:t>
            </w:r>
          </w:p>
          <w:p>
            <w:pPr>
              <w:spacing w:line="52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0755-88666464（交易、行情）</w:t>
            </w:r>
          </w:p>
          <w:p>
            <w:pPr>
              <w:spacing w:line="52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2896" w:type="pct"/>
            <w:tcBorders>
              <w:top w:val="single" w:color="auto" w:sz="4" w:space="0"/>
              <w:left w:val="single" w:color="auto" w:sz="4" w:space="0"/>
              <w:bottom w:val="single" w:color="auto" w:sz="4" w:space="0"/>
              <w:right w:val="single" w:color="auto" w:sz="4" w:space="0"/>
            </w:tcBorders>
            <w:vAlign w:val="center"/>
          </w:tcPr>
          <w:p>
            <w:pPr>
              <w:spacing w:line="520" w:lineRule="exact"/>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北交所固收平台交易运行维护群：392171220，793069076</w:t>
            </w:r>
          </w:p>
        </w:tc>
      </w:tr>
    </w:tbl>
    <w:p>
      <w:pPr>
        <w:spacing w:line="240" w:lineRule="auto"/>
        <w:ind w:firstLine="600"/>
        <w:jc w:val="right"/>
        <w:rPr>
          <w:rFonts w:ascii="仿宋" w:hAnsi="仿宋" w:cs="Times New Roman"/>
          <w:color w:val="000000" w:themeColor="text1"/>
          <w:sz w:val="30"/>
          <w:szCs w:val="30"/>
          <w14:textFill>
            <w14:solidFill>
              <w14:schemeClr w14:val="tx1"/>
            </w14:solidFill>
          </w14:textFill>
        </w:rPr>
      </w:pP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北京证券交易所</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w:t>
      </w:r>
      <w:r>
        <w:rPr>
          <w:rFonts w:hint="eastAsia" w:ascii="仿宋" w:hAnsi="仿宋" w:cs="Times New Roman"/>
          <w:color w:val="000000" w:themeColor="text1"/>
          <w:sz w:val="30"/>
          <w:szCs w:val="30"/>
          <w14:textFill>
            <w14:solidFill>
              <w14:schemeClr w14:val="tx1"/>
            </w14:solidFill>
          </w14:textFill>
        </w:rPr>
        <w:t>〇</w:t>
      </w:r>
      <w:r>
        <w:rPr>
          <w:rFonts w:ascii="仿宋" w:hAnsi="仿宋" w:cs="Times New Roman"/>
          <w:color w:val="000000" w:themeColor="text1"/>
          <w:sz w:val="30"/>
          <w:szCs w:val="30"/>
          <w14:textFill>
            <w14:solidFill>
              <w14:schemeClr w14:val="tx1"/>
            </w14:solidFill>
          </w14:textFill>
        </w:rPr>
        <w:t>二</w:t>
      </w:r>
      <w:r>
        <w:rPr>
          <w:rFonts w:hint="eastAsia" w:ascii="仿宋" w:hAnsi="仿宋" w:cs="Times New Roman"/>
          <w:color w:val="000000" w:themeColor="text1"/>
          <w:sz w:val="30"/>
          <w:szCs w:val="30"/>
          <w14:textFill>
            <w14:solidFill>
              <w14:schemeClr w14:val="tx1"/>
            </w14:solidFill>
          </w14:textFill>
        </w:rPr>
        <w:t>五</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14:textFill>
            <w14:solidFill>
              <w14:schemeClr w14:val="tx1"/>
            </w14:solidFill>
          </w14:textFill>
        </w:rPr>
        <w:t>十一</w:t>
      </w:r>
      <w:r>
        <w:rPr>
          <w:rFonts w:ascii="仿宋" w:hAnsi="仿宋" w:cs="Times New Roman"/>
          <w:color w:val="000000" w:themeColor="text1"/>
          <w:sz w:val="30"/>
          <w:szCs w:val="30"/>
          <w14:textFill>
            <w14:solidFill>
              <w14:schemeClr w14:val="tx1"/>
            </w14:solidFill>
          </w14:textFill>
        </w:rPr>
        <w:t>月</w:t>
      </w:r>
      <w:bookmarkEnd w:id="10"/>
    </w:p>
    <w:sectPr>
      <w:footerReference r:id="rId11" w:type="default"/>
      <w:footerReference r:id="rId12" w:type="even"/>
      <w:pgSz w:w="11906" w:h="16838"/>
      <w:pgMar w:top="1588" w:right="1701" w:bottom="1588" w:left="1701" w:header="907" w:footer="907" w:gutter="0"/>
      <w:pgNumType w:fmt="numberInDash"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CG Times">
    <w:altName w:val="DejaVu Sans"/>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FangSong">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rPr>
        <w:rFonts w:asciiTheme="minorEastAsia" w:hAnsiTheme="minorEastAsia" w:eastAsia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eastAsiaTheme="minorEastAsia"/>
        <w:sz w:val="28"/>
        <w:szCs w:val="28"/>
      </w:rPr>
    </w:sdtEndPr>
    <w:sdtContent>
      <w:p>
        <w:pPr>
          <w:pStyle w:val="24"/>
          <w:ind w:left="2400" w:firstLine="36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497536753"/>
    </w:sdtPr>
    <w:sdtEndPr>
      <w:rPr>
        <w:rFonts w:asciiTheme="minorEastAsia" w:hAnsiTheme="minorEastAsia" w:eastAsiaTheme="minorEastAsia"/>
        <w:sz w:val="28"/>
        <w:szCs w:val="28"/>
      </w:rPr>
    </w:sdtEndPr>
    <w:sdtContent>
      <w:p>
        <w:pPr>
          <w:pStyle w:val="24"/>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6 -</w:t>
        </w:r>
        <w:r>
          <w:rPr>
            <w:rFonts w:asciiTheme="minorEastAsia" w:hAnsiTheme="minorEastAsia" w:eastAsia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通关测试方案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通关测试方案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9"/>
      <w:lvlText w:val="（%3）"/>
      <w:lvlJc w:val="left"/>
      <w:pPr>
        <w:ind w:left="1200" w:hanging="1200"/>
      </w:pPr>
      <w:rPr>
        <w:rFonts w:hint="default"/>
      </w:rPr>
    </w:lvl>
    <w:lvl w:ilvl="3" w:tentative="0">
      <w:start w:val="1"/>
      <w:numFmt w:val="decimal"/>
      <w:pStyle w:val="70"/>
      <w:lvlText w:val="%1.%2.%3.%4"/>
      <w:lvlJc w:val="left"/>
      <w:pPr>
        <w:ind w:left="0" w:firstLine="0"/>
      </w:pPr>
      <w:rPr>
        <w:rFonts w:hint="eastAsia"/>
      </w:rPr>
    </w:lvl>
    <w:lvl w:ilvl="4" w:tentative="0">
      <w:start w:val="1"/>
      <w:numFmt w:val="decimal"/>
      <w:pStyle w:val="6"/>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8184730"/>
    <w:multiLevelType w:val="multilevel"/>
    <w:tmpl w:val="58184730"/>
    <w:lvl w:ilvl="0" w:tentative="0">
      <w:start w:val="1"/>
      <w:numFmt w:val="chineseCountingThousand"/>
      <w:pStyle w:val="77"/>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7BC86D68"/>
    <w:multiLevelType w:val="multilevel"/>
    <w:tmpl w:val="7BC86D68"/>
    <w:lvl w:ilvl="0" w:tentative="0">
      <w:start w:val="1"/>
      <w:numFmt w:val="chineseCountingThousand"/>
      <w:pStyle w:val="88"/>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evenAndOddHeaders w:val="1"/>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03D4"/>
    <w:rsid w:val="000008CD"/>
    <w:rsid w:val="000021F2"/>
    <w:rsid w:val="000042CA"/>
    <w:rsid w:val="00012061"/>
    <w:rsid w:val="00014FCB"/>
    <w:rsid w:val="00015F0D"/>
    <w:rsid w:val="0001604C"/>
    <w:rsid w:val="000170DD"/>
    <w:rsid w:val="00022265"/>
    <w:rsid w:val="00023DC3"/>
    <w:rsid w:val="00025609"/>
    <w:rsid w:val="0003224B"/>
    <w:rsid w:val="000340E9"/>
    <w:rsid w:val="000356E8"/>
    <w:rsid w:val="0004235A"/>
    <w:rsid w:val="00044E9E"/>
    <w:rsid w:val="00046C0A"/>
    <w:rsid w:val="00050DD8"/>
    <w:rsid w:val="00052298"/>
    <w:rsid w:val="000560D3"/>
    <w:rsid w:val="00060E86"/>
    <w:rsid w:val="000634E3"/>
    <w:rsid w:val="0006394D"/>
    <w:rsid w:val="00063C7F"/>
    <w:rsid w:val="00072914"/>
    <w:rsid w:val="00074A7E"/>
    <w:rsid w:val="0007786A"/>
    <w:rsid w:val="000804B5"/>
    <w:rsid w:val="00080895"/>
    <w:rsid w:val="00080B96"/>
    <w:rsid w:val="00081010"/>
    <w:rsid w:val="000818B1"/>
    <w:rsid w:val="00091A09"/>
    <w:rsid w:val="000A2740"/>
    <w:rsid w:val="000A4D6D"/>
    <w:rsid w:val="000A666E"/>
    <w:rsid w:val="000A75FE"/>
    <w:rsid w:val="000B0B0C"/>
    <w:rsid w:val="000B0C3E"/>
    <w:rsid w:val="000C05E3"/>
    <w:rsid w:val="000C1158"/>
    <w:rsid w:val="000C1477"/>
    <w:rsid w:val="000C3BFD"/>
    <w:rsid w:val="000C7A4B"/>
    <w:rsid w:val="000C7BA4"/>
    <w:rsid w:val="000D0227"/>
    <w:rsid w:val="000D6685"/>
    <w:rsid w:val="000D75C2"/>
    <w:rsid w:val="000E2A65"/>
    <w:rsid w:val="000E3E52"/>
    <w:rsid w:val="000E4A53"/>
    <w:rsid w:val="000E6435"/>
    <w:rsid w:val="000E6821"/>
    <w:rsid w:val="000E7B32"/>
    <w:rsid w:val="000F13C8"/>
    <w:rsid w:val="000F1908"/>
    <w:rsid w:val="000F6857"/>
    <w:rsid w:val="00100FBF"/>
    <w:rsid w:val="00101373"/>
    <w:rsid w:val="00101A04"/>
    <w:rsid w:val="001044B8"/>
    <w:rsid w:val="00107BA4"/>
    <w:rsid w:val="00113FBF"/>
    <w:rsid w:val="00115F86"/>
    <w:rsid w:val="00131398"/>
    <w:rsid w:val="0013179F"/>
    <w:rsid w:val="001340A3"/>
    <w:rsid w:val="00141196"/>
    <w:rsid w:val="00143D54"/>
    <w:rsid w:val="001450C4"/>
    <w:rsid w:val="0014545C"/>
    <w:rsid w:val="0014549F"/>
    <w:rsid w:val="00146350"/>
    <w:rsid w:val="0014719A"/>
    <w:rsid w:val="001538F9"/>
    <w:rsid w:val="00155859"/>
    <w:rsid w:val="00165CA6"/>
    <w:rsid w:val="00167234"/>
    <w:rsid w:val="001703D1"/>
    <w:rsid w:val="0017686E"/>
    <w:rsid w:val="0018007C"/>
    <w:rsid w:val="00180255"/>
    <w:rsid w:val="00183028"/>
    <w:rsid w:val="00185284"/>
    <w:rsid w:val="00186457"/>
    <w:rsid w:val="001902F0"/>
    <w:rsid w:val="00190447"/>
    <w:rsid w:val="00193B89"/>
    <w:rsid w:val="00193EB0"/>
    <w:rsid w:val="00193ECC"/>
    <w:rsid w:val="001949B0"/>
    <w:rsid w:val="0019725F"/>
    <w:rsid w:val="001978C8"/>
    <w:rsid w:val="001A5FD0"/>
    <w:rsid w:val="001A70B7"/>
    <w:rsid w:val="001A7EE0"/>
    <w:rsid w:val="001B173B"/>
    <w:rsid w:val="001B23EC"/>
    <w:rsid w:val="001B7F01"/>
    <w:rsid w:val="001C3443"/>
    <w:rsid w:val="001C4F4F"/>
    <w:rsid w:val="001D0A01"/>
    <w:rsid w:val="001D2164"/>
    <w:rsid w:val="001D2BAE"/>
    <w:rsid w:val="001D7798"/>
    <w:rsid w:val="001E150F"/>
    <w:rsid w:val="001E1C28"/>
    <w:rsid w:val="001F3017"/>
    <w:rsid w:val="001F4C2E"/>
    <w:rsid w:val="001F5611"/>
    <w:rsid w:val="001F77A6"/>
    <w:rsid w:val="00200581"/>
    <w:rsid w:val="00203404"/>
    <w:rsid w:val="00206259"/>
    <w:rsid w:val="00212DDC"/>
    <w:rsid w:val="002171AA"/>
    <w:rsid w:val="002206C8"/>
    <w:rsid w:val="00221E9F"/>
    <w:rsid w:val="0023258F"/>
    <w:rsid w:val="00234E19"/>
    <w:rsid w:val="00236029"/>
    <w:rsid w:val="002406AF"/>
    <w:rsid w:val="00240BAB"/>
    <w:rsid w:val="00240C47"/>
    <w:rsid w:val="00241718"/>
    <w:rsid w:val="00242A49"/>
    <w:rsid w:val="002436A0"/>
    <w:rsid w:val="00247AC2"/>
    <w:rsid w:val="00252AF6"/>
    <w:rsid w:val="00253C9D"/>
    <w:rsid w:val="00254AF5"/>
    <w:rsid w:val="00256BE1"/>
    <w:rsid w:val="002579A2"/>
    <w:rsid w:val="0026430A"/>
    <w:rsid w:val="002650CB"/>
    <w:rsid w:val="0026626B"/>
    <w:rsid w:val="00266A8F"/>
    <w:rsid w:val="00266E71"/>
    <w:rsid w:val="00273CD5"/>
    <w:rsid w:val="0027405D"/>
    <w:rsid w:val="00275424"/>
    <w:rsid w:val="002759F4"/>
    <w:rsid w:val="00277AEC"/>
    <w:rsid w:val="00277C7D"/>
    <w:rsid w:val="002806B9"/>
    <w:rsid w:val="00280D3D"/>
    <w:rsid w:val="00282E3C"/>
    <w:rsid w:val="00284448"/>
    <w:rsid w:val="00297152"/>
    <w:rsid w:val="00297B1D"/>
    <w:rsid w:val="00297E71"/>
    <w:rsid w:val="002A0254"/>
    <w:rsid w:val="002A52EA"/>
    <w:rsid w:val="002A6D34"/>
    <w:rsid w:val="002C1D49"/>
    <w:rsid w:val="002C7089"/>
    <w:rsid w:val="002D3F71"/>
    <w:rsid w:val="002D41A0"/>
    <w:rsid w:val="002D797A"/>
    <w:rsid w:val="002E33C4"/>
    <w:rsid w:val="002E4041"/>
    <w:rsid w:val="002E578C"/>
    <w:rsid w:val="002E74FD"/>
    <w:rsid w:val="002E7548"/>
    <w:rsid w:val="002F0A5F"/>
    <w:rsid w:val="002F0E90"/>
    <w:rsid w:val="002F3286"/>
    <w:rsid w:val="002F4EA5"/>
    <w:rsid w:val="002F7C80"/>
    <w:rsid w:val="00300C20"/>
    <w:rsid w:val="00305ADC"/>
    <w:rsid w:val="00306BDB"/>
    <w:rsid w:val="00307F45"/>
    <w:rsid w:val="00310306"/>
    <w:rsid w:val="00311CE6"/>
    <w:rsid w:val="00312884"/>
    <w:rsid w:val="003138C1"/>
    <w:rsid w:val="00314A94"/>
    <w:rsid w:val="00320A48"/>
    <w:rsid w:val="00320EEE"/>
    <w:rsid w:val="003254AE"/>
    <w:rsid w:val="00335E68"/>
    <w:rsid w:val="0033640B"/>
    <w:rsid w:val="00336769"/>
    <w:rsid w:val="003435C8"/>
    <w:rsid w:val="0034490A"/>
    <w:rsid w:val="00345A5A"/>
    <w:rsid w:val="00350902"/>
    <w:rsid w:val="00362F19"/>
    <w:rsid w:val="00363B70"/>
    <w:rsid w:val="003642E5"/>
    <w:rsid w:val="00370791"/>
    <w:rsid w:val="00370795"/>
    <w:rsid w:val="00373C01"/>
    <w:rsid w:val="00374DAD"/>
    <w:rsid w:val="00376C12"/>
    <w:rsid w:val="00385178"/>
    <w:rsid w:val="00387E17"/>
    <w:rsid w:val="003A18ED"/>
    <w:rsid w:val="003A3C96"/>
    <w:rsid w:val="003A3D7E"/>
    <w:rsid w:val="003B2383"/>
    <w:rsid w:val="003B5A65"/>
    <w:rsid w:val="003B644C"/>
    <w:rsid w:val="003B662E"/>
    <w:rsid w:val="003C1112"/>
    <w:rsid w:val="003C23AB"/>
    <w:rsid w:val="003C4E3E"/>
    <w:rsid w:val="003C5E51"/>
    <w:rsid w:val="003C5F2F"/>
    <w:rsid w:val="003C62CC"/>
    <w:rsid w:val="003E4A8B"/>
    <w:rsid w:val="003F01F0"/>
    <w:rsid w:val="003F2AA4"/>
    <w:rsid w:val="003F55F8"/>
    <w:rsid w:val="00401621"/>
    <w:rsid w:val="004059C2"/>
    <w:rsid w:val="00407FF3"/>
    <w:rsid w:val="00416159"/>
    <w:rsid w:val="0042028F"/>
    <w:rsid w:val="004243EC"/>
    <w:rsid w:val="00425E28"/>
    <w:rsid w:val="00427365"/>
    <w:rsid w:val="0043256A"/>
    <w:rsid w:val="00436F29"/>
    <w:rsid w:val="00437D28"/>
    <w:rsid w:val="0044032D"/>
    <w:rsid w:val="0044077A"/>
    <w:rsid w:val="004522B0"/>
    <w:rsid w:val="004568C9"/>
    <w:rsid w:val="00456985"/>
    <w:rsid w:val="004612E9"/>
    <w:rsid w:val="0046391E"/>
    <w:rsid w:val="00463E9C"/>
    <w:rsid w:val="00467A63"/>
    <w:rsid w:val="00472ED3"/>
    <w:rsid w:val="0047526B"/>
    <w:rsid w:val="00477040"/>
    <w:rsid w:val="004821DA"/>
    <w:rsid w:val="00484635"/>
    <w:rsid w:val="00487504"/>
    <w:rsid w:val="004903E3"/>
    <w:rsid w:val="0049165A"/>
    <w:rsid w:val="00491C36"/>
    <w:rsid w:val="004921BC"/>
    <w:rsid w:val="00492EA6"/>
    <w:rsid w:val="0049466C"/>
    <w:rsid w:val="00495886"/>
    <w:rsid w:val="00495945"/>
    <w:rsid w:val="00496D8F"/>
    <w:rsid w:val="00497D1B"/>
    <w:rsid w:val="004A4F42"/>
    <w:rsid w:val="004B07C1"/>
    <w:rsid w:val="004B0EA0"/>
    <w:rsid w:val="004B2611"/>
    <w:rsid w:val="004B55CC"/>
    <w:rsid w:val="004B5734"/>
    <w:rsid w:val="004B7723"/>
    <w:rsid w:val="004C2127"/>
    <w:rsid w:val="004C64A5"/>
    <w:rsid w:val="004D1909"/>
    <w:rsid w:val="004E21F8"/>
    <w:rsid w:val="004E3D4D"/>
    <w:rsid w:val="004E587F"/>
    <w:rsid w:val="004F0391"/>
    <w:rsid w:val="004F1807"/>
    <w:rsid w:val="004F1AC3"/>
    <w:rsid w:val="005006A8"/>
    <w:rsid w:val="00512808"/>
    <w:rsid w:val="00521A99"/>
    <w:rsid w:val="00526307"/>
    <w:rsid w:val="005302C8"/>
    <w:rsid w:val="00530549"/>
    <w:rsid w:val="00533919"/>
    <w:rsid w:val="00533984"/>
    <w:rsid w:val="00534172"/>
    <w:rsid w:val="00534793"/>
    <w:rsid w:val="00543365"/>
    <w:rsid w:val="00545001"/>
    <w:rsid w:val="005466AD"/>
    <w:rsid w:val="00547616"/>
    <w:rsid w:val="00550DE4"/>
    <w:rsid w:val="005566F2"/>
    <w:rsid w:val="00557146"/>
    <w:rsid w:val="0056297E"/>
    <w:rsid w:val="00564776"/>
    <w:rsid w:val="00564FEE"/>
    <w:rsid w:val="00566302"/>
    <w:rsid w:val="005670D6"/>
    <w:rsid w:val="00576139"/>
    <w:rsid w:val="00577876"/>
    <w:rsid w:val="00580C9D"/>
    <w:rsid w:val="00580D35"/>
    <w:rsid w:val="00581FF8"/>
    <w:rsid w:val="00585660"/>
    <w:rsid w:val="0059060E"/>
    <w:rsid w:val="005A2515"/>
    <w:rsid w:val="005B076F"/>
    <w:rsid w:val="005B446A"/>
    <w:rsid w:val="005C0530"/>
    <w:rsid w:val="005C0D5D"/>
    <w:rsid w:val="005C4075"/>
    <w:rsid w:val="005C6E19"/>
    <w:rsid w:val="005D0387"/>
    <w:rsid w:val="005D2DAD"/>
    <w:rsid w:val="005D4749"/>
    <w:rsid w:val="005E1F19"/>
    <w:rsid w:val="005E2335"/>
    <w:rsid w:val="005E628B"/>
    <w:rsid w:val="005E6751"/>
    <w:rsid w:val="005F3660"/>
    <w:rsid w:val="005F6332"/>
    <w:rsid w:val="005F760C"/>
    <w:rsid w:val="00600CA6"/>
    <w:rsid w:val="00600F2C"/>
    <w:rsid w:val="00605FEB"/>
    <w:rsid w:val="006063DD"/>
    <w:rsid w:val="00607D03"/>
    <w:rsid w:val="006117DB"/>
    <w:rsid w:val="006157E1"/>
    <w:rsid w:val="00616628"/>
    <w:rsid w:val="006216FC"/>
    <w:rsid w:val="00624CC1"/>
    <w:rsid w:val="006263CC"/>
    <w:rsid w:val="00626B1B"/>
    <w:rsid w:val="00627371"/>
    <w:rsid w:val="006304E5"/>
    <w:rsid w:val="006338D2"/>
    <w:rsid w:val="00635159"/>
    <w:rsid w:val="00641376"/>
    <w:rsid w:val="00641D82"/>
    <w:rsid w:val="0065270F"/>
    <w:rsid w:val="00655003"/>
    <w:rsid w:val="0065516D"/>
    <w:rsid w:val="00665C84"/>
    <w:rsid w:val="00665E3C"/>
    <w:rsid w:val="006722C2"/>
    <w:rsid w:val="00675AD2"/>
    <w:rsid w:val="00675C3D"/>
    <w:rsid w:val="00677BB3"/>
    <w:rsid w:val="00681A8C"/>
    <w:rsid w:val="00682A05"/>
    <w:rsid w:val="006830AC"/>
    <w:rsid w:val="00683D29"/>
    <w:rsid w:val="00684C30"/>
    <w:rsid w:val="00684DA1"/>
    <w:rsid w:val="006911DE"/>
    <w:rsid w:val="00694B1E"/>
    <w:rsid w:val="006A0848"/>
    <w:rsid w:val="006A0E95"/>
    <w:rsid w:val="006A36DF"/>
    <w:rsid w:val="006A40A0"/>
    <w:rsid w:val="006A644D"/>
    <w:rsid w:val="006B0241"/>
    <w:rsid w:val="006B241C"/>
    <w:rsid w:val="006B2B18"/>
    <w:rsid w:val="006C0636"/>
    <w:rsid w:val="006C0B8B"/>
    <w:rsid w:val="006C5775"/>
    <w:rsid w:val="006C6879"/>
    <w:rsid w:val="006D77B5"/>
    <w:rsid w:val="006E0BE2"/>
    <w:rsid w:val="006E2D38"/>
    <w:rsid w:val="006E503C"/>
    <w:rsid w:val="006E6D42"/>
    <w:rsid w:val="006E7BA5"/>
    <w:rsid w:val="006E7DCA"/>
    <w:rsid w:val="006F05A8"/>
    <w:rsid w:val="006F34CB"/>
    <w:rsid w:val="006F4E09"/>
    <w:rsid w:val="00701D1B"/>
    <w:rsid w:val="00701F1B"/>
    <w:rsid w:val="00703C11"/>
    <w:rsid w:val="00706ECF"/>
    <w:rsid w:val="00710392"/>
    <w:rsid w:val="00711EC8"/>
    <w:rsid w:val="0071469D"/>
    <w:rsid w:val="00715EBB"/>
    <w:rsid w:val="007211EC"/>
    <w:rsid w:val="00721CCB"/>
    <w:rsid w:val="0072630D"/>
    <w:rsid w:val="00727D77"/>
    <w:rsid w:val="007306AE"/>
    <w:rsid w:val="00733F21"/>
    <w:rsid w:val="00753120"/>
    <w:rsid w:val="007544C5"/>
    <w:rsid w:val="007553D8"/>
    <w:rsid w:val="00755F4B"/>
    <w:rsid w:val="007634EE"/>
    <w:rsid w:val="007675C0"/>
    <w:rsid w:val="00767E91"/>
    <w:rsid w:val="00767F1F"/>
    <w:rsid w:val="00774158"/>
    <w:rsid w:val="0077792A"/>
    <w:rsid w:val="007835B6"/>
    <w:rsid w:val="00785FE5"/>
    <w:rsid w:val="00786A27"/>
    <w:rsid w:val="00786D46"/>
    <w:rsid w:val="00792C28"/>
    <w:rsid w:val="00793331"/>
    <w:rsid w:val="00794E83"/>
    <w:rsid w:val="00795E74"/>
    <w:rsid w:val="0079718C"/>
    <w:rsid w:val="007A0778"/>
    <w:rsid w:val="007A083E"/>
    <w:rsid w:val="007A6CA5"/>
    <w:rsid w:val="007B0A94"/>
    <w:rsid w:val="007C007D"/>
    <w:rsid w:val="007C2325"/>
    <w:rsid w:val="007C6899"/>
    <w:rsid w:val="007C6FB6"/>
    <w:rsid w:val="007C77E5"/>
    <w:rsid w:val="007D39B9"/>
    <w:rsid w:val="007D5E12"/>
    <w:rsid w:val="007D6CBD"/>
    <w:rsid w:val="007E3B99"/>
    <w:rsid w:val="007E5470"/>
    <w:rsid w:val="007E783B"/>
    <w:rsid w:val="007F26C9"/>
    <w:rsid w:val="007F26FE"/>
    <w:rsid w:val="007F2F79"/>
    <w:rsid w:val="00803EB2"/>
    <w:rsid w:val="00806AD8"/>
    <w:rsid w:val="00810C54"/>
    <w:rsid w:val="0081304A"/>
    <w:rsid w:val="008166B5"/>
    <w:rsid w:val="0082095E"/>
    <w:rsid w:val="00820C3B"/>
    <w:rsid w:val="00821431"/>
    <w:rsid w:val="008244B7"/>
    <w:rsid w:val="0082472D"/>
    <w:rsid w:val="00824F21"/>
    <w:rsid w:val="00832685"/>
    <w:rsid w:val="00834071"/>
    <w:rsid w:val="00841245"/>
    <w:rsid w:val="00852DD5"/>
    <w:rsid w:val="0085463C"/>
    <w:rsid w:val="00855A28"/>
    <w:rsid w:val="00860ABB"/>
    <w:rsid w:val="0086111C"/>
    <w:rsid w:val="00864173"/>
    <w:rsid w:val="0086442D"/>
    <w:rsid w:val="008663D3"/>
    <w:rsid w:val="0087185D"/>
    <w:rsid w:val="00875B14"/>
    <w:rsid w:val="00875B39"/>
    <w:rsid w:val="00884977"/>
    <w:rsid w:val="00884E8D"/>
    <w:rsid w:val="00885B06"/>
    <w:rsid w:val="00885D05"/>
    <w:rsid w:val="0089111C"/>
    <w:rsid w:val="00892181"/>
    <w:rsid w:val="008B4B2F"/>
    <w:rsid w:val="008B78FE"/>
    <w:rsid w:val="008C02F4"/>
    <w:rsid w:val="008C098C"/>
    <w:rsid w:val="008C28DF"/>
    <w:rsid w:val="008C3622"/>
    <w:rsid w:val="008C5A31"/>
    <w:rsid w:val="008C702A"/>
    <w:rsid w:val="008D1EBB"/>
    <w:rsid w:val="008E0050"/>
    <w:rsid w:val="008E301B"/>
    <w:rsid w:val="008E4048"/>
    <w:rsid w:val="008F4B76"/>
    <w:rsid w:val="008F753A"/>
    <w:rsid w:val="008F760D"/>
    <w:rsid w:val="009003E1"/>
    <w:rsid w:val="0090041B"/>
    <w:rsid w:val="00901440"/>
    <w:rsid w:val="00902A1E"/>
    <w:rsid w:val="00903270"/>
    <w:rsid w:val="00906DBF"/>
    <w:rsid w:val="00906EA2"/>
    <w:rsid w:val="00912987"/>
    <w:rsid w:val="00913CCA"/>
    <w:rsid w:val="0092218D"/>
    <w:rsid w:val="00922895"/>
    <w:rsid w:val="0092661C"/>
    <w:rsid w:val="00933037"/>
    <w:rsid w:val="0093438C"/>
    <w:rsid w:val="0094370A"/>
    <w:rsid w:val="00944D01"/>
    <w:rsid w:val="009452AB"/>
    <w:rsid w:val="009504F6"/>
    <w:rsid w:val="00952067"/>
    <w:rsid w:val="00953908"/>
    <w:rsid w:val="00953DA1"/>
    <w:rsid w:val="009541FF"/>
    <w:rsid w:val="009546DB"/>
    <w:rsid w:val="0095511D"/>
    <w:rsid w:val="00956537"/>
    <w:rsid w:val="00956A92"/>
    <w:rsid w:val="0096362F"/>
    <w:rsid w:val="00966241"/>
    <w:rsid w:val="00971650"/>
    <w:rsid w:val="00972A4B"/>
    <w:rsid w:val="00973478"/>
    <w:rsid w:val="00981237"/>
    <w:rsid w:val="00985647"/>
    <w:rsid w:val="00986D1E"/>
    <w:rsid w:val="009918C3"/>
    <w:rsid w:val="00992D72"/>
    <w:rsid w:val="009A01EC"/>
    <w:rsid w:val="009A1E52"/>
    <w:rsid w:val="009A20F1"/>
    <w:rsid w:val="009A35A9"/>
    <w:rsid w:val="009A4E1B"/>
    <w:rsid w:val="009A5843"/>
    <w:rsid w:val="009A60A4"/>
    <w:rsid w:val="009B239A"/>
    <w:rsid w:val="009B3AAB"/>
    <w:rsid w:val="009C3AA0"/>
    <w:rsid w:val="009C572A"/>
    <w:rsid w:val="009D0A20"/>
    <w:rsid w:val="009D0C8F"/>
    <w:rsid w:val="009D0E44"/>
    <w:rsid w:val="009D13DC"/>
    <w:rsid w:val="009D1606"/>
    <w:rsid w:val="009D20B5"/>
    <w:rsid w:val="009D55D5"/>
    <w:rsid w:val="009D7358"/>
    <w:rsid w:val="009D7675"/>
    <w:rsid w:val="009E5A45"/>
    <w:rsid w:val="009E7116"/>
    <w:rsid w:val="009F36F5"/>
    <w:rsid w:val="009F3C68"/>
    <w:rsid w:val="009F42A0"/>
    <w:rsid w:val="009F721A"/>
    <w:rsid w:val="00A02141"/>
    <w:rsid w:val="00A03A05"/>
    <w:rsid w:val="00A0558B"/>
    <w:rsid w:val="00A05A5A"/>
    <w:rsid w:val="00A0767D"/>
    <w:rsid w:val="00A10ACB"/>
    <w:rsid w:val="00A115BA"/>
    <w:rsid w:val="00A14205"/>
    <w:rsid w:val="00A164E1"/>
    <w:rsid w:val="00A242BC"/>
    <w:rsid w:val="00A24C70"/>
    <w:rsid w:val="00A2501B"/>
    <w:rsid w:val="00A26646"/>
    <w:rsid w:val="00A35AB7"/>
    <w:rsid w:val="00A37FD5"/>
    <w:rsid w:val="00A400F2"/>
    <w:rsid w:val="00A4126F"/>
    <w:rsid w:val="00A41BAD"/>
    <w:rsid w:val="00A41F2B"/>
    <w:rsid w:val="00A51B86"/>
    <w:rsid w:val="00A51FA6"/>
    <w:rsid w:val="00A53302"/>
    <w:rsid w:val="00A55A9E"/>
    <w:rsid w:val="00A61174"/>
    <w:rsid w:val="00A61FBC"/>
    <w:rsid w:val="00A65947"/>
    <w:rsid w:val="00A67D57"/>
    <w:rsid w:val="00A760AA"/>
    <w:rsid w:val="00A81C54"/>
    <w:rsid w:val="00A826A8"/>
    <w:rsid w:val="00A9049D"/>
    <w:rsid w:val="00A94575"/>
    <w:rsid w:val="00A97679"/>
    <w:rsid w:val="00AA2208"/>
    <w:rsid w:val="00AA26EE"/>
    <w:rsid w:val="00AB1922"/>
    <w:rsid w:val="00AB3B27"/>
    <w:rsid w:val="00AB6BB3"/>
    <w:rsid w:val="00AB71D0"/>
    <w:rsid w:val="00AB7CF8"/>
    <w:rsid w:val="00AC7134"/>
    <w:rsid w:val="00AD2201"/>
    <w:rsid w:val="00AD3E28"/>
    <w:rsid w:val="00AD4CF3"/>
    <w:rsid w:val="00AD7FCE"/>
    <w:rsid w:val="00AE0901"/>
    <w:rsid w:val="00AE0FDD"/>
    <w:rsid w:val="00AE4E81"/>
    <w:rsid w:val="00AE5D76"/>
    <w:rsid w:val="00AF01DE"/>
    <w:rsid w:val="00AF37CC"/>
    <w:rsid w:val="00AF7D4C"/>
    <w:rsid w:val="00B018EC"/>
    <w:rsid w:val="00B04645"/>
    <w:rsid w:val="00B06BE3"/>
    <w:rsid w:val="00B07BE6"/>
    <w:rsid w:val="00B102DC"/>
    <w:rsid w:val="00B10EA6"/>
    <w:rsid w:val="00B1162B"/>
    <w:rsid w:val="00B1277F"/>
    <w:rsid w:val="00B13611"/>
    <w:rsid w:val="00B143FA"/>
    <w:rsid w:val="00B17276"/>
    <w:rsid w:val="00B23131"/>
    <w:rsid w:val="00B232C4"/>
    <w:rsid w:val="00B24D7B"/>
    <w:rsid w:val="00B26090"/>
    <w:rsid w:val="00B30CC0"/>
    <w:rsid w:val="00B31BD0"/>
    <w:rsid w:val="00B3344A"/>
    <w:rsid w:val="00B37E3D"/>
    <w:rsid w:val="00B40308"/>
    <w:rsid w:val="00B44970"/>
    <w:rsid w:val="00B476D0"/>
    <w:rsid w:val="00B51370"/>
    <w:rsid w:val="00B52D09"/>
    <w:rsid w:val="00B54F2F"/>
    <w:rsid w:val="00B57D40"/>
    <w:rsid w:val="00B62B0E"/>
    <w:rsid w:val="00B67D86"/>
    <w:rsid w:val="00B84BBC"/>
    <w:rsid w:val="00B9398A"/>
    <w:rsid w:val="00B942AA"/>
    <w:rsid w:val="00BA01EB"/>
    <w:rsid w:val="00BA1E37"/>
    <w:rsid w:val="00BA268A"/>
    <w:rsid w:val="00BA3ADB"/>
    <w:rsid w:val="00BA59C2"/>
    <w:rsid w:val="00BB01EB"/>
    <w:rsid w:val="00BB11ED"/>
    <w:rsid w:val="00BB2918"/>
    <w:rsid w:val="00BB7271"/>
    <w:rsid w:val="00BC21BC"/>
    <w:rsid w:val="00BC2E4D"/>
    <w:rsid w:val="00BD0347"/>
    <w:rsid w:val="00BD128D"/>
    <w:rsid w:val="00BD4B36"/>
    <w:rsid w:val="00BD56EA"/>
    <w:rsid w:val="00BD6279"/>
    <w:rsid w:val="00BD6572"/>
    <w:rsid w:val="00BD7578"/>
    <w:rsid w:val="00BE1719"/>
    <w:rsid w:val="00BE522E"/>
    <w:rsid w:val="00C00622"/>
    <w:rsid w:val="00C03F91"/>
    <w:rsid w:val="00C05C47"/>
    <w:rsid w:val="00C06767"/>
    <w:rsid w:val="00C11427"/>
    <w:rsid w:val="00C12207"/>
    <w:rsid w:val="00C14BE5"/>
    <w:rsid w:val="00C16ABA"/>
    <w:rsid w:val="00C21529"/>
    <w:rsid w:val="00C236DC"/>
    <w:rsid w:val="00C2520E"/>
    <w:rsid w:val="00C31A71"/>
    <w:rsid w:val="00C33A63"/>
    <w:rsid w:val="00C33ABB"/>
    <w:rsid w:val="00C33DC7"/>
    <w:rsid w:val="00C36DBA"/>
    <w:rsid w:val="00C37472"/>
    <w:rsid w:val="00C45B90"/>
    <w:rsid w:val="00C45F45"/>
    <w:rsid w:val="00C47D89"/>
    <w:rsid w:val="00C51B22"/>
    <w:rsid w:val="00C5281A"/>
    <w:rsid w:val="00C53A2D"/>
    <w:rsid w:val="00C5497C"/>
    <w:rsid w:val="00C5591D"/>
    <w:rsid w:val="00C60678"/>
    <w:rsid w:val="00C64131"/>
    <w:rsid w:val="00C64423"/>
    <w:rsid w:val="00C6502A"/>
    <w:rsid w:val="00C656F8"/>
    <w:rsid w:val="00C7138C"/>
    <w:rsid w:val="00C80CBE"/>
    <w:rsid w:val="00C81961"/>
    <w:rsid w:val="00C8479F"/>
    <w:rsid w:val="00C87C52"/>
    <w:rsid w:val="00C9188A"/>
    <w:rsid w:val="00C93829"/>
    <w:rsid w:val="00C94473"/>
    <w:rsid w:val="00C94C3D"/>
    <w:rsid w:val="00C955CB"/>
    <w:rsid w:val="00C9630C"/>
    <w:rsid w:val="00C9756F"/>
    <w:rsid w:val="00CA3BE1"/>
    <w:rsid w:val="00CA4BF4"/>
    <w:rsid w:val="00CA6EAB"/>
    <w:rsid w:val="00CB1A26"/>
    <w:rsid w:val="00CB3218"/>
    <w:rsid w:val="00CB7BA3"/>
    <w:rsid w:val="00CC0721"/>
    <w:rsid w:val="00CC390F"/>
    <w:rsid w:val="00CD004F"/>
    <w:rsid w:val="00CD0DA9"/>
    <w:rsid w:val="00CD3ADA"/>
    <w:rsid w:val="00CD3B46"/>
    <w:rsid w:val="00CD4258"/>
    <w:rsid w:val="00CD52C1"/>
    <w:rsid w:val="00CD7B7A"/>
    <w:rsid w:val="00CE621D"/>
    <w:rsid w:val="00CF54E4"/>
    <w:rsid w:val="00CF56B2"/>
    <w:rsid w:val="00D00542"/>
    <w:rsid w:val="00D0254E"/>
    <w:rsid w:val="00D050DC"/>
    <w:rsid w:val="00D14351"/>
    <w:rsid w:val="00D14569"/>
    <w:rsid w:val="00D17350"/>
    <w:rsid w:val="00D31A9E"/>
    <w:rsid w:val="00D32F2D"/>
    <w:rsid w:val="00D33719"/>
    <w:rsid w:val="00D36B25"/>
    <w:rsid w:val="00D37A4D"/>
    <w:rsid w:val="00D50B84"/>
    <w:rsid w:val="00D5517F"/>
    <w:rsid w:val="00D619FE"/>
    <w:rsid w:val="00D72715"/>
    <w:rsid w:val="00D731D7"/>
    <w:rsid w:val="00D73EC8"/>
    <w:rsid w:val="00D759AA"/>
    <w:rsid w:val="00D766E5"/>
    <w:rsid w:val="00D80DCA"/>
    <w:rsid w:val="00D83DE6"/>
    <w:rsid w:val="00D83EBC"/>
    <w:rsid w:val="00D8466F"/>
    <w:rsid w:val="00D85079"/>
    <w:rsid w:val="00D870A7"/>
    <w:rsid w:val="00D9068F"/>
    <w:rsid w:val="00D91228"/>
    <w:rsid w:val="00D91B1D"/>
    <w:rsid w:val="00D91F5D"/>
    <w:rsid w:val="00D959BA"/>
    <w:rsid w:val="00D967C6"/>
    <w:rsid w:val="00DA1317"/>
    <w:rsid w:val="00DA3F10"/>
    <w:rsid w:val="00DA3F36"/>
    <w:rsid w:val="00DA5075"/>
    <w:rsid w:val="00DA6588"/>
    <w:rsid w:val="00DA71AA"/>
    <w:rsid w:val="00DB3F07"/>
    <w:rsid w:val="00DB64C2"/>
    <w:rsid w:val="00DC2ACB"/>
    <w:rsid w:val="00DC2B7E"/>
    <w:rsid w:val="00DC3134"/>
    <w:rsid w:val="00DC4CD1"/>
    <w:rsid w:val="00DD0D50"/>
    <w:rsid w:val="00DD5E25"/>
    <w:rsid w:val="00DD6F4F"/>
    <w:rsid w:val="00DD727F"/>
    <w:rsid w:val="00DE1310"/>
    <w:rsid w:val="00DE267D"/>
    <w:rsid w:val="00DE3233"/>
    <w:rsid w:val="00DF147B"/>
    <w:rsid w:val="00DF28D8"/>
    <w:rsid w:val="00DF5FDC"/>
    <w:rsid w:val="00DF6C4C"/>
    <w:rsid w:val="00DF6D2F"/>
    <w:rsid w:val="00E0274E"/>
    <w:rsid w:val="00E077E0"/>
    <w:rsid w:val="00E14A59"/>
    <w:rsid w:val="00E1645A"/>
    <w:rsid w:val="00E20FAA"/>
    <w:rsid w:val="00E24091"/>
    <w:rsid w:val="00E24C24"/>
    <w:rsid w:val="00E24DB7"/>
    <w:rsid w:val="00E2539F"/>
    <w:rsid w:val="00E30A3C"/>
    <w:rsid w:val="00E32C75"/>
    <w:rsid w:val="00E4391B"/>
    <w:rsid w:val="00E43C32"/>
    <w:rsid w:val="00E52FAE"/>
    <w:rsid w:val="00E55448"/>
    <w:rsid w:val="00E557A5"/>
    <w:rsid w:val="00E638C1"/>
    <w:rsid w:val="00E70340"/>
    <w:rsid w:val="00E70452"/>
    <w:rsid w:val="00E81942"/>
    <w:rsid w:val="00E8204C"/>
    <w:rsid w:val="00E84189"/>
    <w:rsid w:val="00E85B5F"/>
    <w:rsid w:val="00E85E20"/>
    <w:rsid w:val="00E95E00"/>
    <w:rsid w:val="00EA0CD1"/>
    <w:rsid w:val="00EA35B3"/>
    <w:rsid w:val="00EB08C3"/>
    <w:rsid w:val="00EB0A7E"/>
    <w:rsid w:val="00EB498D"/>
    <w:rsid w:val="00EC25C5"/>
    <w:rsid w:val="00EC3ACD"/>
    <w:rsid w:val="00ED1A6A"/>
    <w:rsid w:val="00ED6518"/>
    <w:rsid w:val="00ED7AE7"/>
    <w:rsid w:val="00EE16E5"/>
    <w:rsid w:val="00EE375C"/>
    <w:rsid w:val="00EE5097"/>
    <w:rsid w:val="00EE5E8C"/>
    <w:rsid w:val="00EF4C9C"/>
    <w:rsid w:val="00F01128"/>
    <w:rsid w:val="00F02080"/>
    <w:rsid w:val="00F052BF"/>
    <w:rsid w:val="00F10A6C"/>
    <w:rsid w:val="00F11617"/>
    <w:rsid w:val="00F12F25"/>
    <w:rsid w:val="00F1638A"/>
    <w:rsid w:val="00F22F46"/>
    <w:rsid w:val="00F23527"/>
    <w:rsid w:val="00F24F0B"/>
    <w:rsid w:val="00F3059E"/>
    <w:rsid w:val="00F425F6"/>
    <w:rsid w:val="00F42707"/>
    <w:rsid w:val="00F50BC5"/>
    <w:rsid w:val="00F51A08"/>
    <w:rsid w:val="00F55B5B"/>
    <w:rsid w:val="00F56794"/>
    <w:rsid w:val="00F60079"/>
    <w:rsid w:val="00F61EBB"/>
    <w:rsid w:val="00F6534B"/>
    <w:rsid w:val="00F66A82"/>
    <w:rsid w:val="00F66B55"/>
    <w:rsid w:val="00F679A0"/>
    <w:rsid w:val="00F7245F"/>
    <w:rsid w:val="00F75008"/>
    <w:rsid w:val="00F76970"/>
    <w:rsid w:val="00F80A56"/>
    <w:rsid w:val="00F8160F"/>
    <w:rsid w:val="00F86C14"/>
    <w:rsid w:val="00F9001F"/>
    <w:rsid w:val="00F9375E"/>
    <w:rsid w:val="00FA0931"/>
    <w:rsid w:val="00FA0EF3"/>
    <w:rsid w:val="00FA7045"/>
    <w:rsid w:val="00FA74CE"/>
    <w:rsid w:val="00FA75E7"/>
    <w:rsid w:val="00FB6AFD"/>
    <w:rsid w:val="00FC0319"/>
    <w:rsid w:val="00FC1011"/>
    <w:rsid w:val="00FC2970"/>
    <w:rsid w:val="00FC4B8B"/>
    <w:rsid w:val="00FC73C0"/>
    <w:rsid w:val="00FD33B7"/>
    <w:rsid w:val="00FE09BF"/>
    <w:rsid w:val="00FE1D16"/>
    <w:rsid w:val="00FE5600"/>
    <w:rsid w:val="00FE7941"/>
    <w:rsid w:val="00FF0FE4"/>
    <w:rsid w:val="00FF23E0"/>
    <w:rsid w:val="00FF2E51"/>
    <w:rsid w:val="00FF5FB4"/>
    <w:rsid w:val="035A88D3"/>
    <w:rsid w:val="0E6D8802"/>
    <w:rsid w:val="0F3F617D"/>
    <w:rsid w:val="0FABB11C"/>
    <w:rsid w:val="0FCF826C"/>
    <w:rsid w:val="0FDFBCCF"/>
    <w:rsid w:val="0FFFC516"/>
    <w:rsid w:val="166D9573"/>
    <w:rsid w:val="1755219A"/>
    <w:rsid w:val="177C2306"/>
    <w:rsid w:val="177F29B5"/>
    <w:rsid w:val="1AFB273A"/>
    <w:rsid w:val="1B30BE67"/>
    <w:rsid w:val="1BBC5F19"/>
    <w:rsid w:val="1BD4F451"/>
    <w:rsid w:val="1BEEC318"/>
    <w:rsid w:val="1BFD8A42"/>
    <w:rsid w:val="1BFE62C3"/>
    <w:rsid w:val="1E374714"/>
    <w:rsid w:val="1E4DA63C"/>
    <w:rsid w:val="1EDD529D"/>
    <w:rsid w:val="1EEB9A90"/>
    <w:rsid w:val="1F7E13DA"/>
    <w:rsid w:val="1F7FBD08"/>
    <w:rsid w:val="1FAF85B8"/>
    <w:rsid w:val="1FBD44C1"/>
    <w:rsid w:val="1FD7A5EA"/>
    <w:rsid w:val="1FDEE27A"/>
    <w:rsid w:val="1FDF33B1"/>
    <w:rsid w:val="1FEE6A25"/>
    <w:rsid w:val="1FFDFB4D"/>
    <w:rsid w:val="1FFF6753"/>
    <w:rsid w:val="22E571A1"/>
    <w:rsid w:val="23175C13"/>
    <w:rsid w:val="235F8BCE"/>
    <w:rsid w:val="25FDD84D"/>
    <w:rsid w:val="26718E42"/>
    <w:rsid w:val="27D91059"/>
    <w:rsid w:val="2ACBAC5C"/>
    <w:rsid w:val="2AFEBA90"/>
    <w:rsid w:val="2B7F5988"/>
    <w:rsid w:val="2B9F2956"/>
    <w:rsid w:val="2CF75A8D"/>
    <w:rsid w:val="2EEC32E1"/>
    <w:rsid w:val="2F3803F6"/>
    <w:rsid w:val="2F7D05D9"/>
    <w:rsid w:val="2FBDF733"/>
    <w:rsid w:val="2FBFB258"/>
    <w:rsid w:val="2FE7A00B"/>
    <w:rsid w:val="2FFE3B5F"/>
    <w:rsid w:val="2FFF97F0"/>
    <w:rsid w:val="30FD2CEC"/>
    <w:rsid w:val="32EB74B1"/>
    <w:rsid w:val="33B74C74"/>
    <w:rsid w:val="34573BE8"/>
    <w:rsid w:val="34F55495"/>
    <w:rsid w:val="34FF1CC1"/>
    <w:rsid w:val="35097395"/>
    <w:rsid w:val="35D69390"/>
    <w:rsid w:val="35DF5FA2"/>
    <w:rsid w:val="35FDD31B"/>
    <w:rsid w:val="375D0D48"/>
    <w:rsid w:val="375FCD8E"/>
    <w:rsid w:val="37FD5C35"/>
    <w:rsid w:val="37FE8900"/>
    <w:rsid w:val="38AF86CF"/>
    <w:rsid w:val="3A276381"/>
    <w:rsid w:val="3A2DC6E7"/>
    <w:rsid w:val="3ABD502E"/>
    <w:rsid w:val="3AE5B03A"/>
    <w:rsid w:val="3AFE8242"/>
    <w:rsid w:val="3B39CEA7"/>
    <w:rsid w:val="3B6ED09E"/>
    <w:rsid w:val="3B7F1825"/>
    <w:rsid w:val="3B9DCF55"/>
    <w:rsid w:val="3BA11E08"/>
    <w:rsid w:val="3BBFA14E"/>
    <w:rsid w:val="3BBFDF02"/>
    <w:rsid w:val="3BFD884A"/>
    <w:rsid w:val="3BFFC07B"/>
    <w:rsid w:val="3CDF797A"/>
    <w:rsid w:val="3CF91FDF"/>
    <w:rsid w:val="3CFF6CC9"/>
    <w:rsid w:val="3D3FEDF9"/>
    <w:rsid w:val="3D5EF811"/>
    <w:rsid w:val="3D9F8D0A"/>
    <w:rsid w:val="3DEDE560"/>
    <w:rsid w:val="3DEF1DC0"/>
    <w:rsid w:val="3DF4DBF0"/>
    <w:rsid w:val="3DF4EFAB"/>
    <w:rsid w:val="3DFBA024"/>
    <w:rsid w:val="3E7BC5AA"/>
    <w:rsid w:val="3E7F7604"/>
    <w:rsid w:val="3E9D26A9"/>
    <w:rsid w:val="3EB7931E"/>
    <w:rsid w:val="3EFF0C8A"/>
    <w:rsid w:val="3EFF968B"/>
    <w:rsid w:val="3F0D7818"/>
    <w:rsid w:val="3F1B83A3"/>
    <w:rsid w:val="3F1FC95B"/>
    <w:rsid w:val="3F53C2AF"/>
    <w:rsid w:val="3F74D583"/>
    <w:rsid w:val="3F7B067B"/>
    <w:rsid w:val="3F7DDF8C"/>
    <w:rsid w:val="3F7FAE8B"/>
    <w:rsid w:val="3FBEE3F5"/>
    <w:rsid w:val="3FCDE2C9"/>
    <w:rsid w:val="3FD70DE1"/>
    <w:rsid w:val="3FDB6901"/>
    <w:rsid w:val="3FDD2986"/>
    <w:rsid w:val="3FEFD18E"/>
    <w:rsid w:val="3FF35298"/>
    <w:rsid w:val="3FF7A3CB"/>
    <w:rsid w:val="3FF9AE58"/>
    <w:rsid w:val="3FFA167A"/>
    <w:rsid w:val="3FFB8C7E"/>
    <w:rsid w:val="3FFF16F3"/>
    <w:rsid w:val="41D39DAE"/>
    <w:rsid w:val="41DF6CC2"/>
    <w:rsid w:val="47397D76"/>
    <w:rsid w:val="47BEB979"/>
    <w:rsid w:val="47F77165"/>
    <w:rsid w:val="47FEC84E"/>
    <w:rsid w:val="4AFE6D9A"/>
    <w:rsid w:val="4BB6D580"/>
    <w:rsid w:val="4BD72FBC"/>
    <w:rsid w:val="4BDE9B44"/>
    <w:rsid w:val="4BEBA2C2"/>
    <w:rsid w:val="4BFF4DC1"/>
    <w:rsid w:val="4D7A8EE9"/>
    <w:rsid w:val="4DCFA4B1"/>
    <w:rsid w:val="4FB305FC"/>
    <w:rsid w:val="4FD78212"/>
    <w:rsid w:val="4FD7AD40"/>
    <w:rsid w:val="4FED9F96"/>
    <w:rsid w:val="4FF7D38F"/>
    <w:rsid w:val="4FFC5CE9"/>
    <w:rsid w:val="4FFF1D93"/>
    <w:rsid w:val="4FFFDA9E"/>
    <w:rsid w:val="51ED8686"/>
    <w:rsid w:val="52EB9FAA"/>
    <w:rsid w:val="53AC9643"/>
    <w:rsid w:val="53DF5945"/>
    <w:rsid w:val="56DF5558"/>
    <w:rsid w:val="56EDD61D"/>
    <w:rsid w:val="56FFBFF8"/>
    <w:rsid w:val="57373A65"/>
    <w:rsid w:val="573BB712"/>
    <w:rsid w:val="57BCD1FB"/>
    <w:rsid w:val="57CFCBAF"/>
    <w:rsid w:val="57D39885"/>
    <w:rsid w:val="57EB5A3B"/>
    <w:rsid w:val="57F7CBD5"/>
    <w:rsid w:val="57FC6C85"/>
    <w:rsid w:val="58F4C458"/>
    <w:rsid w:val="5A663819"/>
    <w:rsid w:val="5A97D780"/>
    <w:rsid w:val="5ACD6D89"/>
    <w:rsid w:val="5ACF5677"/>
    <w:rsid w:val="5ADE21CF"/>
    <w:rsid w:val="5AEF981F"/>
    <w:rsid w:val="5AFA4F66"/>
    <w:rsid w:val="5AFE1AC7"/>
    <w:rsid w:val="5B6FE370"/>
    <w:rsid w:val="5BA598DC"/>
    <w:rsid w:val="5BB9E575"/>
    <w:rsid w:val="5BEB5CC0"/>
    <w:rsid w:val="5BEBC172"/>
    <w:rsid w:val="5BEDC4C8"/>
    <w:rsid w:val="5BFC63C4"/>
    <w:rsid w:val="5BFFB4A3"/>
    <w:rsid w:val="5CBE71A1"/>
    <w:rsid w:val="5CE36829"/>
    <w:rsid w:val="5D7486BC"/>
    <w:rsid w:val="5D7F437A"/>
    <w:rsid w:val="5DAF1258"/>
    <w:rsid w:val="5DCF7828"/>
    <w:rsid w:val="5DDA7417"/>
    <w:rsid w:val="5DF7DA5F"/>
    <w:rsid w:val="5DFFCC51"/>
    <w:rsid w:val="5DFFD042"/>
    <w:rsid w:val="5EACFF34"/>
    <w:rsid w:val="5ECDB12A"/>
    <w:rsid w:val="5EDB9D51"/>
    <w:rsid w:val="5EDFC2F0"/>
    <w:rsid w:val="5EF62128"/>
    <w:rsid w:val="5EFE1DDA"/>
    <w:rsid w:val="5F6DF805"/>
    <w:rsid w:val="5F7EF8CB"/>
    <w:rsid w:val="5FB344CB"/>
    <w:rsid w:val="5FBBFB66"/>
    <w:rsid w:val="5FBE95E2"/>
    <w:rsid w:val="5FBEC7D9"/>
    <w:rsid w:val="5FCA807C"/>
    <w:rsid w:val="5FD68412"/>
    <w:rsid w:val="5FD7F873"/>
    <w:rsid w:val="5FDD4BFA"/>
    <w:rsid w:val="5FDFCA8C"/>
    <w:rsid w:val="5FEE82C5"/>
    <w:rsid w:val="5FEFC4AF"/>
    <w:rsid w:val="5FF4B210"/>
    <w:rsid w:val="5FF71478"/>
    <w:rsid w:val="5FF726EE"/>
    <w:rsid w:val="5FFABE54"/>
    <w:rsid w:val="5FFBE19E"/>
    <w:rsid w:val="5FFC62FD"/>
    <w:rsid w:val="5FFEE679"/>
    <w:rsid w:val="5FFF5150"/>
    <w:rsid w:val="5FFFCB78"/>
    <w:rsid w:val="617FD3AC"/>
    <w:rsid w:val="61BF9D14"/>
    <w:rsid w:val="61FB584D"/>
    <w:rsid w:val="623FC440"/>
    <w:rsid w:val="6374C2B6"/>
    <w:rsid w:val="655F8489"/>
    <w:rsid w:val="65BD7D43"/>
    <w:rsid w:val="65DB2FF0"/>
    <w:rsid w:val="65FEA7F1"/>
    <w:rsid w:val="65FF52CB"/>
    <w:rsid w:val="664D8D55"/>
    <w:rsid w:val="671DF0C3"/>
    <w:rsid w:val="677A210E"/>
    <w:rsid w:val="67DE2AC8"/>
    <w:rsid w:val="67EB6F81"/>
    <w:rsid w:val="67F7201D"/>
    <w:rsid w:val="67FFAA98"/>
    <w:rsid w:val="687B5EF3"/>
    <w:rsid w:val="69278C5A"/>
    <w:rsid w:val="69572189"/>
    <w:rsid w:val="697FE012"/>
    <w:rsid w:val="69AB97D7"/>
    <w:rsid w:val="69DFA756"/>
    <w:rsid w:val="69E7FC2E"/>
    <w:rsid w:val="69EE88E9"/>
    <w:rsid w:val="69EFA8BD"/>
    <w:rsid w:val="6AFBE6A3"/>
    <w:rsid w:val="6AFFA607"/>
    <w:rsid w:val="6B3F9524"/>
    <w:rsid w:val="6B62346A"/>
    <w:rsid w:val="6B8B324F"/>
    <w:rsid w:val="6BBB0184"/>
    <w:rsid w:val="6BE593DD"/>
    <w:rsid w:val="6BF58DCA"/>
    <w:rsid w:val="6BFBD980"/>
    <w:rsid w:val="6CC5EE72"/>
    <w:rsid w:val="6CEB8333"/>
    <w:rsid w:val="6D6E2E0B"/>
    <w:rsid w:val="6D8ACC8B"/>
    <w:rsid w:val="6DBE779E"/>
    <w:rsid w:val="6DD52F56"/>
    <w:rsid w:val="6DDF193A"/>
    <w:rsid w:val="6DDF8D67"/>
    <w:rsid w:val="6DEDCC6F"/>
    <w:rsid w:val="6DEE9DC2"/>
    <w:rsid w:val="6DEEE01C"/>
    <w:rsid w:val="6DEF38A4"/>
    <w:rsid w:val="6DF76B35"/>
    <w:rsid w:val="6E22F790"/>
    <w:rsid w:val="6E797347"/>
    <w:rsid w:val="6EBE32B4"/>
    <w:rsid w:val="6EDF769F"/>
    <w:rsid w:val="6EEF2C53"/>
    <w:rsid w:val="6F7776FD"/>
    <w:rsid w:val="6FA71348"/>
    <w:rsid w:val="6FB5EADD"/>
    <w:rsid w:val="6FBB7CCC"/>
    <w:rsid w:val="6FBCD3D9"/>
    <w:rsid w:val="6FDFCA01"/>
    <w:rsid w:val="6FE7B122"/>
    <w:rsid w:val="6FE7E49A"/>
    <w:rsid w:val="6FE8E25B"/>
    <w:rsid w:val="6FEB7186"/>
    <w:rsid w:val="6FF5C759"/>
    <w:rsid w:val="6FFAEA4D"/>
    <w:rsid w:val="6FFB0D98"/>
    <w:rsid w:val="6FFBACBF"/>
    <w:rsid w:val="6FFF5BBB"/>
    <w:rsid w:val="6FFF95C0"/>
    <w:rsid w:val="6FFFA14F"/>
    <w:rsid w:val="716DE32A"/>
    <w:rsid w:val="71F70147"/>
    <w:rsid w:val="71FF8452"/>
    <w:rsid w:val="72FF0B66"/>
    <w:rsid w:val="73B6E7A7"/>
    <w:rsid w:val="73B7A0E7"/>
    <w:rsid w:val="73BBF15D"/>
    <w:rsid w:val="73BFE141"/>
    <w:rsid w:val="73DF21B2"/>
    <w:rsid w:val="73EB15F8"/>
    <w:rsid w:val="73F7EB6D"/>
    <w:rsid w:val="73FF05DB"/>
    <w:rsid w:val="73FF9CE1"/>
    <w:rsid w:val="756A5093"/>
    <w:rsid w:val="7597BD9B"/>
    <w:rsid w:val="75B150B1"/>
    <w:rsid w:val="75DD6AF4"/>
    <w:rsid w:val="75F8CFD1"/>
    <w:rsid w:val="762B77D9"/>
    <w:rsid w:val="765B8A2F"/>
    <w:rsid w:val="766F7198"/>
    <w:rsid w:val="76AD5DD1"/>
    <w:rsid w:val="76F2DF38"/>
    <w:rsid w:val="76F9ED7C"/>
    <w:rsid w:val="76FC1ECE"/>
    <w:rsid w:val="76FF849E"/>
    <w:rsid w:val="775F015A"/>
    <w:rsid w:val="776BC90A"/>
    <w:rsid w:val="776F7C67"/>
    <w:rsid w:val="776FCE20"/>
    <w:rsid w:val="776FDBC1"/>
    <w:rsid w:val="777B81CF"/>
    <w:rsid w:val="777EA000"/>
    <w:rsid w:val="779D61BF"/>
    <w:rsid w:val="77AFE549"/>
    <w:rsid w:val="77BEDDB1"/>
    <w:rsid w:val="77D29FA9"/>
    <w:rsid w:val="77D74BB7"/>
    <w:rsid w:val="77EC1CC6"/>
    <w:rsid w:val="77EF71FD"/>
    <w:rsid w:val="77F51CFE"/>
    <w:rsid w:val="77FBCB15"/>
    <w:rsid w:val="77FD0F18"/>
    <w:rsid w:val="77FD63F9"/>
    <w:rsid w:val="77FE9CC4"/>
    <w:rsid w:val="77FF6B3B"/>
    <w:rsid w:val="78D7BA91"/>
    <w:rsid w:val="78EDFDE2"/>
    <w:rsid w:val="78FB5589"/>
    <w:rsid w:val="78FF0B7F"/>
    <w:rsid w:val="792B333E"/>
    <w:rsid w:val="794FB40C"/>
    <w:rsid w:val="797FF1CE"/>
    <w:rsid w:val="79EE11AD"/>
    <w:rsid w:val="79FD6F79"/>
    <w:rsid w:val="79FF1EB2"/>
    <w:rsid w:val="7A5DB8F2"/>
    <w:rsid w:val="7ACB50EE"/>
    <w:rsid w:val="7B2D685D"/>
    <w:rsid w:val="7B34C123"/>
    <w:rsid w:val="7B38AA48"/>
    <w:rsid w:val="7B39CA57"/>
    <w:rsid w:val="7B3E5059"/>
    <w:rsid w:val="7B4C4E9C"/>
    <w:rsid w:val="7B57A9B8"/>
    <w:rsid w:val="7B5B9875"/>
    <w:rsid w:val="7B6A643F"/>
    <w:rsid w:val="7B6FB106"/>
    <w:rsid w:val="7B731491"/>
    <w:rsid w:val="7B7E20E0"/>
    <w:rsid w:val="7B7FC676"/>
    <w:rsid w:val="7B7FE1EC"/>
    <w:rsid w:val="7B878675"/>
    <w:rsid w:val="7B8FEF2C"/>
    <w:rsid w:val="7B9E0E9B"/>
    <w:rsid w:val="7BA50BD5"/>
    <w:rsid w:val="7BA9166D"/>
    <w:rsid w:val="7BAF434C"/>
    <w:rsid w:val="7BBD3A42"/>
    <w:rsid w:val="7BBE8E38"/>
    <w:rsid w:val="7BCE3DDF"/>
    <w:rsid w:val="7BD757A8"/>
    <w:rsid w:val="7BE6A679"/>
    <w:rsid w:val="7BF5AE92"/>
    <w:rsid w:val="7BF631C6"/>
    <w:rsid w:val="7BF7F678"/>
    <w:rsid w:val="7BFB1484"/>
    <w:rsid w:val="7BFFE2B5"/>
    <w:rsid w:val="7C746815"/>
    <w:rsid w:val="7CB2300F"/>
    <w:rsid w:val="7CBB7E93"/>
    <w:rsid w:val="7CEBA530"/>
    <w:rsid w:val="7CEF8502"/>
    <w:rsid w:val="7CFCC919"/>
    <w:rsid w:val="7CFF5B64"/>
    <w:rsid w:val="7CFFDF70"/>
    <w:rsid w:val="7CFFE8CC"/>
    <w:rsid w:val="7D2FB81E"/>
    <w:rsid w:val="7D3DA657"/>
    <w:rsid w:val="7D3E66F4"/>
    <w:rsid w:val="7D4FDCF9"/>
    <w:rsid w:val="7D5A4A99"/>
    <w:rsid w:val="7D670B37"/>
    <w:rsid w:val="7D6F26CA"/>
    <w:rsid w:val="7DAEEF77"/>
    <w:rsid w:val="7DB865CC"/>
    <w:rsid w:val="7DB8DA7C"/>
    <w:rsid w:val="7DBEF3C0"/>
    <w:rsid w:val="7DDD597B"/>
    <w:rsid w:val="7DDFDEDF"/>
    <w:rsid w:val="7DEAE98F"/>
    <w:rsid w:val="7DEB3C62"/>
    <w:rsid w:val="7DEFB448"/>
    <w:rsid w:val="7DF79326"/>
    <w:rsid w:val="7DF7AB46"/>
    <w:rsid w:val="7DFB472A"/>
    <w:rsid w:val="7DFBCD35"/>
    <w:rsid w:val="7DFC21A7"/>
    <w:rsid w:val="7DFDB49C"/>
    <w:rsid w:val="7DFDCABB"/>
    <w:rsid w:val="7DFEA50F"/>
    <w:rsid w:val="7DFEC08D"/>
    <w:rsid w:val="7DFF1DCE"/>
    <w:rsid w:val="7DFF9E77"/>
    <w:rsid w:val="7E1B81F1"/>
    <w:rsid w:val="7E3B4234"/>
    <w:rsid w:val="7E3FE0D2"/>
    <w:rsid w:val="7E5B5E1C"/>
    <w:rsid w:val="7E6BE71C"/>
    <w:rsid w:val="7E7D3A92"/>
    <w:rsid w:val="7E9F82AC"/>
    <w:rsid w:val="7EB77231"/>
    <w:rsid w:val="7ED74CDB"/>
    <w:rsid w:val="7ED9D710"/>
    <w:rsid w:val="7EE70CBE"/>
    <w:rsid w:val="7EEFFECD"/>
    <w:rsid w:val="7EF70406"/>
    <w:rsid w:val="7EF77825"/>
    <w:rsid w:val="7EF94BBB"/>
    <w:rsid w:val="7EFB99D1"/>
    <w:rsid w:val="7EFC8F42"/>
    <w:rsid w:val="7EFF0337"/>
    <w:rsid w:val="7EFF1346"/>
    <w:rsid w:val="7EFF1389"/>
    <w:rsid w:val="7EFF2C54"/>
    <w:rsid w:val="7EFF61A3"/>
    <w:rsid w:val="7EFF6783"/>
    <w:rsid w:val="7EFFD8C4"/>
    <w:rsid w:val="7F1FD03D"/>
    <w:rsid w:val="7F2AB4F8"/>
    <w:rsid w:val="7F335F55"/>
    <w:rsid w:val="7F3F79D3"/>
    <w:rsid w:val="7F571396"/>
    <w:rsid w:val="7F65C13A"/>
    <w:rsid w:val="7F6A4EC6"/>
    <w:rsid w:val="7F75ECE1"/>
    <w:rsid w:val="7F79406A"/>
    <w:rsid w:val="7F79E703"/>
    <w:rsid w:val="7F7DF245"/>
    <w:rsid w:val="7F7F1E90"/>
    <w:rsid w:val="7F7F3F45"/>
    <w:rsid w:val="7F7FC26C"/>
    <w:rsid w:val="7F7FD4B9"/>
    <w:rsid w:val="7F7FE951"/>
    <w:rsid w:val="7F9731E6"/>
    <w:rsid w:val="7F9FB97F"/>
    <w:rsid w:val="7FABFF8A"/>
    <w:rsid w:val="7FAD3483"/>
    <w:rsid w:val="7FAE924B"/>
    <w:rsid w:val="7FB7BA08"/>
    <w:rsid w:val="7FB7FF36"/>
    <w:rsid w:val="7FBA78AC"/>
    <w:rsid w:val="7FBFA72F"/>
    <w:rsid w:val="7FBFAA0D"/>
    <w:rsid w:val="7FC51405"/>
    <w:rsid w:val="7FCDA118"/>
    <w:rsid w:val="7FD26A00"/>
    <w:rsid w:val="7FD92A39"/>
    <w:rsid w:val="7FDAF088"/>
    <w:rsid w:val="7FDD241C"/>
    <w:rsid w:val="7FDD2CAE"/>
    <w:rsid w:val="7FDD7704"/>
    <w:rsid w:val="7FDF184F"/>
    <w:rsid w:val="7FDF8906"/>
    <w:rsid w:val="7FE3A58F"/>
    <w:rsid w:val="7FEB9631"/>
    <w:rsid w:val="7FEBB9DE"/>
    <w:rsid w:val="7FEF70AF"/>
    <w:rsid w:val="7FF1DDFF"/>
    <w:rsid w:val="7FF328B5"/>
    <w:rsid w:val="7FF3E284"/>
    <w:rsid w:val="7FF41A6B"/>
    <w:rsid w:val="7FF5AF30"/>
    <w:rsid w:val="7FF76577"/>
    <w:rsid w:val="7FF7F83B"/>
    <w:rsid w:val="7FF93F46"/>
    <w:rsid w:val="7FF9CE62"/>
    <w:rsid w:val="7FFB2784"/>
    <w:rsid w:val="7FFB8A1D"/>
    <w:rsid w:val="7FFB972C"/>
    <w:rsid w:val="7FFBCF7C"/>
    <w:rsid w:val="7FFBDA72"/>
    <w:rsid w:val="7FFD242B"/>
    <w:rsid w:val="7FFDD3D9"/>
    <w:rsid w:val="7FFE8E21"/>
    <w:rsid w:val="7FFF52EC"/>
    <w:rsid w:val="7FFF66AA"/>
    <w:rsid w:val="7FFFF1EA"/>
    <w:rsid w:val="7FFFFD0E"/>
    <w:rsid w:val="808EE30D"/>
    <w:rsid w:val="86FAE486"/>
    <w:rsid w:val="8769145D"/>
    <w:rsid w:val="8B420D7E"/>
    <w:rsid w:val="8BF0B0C1"/>
    <w:rsid w:val="8CED851D"/>
    <w:rsid w:val="8EF7DCFE"/>
    <w:rsid w:val="8FFB060B"/>
    <w:rsid w:val="96DFA075"/>
    <w:rsid w:val="96E70BCA"/>
    <w:rsid w:val="96FE6E8D"/>
    <w:rsid w:val="97A549E7"/>
    <w:rsid w:val="97BF9027"/>
    <w:rsid w:val="97BFB6D5"/>
    <w:rsid w:val="97EA965F"/>
    <w:rsid w:val="97EE2886"/>
    <w:rsid w:val="98EF367D"/>
    <w:rsid w:val="99479B4D"/>
    <w:rsid w:val="996FECAC"/>
    <w:rsid w:val="9AF73A03"/>
    <w:rsid w:val="9BAB298F"/>
    <w:rsid w:val="9BFF9AC8"/>
    <w:rsid w:val="9C6BACDD"/>
    <w:rsid w:val="9CF646D7"/>
    <w:rsid w:val="9DEB6AD9"/>
    <w:rsid w:val="9ECB4A03"/>
    <w:rsid w:val="9EFFD684"/>
    <w:rsid w:val="9F3163C6"/>
    <w:rsid w:val="9FE7BF93"/>
    <w:rsid w:val="9FFF08A4"/>
    <w:rsid w:val="9FFF8511"/>
    <w:rsid w:val="A2DF73FB"/>
    <w:rsid w:val="A33F56F7"/>
    <w:rsid w:val="A39F42AB"/>
    <w:rsid w:val="A56FD48C"/>
    <w:rsid w:val="A6EF1C14"/>
    <w:rsid w:val="A77BC275"/>
    <w:rsid w:val="A7D8D5E7"/>
    <w:rsid w:val="A7E3B8E1"/>
    <w:rsid w:val="A91F7E1F"/>
    <w:rsid w:val="A9B3CB24"/>
    <w:rsid w:val="A9DFCB54"/>
    <w:rsid w:val="AAFFBFC3"/>
    <w:rsid w:val="AB6BBE87"/>
    <w:rsid w:val="AB7910BB"/>
    <w:rsid w:val="ABBA8087"/>
    <w:rsid w:val="ABED812E"/>
    <w:rsid w:val="ABFD0393"/>
    <w:rsid w:val="ACF72C3C"/>
    <w:rsid w:val="AD5B8CC0"/>
    <w:rsid w:val="ADFA7917"/>
    <w:rsid w:val="AE8F42A6"/>
    <w:rsid w:val="AF1F386C"/>
    <w:rsid w:val="AF7B984B"/>
    <w:rsid w:val="AF7F933D"/>
    <w:rsid w:val="AFAE646A"/>
    <w:rsid w:val="AFD76B2F"/>
    <w:rsid w:val="AFE01996"/>
    <w:rsid w:val="AFE7E4E2"/>
    <w:rsid w:val="B2BBCEEA"/>
    <w:rsid w:val="B34FE00D"/>
    <w:rsid w:val="B3FE2EAB"/>
    <w:rsid w:val="B5DF892B"/>
    <w:rsid w:val="B6779179"/>
    <w:rsid w:val="B6FA16FB"/>
    <w:rsid w:val="B6FE657D"/>
    <w:rsid w:val="B71E1780"/>
    <w:rsid w:val="B77DED93"/>
    <w:rsid w:val="B77F2828"/>
    <w:rsid w:val="B77F436E"/>
    <w:rsid w:val="B7EBDF55"/>
    <w:rsid w:val="B7EC2CD1"/>
    <w:rsid w:val="B7F8345D"/>
    <w:rsid w:val="B8BF397C"/>
    <w:rsid w:val="B8F51AC4"/>
    <w:rsid w:val="B8FE95D6"/>
    <w:rsid w:val="B94E97DC"/>
    <w:rsid w:val="B9FF1AEB"/>
    <w:rsid w:val="BAEF2A68"/>
    <w:rsid w:val="BAEFD1AB"/>
    <w:rsid w:val="BB6F71C3"/>
    <w:rsid w:val="BBBBCEFA"/>
    <w:rsid w:val="BBDFBB91"/>
    <w:rsid w:val="BCBEC6B4"/>
    <w:rsid w:val="BCCF031C"/>
    <w:rsid w:val="BDFF151A"/>
    <w:rsid w:val="BDFF6CB2"/>
    <w:rsid w:val="BDFF7A74"/>
    <w:rsid w:val="BE4E0198"/>
    <w:rsid w:val="BE6F35CE"/>
    <w:rsid w:val="BE72D2A7"/>
    <w:rsid w:val="BE7BB8E5"/>
    <w:rsid w:val="BEDE4779"/>
    <w:rsid w:val="BEEF1BA7"/>
    <w:rsid w:val="BEF76A3E"/>
    <w:rsid w:val="BEFFFA4C"/>
    <w:rsid w:val="BF6BC71E"/>
    <w:rsid w:val="BF74D1FA"/>
    <w:rsid w:val="BF7E8BFF"/>
    <w:rsid w:val="BF7F5B5C"/>
    <w:rsid w:val="BF8FDB72"/>
    <w:rsid w:val="BFBE3382"/>
    <w:rsid w:val="BFBFFF37"/>
    <w:rsid w:val="BFCEAEA1"/>
    <w:rsid w:val="BFD6FB6C"/>
    <w:rsid w:val="BFD76505"/>
    <w:rsid w:val="BFDD86F7"/>
    <w:rsid w:val="BFDFE16E"/>
    <w:rsid w:val="BFDFEE5C"/>
    <w:rsid w:val="BFEF2A21"/>
    <w:rsid w:val="BFEFCBE8"/>
    <w:rsid w:val="BFF3EAB1"/>
    <w:rsid w:val="BFF51D5A"/>
    <w:rsid w:val="BFF5A23B"/>
    <w:rsid w:val="BFF99DEC"/>
    <w:rsid w:val="BFFA1A46"/>
    <w:rsid w:val="BFFB82B7"/>
    <w:rsid w:val="BFFD68FE"/>
    <w:rsid w:val="BFFD9033"/>
    <w:rsid w:val="BFFDE173"/>
    <w:rsid w:val="BFFEE824"/>
    <w:rsid w:val="BFFF08A8"/>
    <w:rsid w:val="BFFF1F2F"/>
    <w:rsid w:val="BFFFC712"/>
    <w:rsid w:val="BFFFD09E"/>
    <w:rsid w:val="BFFFE3B5"/>
    <w:rsid w:val="BFFFF70E"/>
    <w:rsid w:val="C16DF057"/>
    <w:rsid w:val="C3195A40"/>
    <w:rsid w:val="C67F65BE"/>
    <w:rsid w:val="C7B2D338"/>
    <w:rsid w:val="C9A7020A"/>
    <w:rsid w:val="CAFDB82F"/>
    <w:rsid w:val="CB5F875C"/>
    <w:rsid w:val="CBDFBC94"/>
    <w:rsid w:val="CBFB4325"/>
    <w:rsid w:val="CCD949E8"/>
    <w:rsid w:val="CE27C22B"/>
    <w:rsid w:val="CEDFAC7F"/>
    <w:rsid w:val="CEEE0E2F"/>
    <w:rsid w:val="CF1B1F2D"/>
    <w:rsid w:val="CF7FD537"/>
    <w:rsid w:val="CF7FD983"/>
    <w:rsid w:val="CFBFF550"/>
    <w:rsid w:val="CFF7E2E5"/>
    <w:rsid w:val="CFF9DC0C"/>
    <w:rsid w:val="CFFFB016"/>
    <w:rsid w:val="D3FF187C"/>
    <w:rsid w:val="D4D1E4A2"/>
    <w:rsid w:val="D5B69AF4"/>
    <w:rsid w:val="D66F89BD"/>
    <w:rsid w:val="D67FC440"/>
    <w:rsid w:val="D6DFA532"/>
    <w:rsid w:val="D6F7565C"/>
    <w:rsid w:val="D6FD5EBC"/>
    <w:rsid w:val="D75E73E9"/>
    <w:rsid w:val="D7666267"/>
    <w:rsid w:val="D775E49E"/>
    <w:rsid w:val="D79EE54A"/>
    <w:rsid w:val="D7BF2138"/>
    <w:rsid w:val="D7CB8437"/>
    <w:rsid w:val="D7DB3411"/>
    <w:rsid w:val="D7DC201F"/>
    <w:rsid w:val="D7E2DD01"/>
    <w:rsid w:val="D7E7C17D"/>
    <w:rsid w:val="D7FDEE8B"/>
    <w:rsid w:val="D7FFC0D6"/>
    <w:rsid w:val="D8DD8AE8"/>
    <w:rsid w:val="DA5BDD9E"/>
    <w:rsid w:val="DAEAF091"/>
    <w:rsid w:val="DAF7623B"/>
    <w:rsid w:val="DB79EB2B"/>
    <w:rsid w:val="DB9B56A4"/>
    <w:rsid w:val="DBB51910"/>
    <w:rsid w:val="DBCB64A2"/>
    <w:rsid w:val="DBEFAEB8"/>
    <w:rsid w:val="DBF03558"/>
    <w:rsid w:val="DBF6190B"/>
    <w:rsid w:val="DBFA6D52"/>
    <w:rsid w:val="DBFB2A1B"/>
    <w:rsid w:val="DC3739FA"/>
    <w:rsid w:val="DD17CB57"/>
    <w:rsid w:val="DD1FFD99"/>
    <w:rsid w:val="DD50BC07"/>
    <w:rsid w:val="DDCBA26D"/>
    <w:rsid w:val="DDDBC08D"/>
    <w:rsid w:val="DDF73462"/>
    <w:rsid w:val="DDF9B34E"/>
    <w:rsid w:val="DDFF4FDA"/>
    <w:rsid w:val="DEDCAD97"/>
    <w:rsid w:val="DEEBC056"/>
    <w:rsid w:val="DEF6A4DC"/>
    <w:rsid w:val="DEFEFFA3"/>
    <w:rsid w:val="DEFF8442"/>
    <w:rsid w:val="DF355300"/>
    <w:rsid w:val="DF3F3A5F"/>
    <w:rsid w:val="DF3F3B26"/>
    <w:rsid w:val="DF3FEBFD"/>
    <w:rsid w:val="DF7A8F2D"/>
    <w:rsid w:val="DFAA9076"/>
    <w:rsid w:val="DFB035F2"/>
    <w:rsid w:val="DFBA89D6"/>
    <w:rsid w:val="DFBC0FD4"/>
    <w:rsid w:val="DFDBF44A"/>
    <w:rsid w:val="DFDEB61F"/>
    <w:rsid w:val="DFE5F49B"/>
    <w:rsid w:val="DFF5BA30"/>
    <w:rsid w:val="DFF75939"/>
    <w:rsid w:val="DFF771A4"/>
    <w:rsid w:val="DFF799AF"/>
    <w:rsid w:val="DFF7E3CB"/>
    <w:rsid w:val="DFFEE399"/>
    <w:rsid w:val="DFFF1378"/>
    <w:rsid w:val="DFFF162D"/>
    <w:rsid w:val="DFFF5483"/>
    <w:rsid w:val="E27732C3"/>
    <w:rsid w:val="E27C5D49"/>
    <w:rsid w:val="E2F66143"/>
    <w:rsid w:val="E3FB9FAB"/>
    <w:rsid w:val="E3FF0F25"/>
    <w:rsid w:val="E579BE25"/>
    <w:rsid w:val="E674FB32"/>
    <w:rsid w:val="E69A26EA"/>
    <w:rsid w:val="E6AACD29"/>
    <w:rsid w:val="E7193509"/>
    <w:rsid w:val="E7DC684D"/>
    <w:rsid w:val="E7DF1FAB"/>
    <w:rsid w:val="E7EB8508"/>
    <w:rsid w:val="E7FD22F3"/>
    <w:rsid w:val="E7FF5756"/>
    <w:rsid w:val="E7FF6FCC"/>
    <w:rsid w:val="E97A5F34"/>
    <w:rsid w:val="E97D8910"/>
    <w:rsid w:val="E9FF6C19"/>
    <w:rsid w:val="EA712DA6"/>
    <w:rsid w:val="EA73FB75"/>
    <w:rsid w:val="EA7F8A42"/>
    <w:rsid w:val="EB7D3FF3"/>
    <w:rsid w:val="EBD7E893"/>
    <w:rsid w:val="EBF1487A"/>
    <w:rsid w:val="EBFD7D3D"/>
    <w:rsid w:val="EBFF98F8"/>
    <w:rsid w:val="EBFFA84B"/>
    <w:rsid w:val="EC0D10F0"/>
    <w:rsid w:val="EC5BC7B1"/>
    <w:rsid w:val="EDDDAB8C"/>
    <w:rsid w:val="EDE9EFC7"/>
    <w:rsid w:val="EDEB3C02"/>
    <w:rsid w:val="EDEF3739"/>
    <w:rsid w:val="EDFA5A51"/>
    <w:rsid w:val="EDFF99F9"/>
    <w:rsid w:val="EE797190"/>
    <w:rsid w:val="EEDF05AA"/>
    <w:rsid w:val="EEF6F1C8"/>
    <w:rsid w:val="EEFC8A9D"/>
    <w:rsid w:val="EF1D0C12"/>
    <w:rsid w:val="EF37E258"/>
    <w:rsid w:val="EF794C06"/>
    <w:rsid w:val="EF7D6F8B"/>
    <w:rsid w:val="EF7E6C82"/>
    <w:rsid w:val="EF81915D"/>
    <w:rsid w:val="EFAA7C54"/>
    <w:rsid w:val="EFBF81CA"/>
    <w:rsid w:val="EFDE90E5"/>
    <w:rsid w:val="EFDF9CA9"/>
    <w:rsid w:val="EFDFA0B9"/>
    <w:rsid w:val="EFDFC06B"/>
    <w:rsid w:val="EFF4E74E"/>
    <w:rsid w:val="EFF51AE7"/>
    <w:rsid w:val="EFF6987F"/>
    <w:rsid w:val="EFF70B27"/>
    <w:rsid w:val="EFFB2F7B"/>
    <w:rsid w:val="EFFD9335"/>
    <w:rsid w:val="EFFE0144"/>
    <w:rsid w:val="EFFF334D"/>
    <w:rsid w:val="EFFFB951"/>
    <w:rsid w:val="F0F62666"/>
    <w:rsid w:val="F13D2429"/>
    <w:rsid w:val="F1770D18"/>
    <w:rsid w:val="F2AD33D4"/>
    <w:rsid w:val="F2F7832A"/>
    <w:rsid w:val="F35FBC74"/>
    <w:rsid w:val="F367F7B1"/>
    <w:rsid w:val="F37F1760"/>
    <w:rsid w:val="F397CCBF"/>
    <w:rsid w:val="F3BD0661"/>
    <w:rsid w:val="F3BD11EB"/>
    <w:rsid w:val="F3EB1456"/>
    <w:rsid w:val="F3EF3334"/>
    <w:rsid w:val="F3EF79FE"/>
    <w:rsid w:val="F4CF7880"/>
    <w:rsid w:val="F5577A0F"/>
    <w:rsid w:val="F57B33F1"/>
    <w:rsid w:val="F59E26D1"/>
    <w:rsid w:val="F5E1D447"/>
    <w:rsid w:val="F5E76769"/>
    <w:rsid w:val="F5FB4507"/>
    <w:rsid w:val="F5FD16E4"/>
    <w:rsid w:val="F5FE561B"/>
    <w:rsid w:val="F64D36C2"/>
    <w:rsid w:val="F6BE1F8F"/>
    <w:rsid w:val="F6DFA1C4"/>
    <w:rsid w:val="F6EBB8AE"/>
    <w:rsid w:val="F6FFEC87"/>
    <w:rsid w:val="F72E7BA2"/>
    <w:rsid w:val="F75D3799"/>
    <w:rsid w:val="F767A537"/>
    <w:rsid w:val="F776BD9A"/>
    <w:rsid w:val="F777F15E"/>
    <w:rsid w:val="F77DCDF6"/>
    <w:rsid w:val="F78E3BE0"/>
    <w:rsid w:val="F7DFD8F0"/>
    <w:rsid w:val="F7EF70B0"/>
    <w:rsid w:val="F7F2D4A9"/>
    <w:rsid w:val="F7F4E7BC"/>
    <w:rsid w:val="F7F6D163"/>
    <w:rsid w:val="F7F72D3F"/>
    <w:rsid w:val="F7FB7C1B"/>
    <w:rsid w:val="F7FB7EB7"/>
    <w:rsid w:val="F7FBA050"/>
    <w:rsid w:val="F7FE4DD9"/>
    <w:rsid w:val="F7FF31A3"/>
    <w:rsid w:val="F7FFA6BA"/>
    <w:rsid w:val="F7FFC0EF"/>
    <w:rsid w:val="F87B9D58"/>
    <w:rsid w:val="F8CFD63A"/>
    <w:rsid w:val="F91FDAC3"/>
    <w:rsid w:val="F99FCCA9"/>
    <w:rsid w:val="F9A7A764"/>
    <w:rsid w:val="F9BF41AC"/>
    <w:rsid w:val="F9EF3894"/>
    <w:rsid w:val="F9F655A3"/>
    <w:rsid w:val="F9FA439E"/>
    <w:rsid w:val="F9FEB9D1"/>
    <w:rsid w:val="FA3FA7C9"/>
    <w:rsid w:val="FA7D1DDD"/>
    <w:rsid w:val="FACF8FC8"/>
    <w:rsid w:val="FAED7325"/>
    <w:rsid w:val="FAF5810D"/>
    <w:rsid w:val="FAF5E76F"/>
    <w:rsid w:val="FAFBBBFF"/>
    <w:rsid w:val="FAFF735C"/>
    <w:rsid w:val="FB3B353D"/>
    <w:rsid w:val="FB3FEDC3"/>
    <w:rsid w:val="FB6CB81C"/>
    <w:rsid w:val="FB7532F2"/>
    <w:rsid w:val="FB775693"/>
    <w:rsid w:val="FB7B7EF7"/>
    <w:rsid w:val="FB7B81A8"/>
    <w:rsid w:val="FB7B947F"/>
    <w:rsid w:val="FB7DA72A"/>
    <w:rsid w:val="FB7E3C5B"/>
    <w:rsid w:val="FB9FE535"/>
    <w:rsid w:val="FB9FFAE0"/>
    <w:rsid w:val="FBB710FC"/>
    <w:rsid w:val="FBBE1885"/>
    <w:rsid w:val="FBBF0222"/>
    <w:rsid w:val="FBF58EB9"/>
    <w:rsid w:val="FBFBE959"/>
    <w:rsid w:val="FBFFBB1C"/>
    <w:rsid w:val="FBFFD7DF"/>
    <w:rsid w:val="FBFFE89E"/>
    <w:rsid w:val="FBFFFE91"/>
    <w:rsid w:val="FC1BEC56"/>
    <w:rsid w:val="FC5F3EAC"/>
    <w:rsid w:val="FC799DEE"/>
    <w:rsid w:val="FC7A39C6"/>
    <w:rsid w:val="FC7CB2D3"/>
    <w:rsid w:val="FCBD3FC1"/>
    <w:rsid w:val="FCBF3F32"/>
    <w:rsid w:val="FCD524FB"/>
    <w:rsid w:val="FCF73B8F"/>
    <w:rsid w:val="FCFE16F3"/>
    <w:rsid w:val="FCFEEF4F"/>
    <w:rsid w:val="FD3E25D8"/>
    <w:rsid w:val="FD4DF59E"/>
    <w:rsid w:val="FD5DDC5A"/>
    <w:rsid w:val="FD797460"/>
    <w:rsid w:val="FD7CADD9"/>
    <w:rsid w:val="FD7F134C"/>
    <w:rsid w:val="FD7F4CC5"/>
    <w:rsid w:val="FD8186AE"/>
    <w:rsid w:val="FDAC8ECA"/>
    <w:rsid w:val="FDB64C47"/>
    <w:rsid w:val="FDBB2C2E"/>
    <w:rsid w:val="FDDD8A5A"/>
    <w:rsid w:val="FDDFF578"/>
    <w:rsid w:val="FDEB659E"/>
    <w:rsid w:val="FDEEE84C"/>
    <w:rsid w:val="FDFB4640"/>
    <w:rsid w:val="FDFD7814"/>
    <w:rsid w:val="FDFD82D8"/>
    <w:rsid w:val="FDFF0914"/>
    <w:rsid w:val="FDFFA2FD"/>
    <w:rsid w:val="FE2D3ABB"/>
    <w:rsid w:val="FE3BB1FE"/>
    <w:rsid w:val="FE5E0246"/>
    <w:rsid w:val="FE6DE3D1"/>
    <w:rsid w:val="FE747FD8"/>
    <w:rsid w:val="FE9E429D"/>
    <w:rsid w:val="FE9F49D0"/>
    <w:rsid w:val="FEAD6776"/>
    <w:rsid w:val="FEB7F217"/>
    <w:rsid w:val="FEBDFDAC"/>
    <w:rsid w:val="FEBF0DDB"/>
    <w:rsid w:val="FEBFF695"/>
    <w:rsid w:val="FEEFA105"/>
    <w:rsid w:val="FEEFB5A2"/>
    <w:rsid w:val="FEEFE2BA"/>
    <w:rsid w:val="FEEFE7B4"/>
    <w:rsid w:val="FEF23AEA"/>
    <w:rsid w:val="FEF6C25E"/>
    <w:rsid w:val="FEFA4A67"/>
    <w:rsid w:val="FEFEE2DA"/>
    <w:rsid w:val="FEFF2652"/>
    <w:rsid w:val="FEFF705F"/>
    <w:rsid w:val="FF1311BA"/>
    <w:rsid w:val="FF173E49"/>
    <w:rsid w:val="FF1BA559"/>
    <w:rsid w:val="FF1DD803"/>
    <w:rsid w:val="FF2D36EF"/>
    <w:rsid w:val="FF3FEBBC"/>
    <w:rsid w:val="FF4FEF5D"/>
    <w:rsid w:val="FF579E0E"/>
    <w:rsid w:val="FF5F54B5"/>
    <w:rsid w:val="FF5F81FE"/>
    <w:rsid w:val="FF67159E"/>
    <w:rsid w:val="FF6F030D"/>
    <w:rsid w:val="FF73F903"/>
    <w:rsid w:val="FF761911"/>
    <w:rsid w:val="FF7BEF8D"/>
    <w:rsid w:val="FF7DAF22"/>
    <w:rsid w:val="FF7EAE74"/>
    <w:rsid w:val="FF7F881B"/>
    <w:rsid w:val="FF8D0A79"/>
    <w:rsid w:val="FF9FFDCE"/>
    <w:rsid w:val="FFA78EBA"/>
    <w:rsid w:val="FFAFF7A1"/>
    <w:rsid w:val="FFB7BC81"/>
    <w:rsid w:val="FFB892F4"/>
    <w:rsid w:val="FFBAE253"/>
    <w:rsid w:val="FFBD9041"/>
    <w:rsid w:val="FFBE4D2F"/>
    <w:rsid w:val="FFBEA19B"/>
    <w:rsid w:val="FFBFB59B"/>
    <w:rsid w:val="FFD722FC"/>
    <w:rsid w:val="FFD778A6"/>
    <w:rsid w:val="FFD7E77E"/>
    <w:rsid w:val="FFD7FEF0"/>
    <w:rsid w:val="FFD9D23A"/>
    <w:rsid w:val="FFDEF0DD"/>
    <w:rsid w:val="FFDF7822"/>
    <w:rsid w:val="FFDFB28D"/>
    <w:rsid w:val="FFE28593"/>
    <w:rsid w:val="FFEA85F2"/>
    <w:rsid w:val="FFEEB169"/>
    <w:rsid w:val="FFEEF79C"/>
    <w:rsid w:val="FFEF5FE3"/>
    <w:rsid w:val="FFEFB42D"/>
    <w:rsid w:val="FFF642F6"/>
    <w:rsid w:val="FFF767B9"/>
    <w:rsid w:val="FFF788E1"/>
    <w:rsid w:val="FFF7EFF0"/>
    <w:rsid w:val="FFFB1A7B"/>
    <w:rsid w:val="FFFC5234"/>
    <w:rsid w:val="FFFE3EF4"/>
    <w:rsid w:val="FFFF098D"/>
    <w:rsid w:val="FFFF164B"/>
    <w:rsid w:val="FFFF3958"/>
    <w:rsid w:val="FFFF5F94"/>
    <w:rsid w:val="FFFF7EF4"/>
    <w:rsid w:val="FFFFBCE1"/>
    <w:rsid w:val="FFFFBDC8"/>
    <w:rsid w:val="FFFFFAE6"/>
    <w:rsid w:val="FFFFFC68"/>
    <w:rsid w:val="FFFFF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2">
    <w:name w:val="heading 1"/>
    <w:basedOn w:val="1"/>
    <w:next w:val="1"/>
    <w:link w:val="47"/>
    <w:qFormat/>
    <w:uiPriority w:val="0"/>
    <w:pPr>
      <w:keepNext/>
      <w:keepLines/>
      <w:spacing w:line="240" w:lineRule="auto"/>
      <w:ind w:firstLine="0" w:firstLineChars="0"/>
      <w:outlineLvl w:val="0"/>
    </w:pPr>
    <w:rPr>
      <w:b/>
      <w:bCs/>
      <w:kern w:val="44"/>
      <w:sz w:val="44"/>
      <w:szCs w:val="44"/>
    </w:rPr>
  </w:style>
  <w:style w:type="paragraph" w:styleId="3">
    <w:name w:val="heading 2"/>
    <w:basedOn w:val="1"/>
    <w:next w:val="1"/>
    <w:link w:val="48"/>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2"/>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8">
    <w:name w:val="heading 7"/>
    <w:basedOn w:val="1"/>
    <w:next w:val="1"/>
    <w:link w:val="53"/>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jc w:val="both"/>
    </w:pPr>
    <w:rPr>
      <w:rFonts w:cs="Times New Roman"/>
      <w:sz w:val="21"/>
      <w:szCs w:val="24"/>
    </w:rPr>
  </w:style>
  <w:style w:type="paragraph" w:styleId="10">
    <w:name w:val="Normal Indent"/>
    <w:basedOn w:val="1"/>
    <w:qFormat/>
    <w:uiPriority w:val="0"/>
    <w:pPr>
      <w:spacing w:afterLines="50" w:line="300" w:lineRule="auto"/>
      <w:ind w:firstLine="420"/>
    </w:pPr>
    <w:rPr>
      <w:rFonts w:cs="Times New Roman"/>
      <w:szCs w:val="24"/>
    </w:rPr>
  </w:style>
  <w:style w:type="paragraph" w:styleId="11">
    <w:name w:val="caption"/>
    <w:basedOn w:val="1"/>
    <w:next w:val="1"/>
    <w:unhideWhenUsed/>
    <w:qFormat/>
    <w:uiPriority w:val="0"/>
    <w:pPr>
      <w:spacing w:after="120"/>
    </w:pPr>
    <w:rPr>
      <w:rFonts w:ascii="Cambria" w:hAnsi="Cambria" w:eastAsia="黑体" w:cs="Times New Roman"/>
      <w:sz w:val="20"/>
      <w:szCs w:val="20"/>
    </w:rPr>
  </w:style>
  <w:style w:type="paragraph" w:styleId="12">
    <w:name w:val="Document Map"/>
    <w:basedOn w:val="1"/>
    <w:link w:val="56"/>
    <w:semiHidden/>
    <w:unhideWhenUsed/>
    <w:qFormat/>
    <w:uiPriority w:val="99"/>
    <w:pPr>
      <w:spacing w:after="120"/>
      <w:jc w:val="both"/>
    </w:pPr>
    <w:rPr>
      <w:rFonts w:ascii="宋体"/>
      <w:sz w:val="18"/>
      <w:szCs w:val="18"/>
    </w:rPr>
  </w:style>
  <w:style w:type="paragraph" w:styleId="13">
    <w:name w:val="annotation text"/>
    <w:basedOn w:val="1"/>
    <w:link w:val="54"/>
    <w:unhideWhenUsed/>
    <w:qFormat/>
    <w:uiPriority w:val="99"/>
  </w:style>
  <w:style w:type="paragraph" w:styleId="14">
    <w:name w:val="Body Text 3"/>
    <w:basedOn w:val="1"/>
    <w:link w:val="57"/>
    <w:semiHidden/>
    <w:unhideWhenUsed/>
    <w:qFormat/>
    <w:uiPriority w:val="99"/>
    <w:pPr>
      <w:spacing w:after="120"/>
      <w:jc w:val="both"/>
    </w:pPr>
    <w:rPr>
      <w:rFonts w:cs="Times New Roman"/>
      <w:sz w:val="16"/>
      <w:szCs w:val="16"/>
    </w:rPr>
  </w:style>
  <w:style w:type="paragraph" w:styleId="15">
    <w:name w:val="Body Text"/>
    <w:basedOn w:val="1"/>
    <w:link w:val="58"/>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6">
    <w:name w:val="Body Text Indent"/>
    <w:basedOn w:val="1"/>
    <w:link w:val="59"/>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60"/>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1"/>
    <w:qFormat/>
    <w:uiPriority w:val="0"/>
    <w:pPr>
      <w:jc w:val="both"/>
    </w:pPr>
    <w:rPr>
      <w:rFonts w:ascii="CG Times" w:hAnsi="CG Times" w:eastAsia="楷体_GB2312" w:cs="Times New Roman"/>
      <w:sz w:val="28"/>
      <w:szCs w:val="20"/>
    </w:rPr>
  </w:style>
  <w:style w:type="paragraph" w:styleId="22">
    <w:name w:val="Body Text Indent 2"/>
    <w:basedOn w:val="1"/>
    <w:link w:val="62"/>
    <w:qFormat/>
    <w:uiPriority w:val="0"/>
    <w:pPr>
      <w:ind w:firstLine="480"/>
      <w:jc w:val="both"/>
    </w:pPr>
    <w:rPr>
      <w:rFonts w:ascii="楷体_GB2312" w:hAnsi="宋体" w:eastAsia="楷体_GB2312" w:cs="Times New Roman"/>
      <w:szCs w:val="24"/>
    </w:rPr>
  </w:style>
  <w:style w:type="paragraph" w:styleId="23">
    <w:name w:val="Balloon Text"/>
    <w:basedOn w:val="1"/>
    <w:link w:val="63"/>
    <w:unhideWhenUsed/>
    <w:qFormat/>
    <w:uiPriority w:val="0"/>
    <w:rPr>
      <w:sz w:val="18"/>
      <w:szCs w:val="18"/>
    </w:rPr>
  </w:style>
  <w:style w:type="paragraph" w:styleId="24">
    <w:name w:val="footer"/>
    <w:basedOn w:val="1"/>
    <w:link w:val="64"/>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5"/>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6"/>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7"/>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Normal (Web)"/>
    <w:basedOn w:val="1"/>
    <w:semiHidden/>
    <w:unhideWhenUsed/>
    <w:qFormat/>
    <w:uiPriority w:val="99"/>
    <w:pPr>
      <w:spacing w:beforeAutospacing="1" w:afterAutospacing="1"/>
    </w:pPr>
    <w:rPr>
      <w:rFonts w:cs="Times New Roman"/>
      <w:kern w:val="0"/>
    </w:rPr>
  </w:style>
  <w:style w:type="paragraph" w:styleId="34">
    <w:name w:val="index 1"/>
    <w:basedOn w:val="1"/>
    <w:next w:val="1"/>
    <w:semiHidden/>
    <w:unhideWhenUsed/>
    <w:qFormat/>
    <w:uiPriority w:val="0"/>
  </w:style>
  <w:style w:type="paragraph" w:styleId="35">
    <w:name w:val="Title"/>
    <w:basedOn w:val="1"/>
    <w:next w:val="1"/>
    <w:link w:val="68"/>
    <w:qFormat/>
    <w:uiPriority w:val="10"/>
    <w:pPr>
      <w:spacing w:before="240" w:after="60"/>
      <w:jc w:val="center"/>
      <w:outlineLvl w:val="0"/>
    </w:pPr>
    <w:rPr>
      <w:rFonts w:ascii="Cambria" w:hAnsi="Cambria" w:cs="Times New Roman"/>
      <w:b/>
      <w:bCs/>
      <w:sz w:val="52"/>
      <w:szCs w:val="32"/>
    </w:rPr>
  </w:style>
  <w:style w:type="paragraph" w:styleId="36">
    <w:name w:val="annotation subject"/>
    <w:basedOn w:val="13"/>
    <w:next w:val="13"/>
    <w:link w:val="55"/>
    <w:semiHidden/>
    <w:unhideWhenUsed/>
    <w:qFormat/>
    <w:uiPriority w:val="99"/>
    <w:rPr>
      <w:b/>
      <w:bCs/>
    </w:rPr>
  </w:style>
  <w:style w:type="table" w:styleId="38">
    <w:name w:val="Table Grid"/>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unhideWhenUsed/>
    <w:qFormat/>
    <w:uiPriority w:val="99"/>
    <w:rPr>
      <w:color w:val="800080"/>
      <w:u w:val="single"/>
    </w:rPr>
  </w:style>
  <w:style w:type="character" w:styleId="43">
    <w:name w:val="Emphasis"/>
    <w:basedOn w:val="39"/>
    <w:qFormat/>
    <w:uiPriority w:val="20"/>
    <w:rPr>
      <w:i/>
      <w:iCs/>
    </w:rPr>
  </w:style>
  <w:style w:type="character" w:styleId="44">
    <w:name w:val="Hyperlink"/>
    <w:unhideWhenUsed/>
    <w:qFormat/>
    <w:uiPriority w:val="99"/>
    <w:rPr>
      <w:color w:val="0000FF"/>
      <w:u w:val="single"/>
    </w:rPr>
  </w:style>
  <w:style w:type="character" w:styleId="45">
    <w:name w:val="annotation reference"/>
    <w:basedOn w:val="39"/>
    <w:unhideWhenUsed/>
    <w:qFormat/>
    <w:uiPriority w:val="99"/>
    <w:rPr>
      <w:sz w:val="21"/>
      <w:szCs w:val="21"/>
    </w:rPr>
  </w:style>
  <w:style w:type="character" w:styleId="46">
    <w:name w:val="footnote reference"/>
    <w:unhideWhenUsed/>
    <w:qFormat/>
    <w:uiPriority w:val="0"/>
    <w:rPr>
      <w:vertAlign w:val="superscript"/>
    </w:rPr>
  </w:style>
  <w:style w:type="character" w:customStyle="1" w:styleId="47">
    <w:name w:val="标题 1 Char"/>
    <w:basedOn w:val="39"/>
    <w:link w:val="2"/>
    <w:qFormat/>
    <w:uiPriority w:val="0"/>
    <w:rPr>
      <w:rFonts w:ascii="Times New Roman" w:hAnsi="Times New Roman" w:eastAsia="仿宋" w:cs="黑体"/>
      <w:b/>
      <w:bCs/>
      <w:kern w:val="44"/>
      <w:sz w:val="44"/>
      <w:szCs w:val="44"/>
    </w:rPr>
  </w:style>
  <w:style w:type="character" w:customStyle="1" w:styleId="48">
    <w:name w:val="标题 2 Char"/>
    <w:basedOn w:val="39"/>
    <w:link w:val="3"/>
    <w:qFormat/>
    <w:uiPriority w:val="0"/>
    <w:rPr>
      <w:rFonts w:ascii="Cambria" w:hAnsi="Cambria" w:eastAsia="宋体" w:cs="黑体"/>
      <w:b/>
      <w:bCs/>
      <w:sz w:val="32"/>
      <w:szCs w:val="32"/>
    </w:rPr>
  </w:style>
  <w:style w:type="character" w:customStyle="1" w:styleId="49">
    <w:name w:val="标题 3 Char"/>
    <w:basedOn w:val="39"/>
    <w:link w:val="4"/>
    <w:qFormat/>
    <w:uiPriority w:val="0"/>
    <w:rPr>
      <w:rFonts w:ascii="Calibri" w:hAnsi="Calibri" w:eastAsia="宋体" w:cs="黑体"/>
      <w:b/>
      <w:bCs/>
      <w:sz w:val="32"/>
      <w:szCs w:val="32"/>
    </w:rPr>
  </w:style>
  <w:style w:type="character" w:customStyle="1" w:styleId="50">
    <w:name w:val="标题 4 Char"/>
    <w:basedOn w:val="39"/>
    <w:link w:val="5"/>
    <w:qFormat/>
    <w:uiPriority w:val="0"/>
    <w:rPr>
      <w:rFonts w:ascii="Cambria" w:hAnsi="Cambria" w:eastAsia="宋体" w:cs="黑体"/>
      <w:b/>
      <w:bCs/>
      <w:sz w:val="28"/>
      <w:szCs w:val="28"/>
    </w:rPr>
  </w:style>
  <w:style w:type="character" w:customStyle="1" w:styleId="51">
    <w:name w:val="标题 5 Char"/>
    <w:basedOn w:val="39"/>
    <w:link w:val="6"/>
    <w:qFormat/>
    <w:uiPriority w:val="9"/>
    <w:rPr>
      <w:rFonts w:ascii="Calibri" w:hAnsi="Calibri" w:eastAsia="宋体" w:cs="黑体"/>
      <w:b/>
      <w:bCs/>
      <w:sz w:val="28"/>
      <w:szCs w:val="28"/>
    </w:rPr>
  </w:style>
  <w:style w:type="character" w:customStyle="1" w:styleId="52">
    <w:name w:val="标题 6 Char"/>
    <w:basedOn w:val="39"/>
    <w:link w:val="7"/>
    <w:qFormat/>
    <w:uiPriority w:val="0"/>
    <w:rPr>
      <w:rFonts w:ascii="Cambria" w:hAnsi="Cambria" w:eastAsia="宋体" w:cs="Times New Roman"/>
      <w:b/>
      <w:bCs/>
      <w:sz w:val="24"/>
      <w:szCs w:val="24"/>
    </w:rPr>
  </w:style>
  <w:style w:type="character" w:customStyle="1" w:styleId="53">
    <w:name w:val="标题 7 Char"/>
    <w:basedOn w:val="39"/>
    <w:link w:val="8"/>
    <w:semiHidden/>
    <w:qFormat/>
    <w:uiPriority w:val="9"/>
    <w:rPr>
      <w:rFonts w:ascii="CG Times" w:hAnsi="CG Times" w:eastAsia="楷体_GB2312" w:cs="Times New Roman"/>
      <w:b/>
      <w:bCs/>
      <w:sz w:val="24"/>
      <w:szCs w:val="24"/>
    </w:rPr>
  </w:style>
  <w:style w:type="character" w:customStyle="1" w:styleId="54">
    <w:name w:val="批注文字 Char"/>
    <w:basedOn w:val="39"/>
    <w:link w:val="13"/>
    <w:qFormat/>
    <w:uiPriority w:val="99"/>
    <w:rPr>
      <w:rFonts w:ascii="Calibri" w:hAnsi="Calibri" w:eastAsia="宋体" w:cs="黑体"/>
      <w:sz w:val="24"/>
    </w:rPr>
  </w:style>
  <w:style w:type="character" w:customStyle="1" w:styleId="55">
    <w:name w:val="批注主题 Char"/>
    <w:basedOn w:val="54"/>
    <w:link w:val="36"/>
    <w:semiHidden/>
    <w:qFormat/>
    <w:uiPriority w:val="99"/>
    <w:rPr>
      <w:rFonts w:ascii="Calibri" w:hAnsi="Calibri" w:eastAsia="宋体" w:cs="黑体"/>
      <w:b/>
      <w:bCs/>
      <w:sz w:val="24"/>
    </w:rPr>
  </w:style>
  <w:style w:type="character" w:customStyle="1" w:styleId="56">
    <w:name w:val="文档结构图 Char"/>
    <w:basedOn w:val="39"/>
    <w:link w:val="12"/>
    <w:semiHidden/>
    <w:qFormat/>
    <w:uiPriority w:val="99"/>
    <w:rPr>
      <w:rFonts w:ascii="宋体" w:hAnsi="Calibri" w:eastAsia="宋体" w:cs="黑体"/>
      <w:sz w:val="18"/>
      <w:szCs w:val="18"/>
    </w:rPr>
  </w:style>
  <w:style w:type="character" w:customStyle="1" w:styleId="57">
    <w:name w:val="正文文本 3 Char"/>
    <w:basedOn w:val="39"/>
    <w:link w:val="14"/>
    <w:semiHidden/>
    <w:qFormat/>
    <w:uiPriority w:val="99"/>
    <w:rPr>
      <w:rFonts w:ascii="Times New Roman" w:hAnsi="Times New Roman" w:eastAsia="宋体" w:cs="Times New Roman"/>
      <w:sz w:val="16"/>
      <w:szCs w:val="16"/>
    </w:rPr>
  </w:style>
  <w:style w:type="character" w:customStyle="1" w:styleId="58">
    <w:name w:val="正文文本 Char"/>
    <w:basedOn w:val="39"/>
    <w:link w:val="15"/>
    <w:qFormat/>
    <w:uiPriority w:val="0"/>
    <w:rPr>
      <w:rFonts w:ascii="楷体_GB2312" w:hAnsi="CG Times" w:eastAsia="楷体_GB2312" w:cs="Times New Roman"/>
      <w:color w:val="000000"/>
      <w:sz w:val="36"/>
      <w:szCs w:val="20"/>
    </w:rPr>
  </w:style>
  <w:style w:type="character" w:customStyle="1" w:styleId="59">
    <w:name w:val="正文文本缩进 Char"/>
    <w:basedOn w:val="39"/>
    <w:link w:val="16"/>
    <w:qFormat/>
    <w:uiPriority w:val="0"/>
    <w:rPr>
      <w:rFonts w:ascii="楷体_GB2312" w:hAnsi="Times New Roman" w:eastAsia="宋体" w:cs="Times New Roman"/>
      <w:szCs w:val="24"/>
    </w:rPr>
  </w:style>
  <w:style w:type="character" w:customStyle="1" w:styleId="60">
    <w:name w:val="纯文本 Char"/>
    <w:basedOn w:val="39"/>
    <w:link w:val="19"/>
    <w:qFormat/>
    <w:uiPriority w:val="0"/>
    <w:rPr>
      <w:rFonts w:ascii="宋体" w:hAnsi="Courier New" w:eastAsia="宋体" w:cs="Times New Roman"/>
      <w:szCs w:val="21"/>
    </w:rPr>
  </w:style>
  <w:style w:type="character" w:customStyle="1" w:styleId="61">
    <w:name w:val="日期 Char"/>
    <w:basedOn w:val="39"/>
    <w:link w:val="21"/>
    <w:qFormat/>
    <w:uiPriority w:val="0"/>
    <w:rPr>
      <w:rFonts w:ascii="CG Times" w:hAnsi="CG Times" w:eastAsia="楷体_GB2312" w:cs="Times New Roman"/>
      <w:sz w:val="28"/>
      <w:szCs w:val="20"/>
    </w:rPr>
  </w:style>
  <w:style w:type="character" w:customStyle="1" w:styleId="62">
    <w:name w:val="正文文本缩进 2 Char"/>
    <w:basedOn w:val="39"/>
    <w:link w:val="22"/>
    <w:qFormat/>
    <w:uiPriority w:val="0"/>
    <w:rPr>
      <w:rFonts w:ascii="楷体_GB2312" w:hAnsi="宋体" w:eastAsia="楷体_GB2312" w:cs="Times New Roman"/>
      <w:sz w:val="24"/>
      <w:szCs w:val="24"/>
    </w:rPr>
  </w:style>
  <w:style w:type="character" w:customStyle="1" w:styleId="63">
    <w:name w:val="批注框文本 Char"/>
    <w:basedOn w:val="39"/>
    <w:link w:val="23"/>
    <w:qFormat/>
    <w:uiPriority w:val="0"/>
    <w:rPr>
      <w:rFonts w:ascii="Calibri" w:hAnsi="Calibri" w:eastAsia="宋体" w:cs="黑体"/>
      <w:sz w:val="18"/>
      <w:szCs w:val="18"/>
    </w:rPr>
  </w:style>
  <w:style w:type="character" w:customStyle="1" w:styleId="64">
    <w:name w:val="页脚 Char"/>
    <w:basedOn w:val="39"/>
    <w:link w:val="24"/>
    <w:qFormat/>
    <w:uiPriority w:val="99"/>
    <w:rPr>
      <w:rFonts w:ascii="Calibri" w:hAnsi="Calibri" w:eastAsia="宋体" w:cs="Times New Roman"/>
      <w:sz w:val="18"/>
      <w:szCs w:val="18"/>
    </w:rPr>
  </w:style>
  <w:style w:type="character" w:customStyle="1" w:styleId="65">
    <w:name w:val="页眉 Char"/>
    <w:basedOn w:val="39"/>
    <w:link w:val="25"/>
    <w:qFormat/>
    <w:uiPriority w:val="99"/>
    <w:rPr>
      <w:rFonts w:ascii="Calibri" w:hAnsi="Calibri" w:eastAsia="宋体" w:cs="Times New Roman"/>
      <w:sz w:val="18"/>
      <w:szCs w:val="18"/>
    </w:rPr>
  </w:style>
  <w:style w:type="character" w:customStyle="1" w:styleId="66">
    <w:name w:val="脚注文本 Char"/>
    <w:basedOn w:val="39"/>
    <w:link w:val="28"/>
    <w:qFormat/>
    <w:uiPriority w:val="0"/>
    <w:rPr>
      <w:rFonts w:ascii="Times New Roman" w:hAnsi="Times New Roman" w:eastAsia="宋体" w:cs="Times New Roman"/>
      <w:kern w:val="0"/>
      <w:sz w:val="18"/>
      <w:szCs w:val="18"/>
    </w:rPr>
  </w:style>
  <w:style w:type="character" w:customStyle="1" w:styleId="67">
    <w:name w:val="正文文本缩进 3 Char"/>
    <w:basedOn w:val="39"/>
    <w:link w:val="30"/>
    <w:qFormat/>
    <w:uiPriority w:val="0"/>
    <w:rPr>
      <w:rFonts w:ascii="Times New Roman" w:hAnsi="Times New Roman" w:eastAsia="楷体_GB2312" w:cs="Times New Roman"/>
      <w:sz w:val="24"/>
      <w:szCs w:val="24"/>
    </w:rPr>
  </w:style>
  <w:style w:type="character" w:customStyle="1" w:styleId="68">
    <w:name w:val="标题 Char"/>
    <w:basedOn w:val="39"/>
    <w:link w:val="35"/>
    <w:qFormat/>
    <w:uiPriority w:val="10"/>
    <w:rPr>
      <w:rFonts w:ascii="Cambria" w:hAnsi="Cambria" w:eastAsia="宋体" w:cs="Times New Roman"/>
      <w:b/>
      <w:bCs/>
      <w:sz w:val="52"/>
      <w:szCs w:val="32"/>
    </w:rPr>
  </w:style>
  <w:style w:type="paragraph" w:customStyle="1" w:styleId="69">
    <w:name w:val="标题3"/>
    <w:basedOn w:val="4"/>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70">
    <w:name w:val="标题4"/>
    <w:basedOn w:val="5"/>
    <w:next w:val="1"/>
    <w:link w:val="71"/>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1">
    <w:name w:val="标题4 Char Char"/>
    <w:link w:val="70"/>
    <w:qFormat/>
    <w:uiPriority w:val="0"/>
    <w:rPr>
      <w:rFonts w:ascii="Cambria" w:hAnsi="Cambria" w:eastAsia="楷体" w:cs="Times New Roman"/>
      <w:b/>
      <w:bCs/>
      <w:kern w:val="0"/>
      <w:sz w:val="30"/>
      <w:szCs w:val="28"/>
    </w:rPr>
  </w:style>
  <w:style w:type="paragraph" w:customStyle="1" w:styleId="72">
    <w:name w:val="标题5"/>
    <w:basedOn w:val="6"/>
    <w:qFormat/>
    <w:uiPriority w:val="0"/>
    <w:pPr>
      <w:adjustRightInd w:val="0"/>
      <w:snapToGrid w:val="0"/>
      <w:spacing w:before="0" w:after="0" w:line="360" w:lineRule="auto"/>
    </w:pPr>
    <w:rPr>
      <w:rFonts w:eastAsia="楷体"/>
    </w:rPr>
  </w:style>
  <w:style w:type="paragraph" w:customStyle="1" w:styleId="73">
    <w:name w:val="标题1"/>
    <w:basedOn w:val="2"/>
    <w:next w:val="1"/>
    <w:qFormat/>
    <w:uiPriority w:val="0"/>
    <w:pPr>
      <w:adjustRightInd w:val="0"/>
      <w:snapToGrid w:val="0"/>
      <w:spacing w:beforeLines="50" w:afterLines="50"/>
      <w:ind w:firstLine="200" w:firstLineChars="200"/>
    </w:pPr>
    <w:rPr>
      <w:rFonts w:eastAsia="黑体"/>
      <w:b w:val="0"/>
      <w:sz w:val="30"/>
    </w:rPr>
  </w:style>
  <w:style w:type="paragraph" w:customStyle="1" w:styleId="74">
    <w:name w:val="标题2"/>
    <w:basedOn w:val="3"/>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5">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6">
    <w:name w:val="表格栏头"/>
    <w:basedOn w:val="75"/>
    <w:next w:val="75"/>
    <w:qFormat/>
    <w:uiPriority w:val="0"/>
    <w:pPr>
      <w:tabs>
        <w:tab w:val="clear" w:pos="1702"/>
      </w:tabs>
      <w:spacing w:before="60" w:after="60"/>
      <w:textAlignment w:val="baseline"/>
    </w:pPr>
    <w:rPr>
      <w:rFonts w:ascii="Tahoma" w:hAnsi="Tahoma" w:eastAsia="宋体"/>
      <w:b/>
      <w:color w:val="auto"/>
    </w:rPr>
  </w:style>
  <w:style w:type="paragraph" w:customStyle="1" w:styleId="77">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8">
    <w:name w:val="信息标题2"/>
    <w:basedOn w:val="11"/>
    <w:next w:val="11"/>
    <w:qFormat/>
    <w:uiPriority w:val="0"/>
    <w:pPr>
      <w:spacing w:after="0"/>
      <w:jc w:val="center"/>
    </w:pPr>
    <w:rPr>
      <w:rFonts w:ascii="楷体" w:hAnsi="楷体" w:eastAsia="楷体"/>
      <w:b/>
      <w:sz w:val="36"/>
      <w:szCs w:val="36"/>
    </w:rPr>
  </w:style>
  <w:style w:type="paragraph" w:customStyle="1" w:styleId="79">
    <w:name w:val="列出段落1"/>
    <w:basedOn w:val="1"/>
    <w:qFormat/>
    <w:uiPriority w:val="34"/>
    <w:pPr>
      <w:ind w:firstLine="420"/>
    </w:pPr>
  </w:style>
  <w:style w:type="paragraph" w:customStyle="1" w:styleId="80">
    <w:name w:val="p0"/>
    <w:basedOn w:val="1"/>
    <w:qFormat/>
    <w:uiPriority w:val="0"/>
    <w:pPr>
      <w:jc w:val="both"/>
    </w:pPr>
    <w:rPr>
      <w:rFonts w:cs="宋体"/>
      <w:kern w:val="0"/>
      <w:sz w:val="21"/>
      <w:szCs w:val="21"/>
    </w:rPr>
  </w:style>
  <w:style w:type="paragraph" w:customStyle="1" w:styleId="8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2">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3">
    <w:name w:val="表格首行"/>
    <w:basedOn w:val="1"/>
    <w:qFormat/>
    <w:uiPriority w:val="0"/>
    <w:pPr>
      <w:tabs>
        <w:tab w:val="left" w:pos="540"/>
      </w:tabs>
      <w:jc w:val="both"/>
    </w:pPr>
    <w:rPr>
      <w:rFonts w:eastAsia="楷体_GB2312" w:cs="Times New Roman"/>
      <w:b/>
      <w:szCs w:val="21"/>
    </w:rPr>
  </w:style>
  <w:style w:type="paragraph" w:customStyle="1" w:styleId="84">
    <w:name w:val="表格内容"/>
    <w:basedOn w:val="1"/>
    <w:qFormat/>
    <w:uiPriority w:val="0"/>
    <w:pPr>
      <w:tabs>
        <w:tab w:val="left" w:pos="540"/>
      </w:tabs>
    </w:pPr>
    <w:rPr>
      <w:rFonts w:eastAsia="楷体_GB2312" w:cs="Times New Roman"/>
      <w:szCs w:val="28"/>
    </w:rPr>
  </w:style>
  <w:style w:type="paragraph" w:customStyle="1" w:styleId="85">
    <w:name w:val="Char Char Char Char Char Char Char"/>
    <w:basedOn w:val="1"/>
    <w:qFormat/>
    <w:uiPriority w:val="0"/>
    <w:rPr>
      <w:rFonts w:ascii="Verdana" w:hAnsi="Verdana" w:cs="Times New Roman"/>
      <w:kern w:val="0"/>
      <w:sz w:val="21"/>
      <w:szCs w:val="20"/>
      <w:lang w:eastAsia="en-US"/>
    </w:rPr>
  </w:style>
  <w:style w:type="paragraph" w:customStyle="1" w:styleId="86">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7">
    <w:name w:val="TOC 标题1"/>
    <w:basedOn w:val="2"/>
    <w:next w:val="1"/>
    <w:unhideWhenUsed/>
    <w:qFormat/>
    <w:uiPriority w:val="39"/>
    <w:pPr>
      <w:spacing w:line="578" w:lineRule="atLeast"/>
      <w:jc w:val="both"/>
      <w:outlineLvl w:val="9"/>
    </w:pPr>
    <w:rPr>
      <w:rFonts w:ascii="CG Times" w:hAnsi="CG Times" w:eastAsia="楷体_GB2312" w:cs="Times New Roman"/>
    </w:rPr>
  </w:style>
  <w:style w:type="paragraph" w:customStyle="1" w:styleId="88">
    <w:name w:val="样式 标题 1 + 段后: 0.5 行"/>
    <w:basedOn w:val="2"/>
    <w:qFormat/>
    <w:uiPriority w:val="0"/>
    <w:pPr>
      <w:numPr>
        <w:ilvl w:val="0"/>
        <w:numId w:val="3"/>
      </w:numPr>
      <w:spacing w:afterLines="50"/>
      <w:jc w:val="both"/>
    </w:pPr>
    <w:rPr>
      <w:rFonts w:eastAsia="黑体" w:cs="宋体"/>
      <w:sz w:val="36"/>
      <w:szCs w:val="20"/>
    </w:rPr>
  </w:style>
  <w:style w:type="paragraph" w:customStyle="1" w:styleId="89">
    <w:name w:val="文档结构图1"/>
    <w:basedOn w:val="1"/>
    <w:qFormat/>
    <w:uiPriority w:val="0"/>
    <w:pPr>
      <w:jc w:val="both"/>
    </w:pPr>
    <w:rPr>
      <w:rFonts w:ascii="宋体" w:hAnsi="CG Times" w:cs="Times New Roman"/>
      <w:sz w:val="18"/>
      <w:szCs w:val="18"/>
    </w:rPr>
  </w:style>
  <w:style w:type="paragraph" w:customStyle="1" w:styleId="90">
    <w:name w:val="批注主题1"/>
    <w:basedOn w:val="13"/>
    <w:next w:val="13"/>
    <w:qFormat/>
    <w:uiPriority w:val="0"/>
    <w:rPr>
      <w:rFonts w:ascii="CG Times" w:hAnsi="CG Times" w:eastAsia="楷体_GB2312" w:cs="Times New Roman"/>
      <w:b/>
      <w:bCs/>
      <w:szCs w:val="20"/>
    </w:rPr>
  </w:style>
  <w:style w:type="paragraph" w:customStyle="1" w:styleId="91">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2">
    <w:name w:val="列出段落11"/>
    <w:basedOn w:val="1"/>
    <w:qFormat/>
    <w:uiPriority w:val="0"/>
    <w:pPr>
      <w:ind w:firstLine="420"/>
      <w:jc w:val="both"/>
    </w:pPr>
    <w:rPr>
      <w:rFonts w:ascii="CG Times" w:hAnsi="CG Times" w:eastAsia="楷体_GB2312" w:cs="Times New Roman"/>
      <w:szCs w:val="20"/>
    </w:rPr>
  </w:style>
  <w:style w:type="paragraph" w:customStyle="1" w:styleId="93">
    <w:name w:val="修订11"/>
    <w:qFormat/>
    <w:uiPriority w:val="0"/>
    <w:rPr>
      <w:rFonts w:ascii="CG Times" w:hAnsi="CG Times" w:eastAsia="楷体_GB2312" w:cs="Times New Roman"/>
      <w:sz w:val="24"/>
      <w:lang w:val="en-US" w:eastAsia="zh-CN" w:bidi="ar-SA"/>
    </w:rPr>
  </w:style>
  <w:style w:type="paragraph" w:customStyle="1" w:styleId="94">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5">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6">
    <w:name w:val="Char Char Char Char Char Char Char Char Char Char"/>
    <w:basedOn w:val="1"/>
    <w:qFormat/>
    <w:uiPriority w:val="0"/>
    <w:rPr>
      <w:rFonts w:ascii="Verdana" w:hAnsi="Verdana" w:cs="Times New Roman"/>
      <w:kern w:val="0"/>
      <w:sz w:val="21"/>
      <w:szCs w:val="20"/>
      <w:lang w:eastAsia="en-US"/>
    </w:rPr>
  </w:style>
  <w:style w:type="character" w:customStyle="1" w:styleId="97">
    <w:name w:val="st"/>
    <w:basedOn w:val="39"/>
    <w:qFormat/>
    <w:uiPriority w:val="0"/>
  </w:style>
  <w:style w:type="character" w:customStyle="1" w:styleId="98">
    <w:name w:val="脚注文本 Char1"/>
    <w:basedOn w:val="39"/>
    <w:qFormat/>
    <w:uiPriority w:val="0"/>
    <w:rPr>
      <w:sz w:val="18"/>
      <w:szCs w:val="18"/>
    </w:rPr>
  </w:style>
  <w:style w:type="character" w:customStyle="1" w:styleId="99">
    <w:name w:val="页码1"/>
    <w:basedOn w:val="39"/>
    <w:qFormat/>
    <w:uiPriority w:val="0"/>
  </w:style>
  <w:style w:type="character" w:customStyle="1" w:styleId="100">
    <w:name w:val="批注引用1"/>
    <w:qFormat/>
    <w:uiPriority w:val="0"/>
    <w:rPr>
      <w:sz w:val="21"/>
      <w:szCs w:val="21"/>
    </w:rPr>
  </w:style>
  <w:style w:type="paragraph" w:styleId="101">
    <w:name w:val="List Paragraph"/>
    <w:basedOn w:val="1"/>
    <w:qFormat/>
    <w:uiPriority w:val="34"/>
    <w:pPr>
      <w:ind w:firstLine="420"/>
    </w:pPr>
  </w:style>
  <w:style w:type="table" w:customStyle="1" w:styleId="102">
    <w:name w:val="网格型2"/>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修订1"/>
    <w:hidden/>
    <w:semiHidden/>
    <w:qFormat/>
    <w:uiPriority w:val="99"/>
    <w:rPr>
      <w:rFonts w:ascii="Times New Roman" w:hAnsi="Times New Roman" w:eastAsia="仿宋" w:cs="黑体"/>
      <w:kern w:val="2"/>
      <w:sz w:val="24"/>
      <w:szCs w:val="22"/>
      <w:lang w:val="en-US" w:eastAsia="zh-CN" w:bidi="ar-SA"/>
    </w:rPr>
  </w:style>
  <w:style w:type="character" w:customStyle="1" w:styleId="104">
    <w:name w:val="fontstyle01"/>
    <w:basedOn w:val="39"/>
    <w:qFormat/>
    <w:uiPriority w:val="0"/>
    <w:rPr>
      <w:rFonts w:hint="default" w:ascii="FangSong" w:hAnsi="FangSong"/>
      <w:color w:val="000000"/>
      <w:sz w:val="30"/>
      <w:szCs w:val="30"/>
    </w:rPr>
  </w:style>
  <w:style w:type="character" w:customStyle="1" w:styleId="105">
    <w:name w:val="fontstyle11"/>
    <w:basedOn w:val="39"/>
    <w:qFormat/>
    <w:uiPriority w:val="0"/>
    <w:rPr>
      <w:rFonts w:hint="default" w:ascii="TimesNewRomanPSMT" w:hAnsi="TimesNewRomanPSMT"/>
      <w:color w:val="000000"/>
      <w:sz w:val="30"/>
      <w:szCs w:val="30"/>
    </w:rPr>
  </w:style>
  <w:style w:type="character" w:customStyle="1" w:styleId="106">
    <w:name w:val="font21"/>
    <w:basedOn w:val="39"/>
    <w:qFormat/>
    <w:uiPriority w:val="0"/>
    <w:rPr>
      <w:rFonts w:ascii="方正书宋_GBK" w:hAnsi="方正书宋_GBK" w:eastAsia="方正书宋_GBK" w:cs="方正书宋_GBK"/>
      <w:b/>
      <w:color w:val="000000"/>
      <w:sz w:val="24"/>
      <w:szCs w:val="24"/>
      <w:u w:val="none"/>
    </w:rPr>
  </w:style>
  <w:style w:type="character" w:customStyle="1" w:styleId="107">
    <w:name w:val="font11"/>
    <w:basedOn w:val="39"/>
    <w:qFormat/>
    <w:uiPriority w:val="0"/>
    <w:rPr>
      <w:rFonts w:hint="default" w:ascii="Times New Roman" w:hAnsi="Times New Roman" w:cs="Times New Roman"/>
      <w:b/>
      <w:color w:val="000000"/>
      <w:sz w:val="24"/>
      <w:szCs w:val="24"/>
      <w:u w:val="none"/>
    </w:rPr>
  </w:style>
  <w:style w:type="paragraph" w:customStyle="1" w:styleId="108">
    <w:name w:val="ds-markdown-paragraph"/>
    <w:basedOn w:val="1"/>
    <w:qFormat/>
    <w:uiPriority w:val="0"/>
    <w:pPr>
      <w:spacing w:before="100" w:beforeAutospacing="1" w:after="100" w:afterAutospacing="1" w:line="240" w:lineRule="auto"/>
      <w:ind w:firstLine="0" w:firstLineChars="0"/>
    </w:pPr>
    <w:rPr>
      <w:rFonts w:ascii="宋体" w:hAnsi="宋体" w:eastAsia="宋体" w:cs="宋体"/>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2607</Words>
  <Characters>3020</Characters>
  <Lines>34</Lines>
  <Paragraphs>9</Paragraphs>
  <TotalTime>0</TotalTime>
  <ScaleCrop>false</ScaleCrop>
  <LinksUpToDate>false</LinksUpToDate>
  <CharactersWithSpaces>3084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2025-11-08T03:19:00Z</dcterms:created>
  <cp:lastPrinted>2025-11-21T15:38:00Z</cp:lastPrinted>
  <dcterms:modified xsi:type="dcterms:W3CDTF">2025-11-28T09:58:01Z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01211CE936F54859A2BB0069A21BF3AA</vt:lpwstr>
  </property>
</Properties>
</file>