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sz w:val="32"/>
          <w:szCs w:val="32"/>
        </w:rPr>
        <w:t>附件2</w:t>
      </w:r>
    </w:p>
    <w:p>
      <w:pPr>
        <w:spacing w:line="0" w:lineRule="atLeast"/>
        <w:jc w:val="center"/>
        <w:rPr>
          <w:rFonts w:ascii="方正大标宋简体" w:eastAsia="方正大标宋简体"/>
          <w:sz w:val="44"/>
          <w:szCs w:val="44"/>
        </w:rPr>
      </w:pPr>
    </w:p>
    <w:p>
      <w:pPr>
        <w:spacing w:line="0" w:lineRule="atLeast"/>
        <w:jc w:val="center"/>
        <w:outlineLvl w:val="0"/>
        <w:rPr>
          <w:rFonts w:ascii="方正大标宋简体" w:eastAsia="方正大标宋简体"/>
          <w:sz w:val="44"/>
          <w:szCs w:val="44"/>
        </w:rPr>
      </w:pPr>
      <w:r>
        <w:rPr>
          <w:rFonts w:hint="eastAsia" w:ascii="方正大标宋简体" w:eastAsia="方正大标宋简体"/>
          <w:sz w:val="44"/>
          <w:szCs w:val="44"/>
        </w:rPr>
        <w:t>北京证券交易所存量上市公司证券代码</w:t>
      </w:r>
      <w:r>
        <w:rPr>
          <w:rFonts w:hint="eastAsia" w:ascii="方正大标宋简体" w:eastAsia="方正大标宋简体"/>
          <w:sz w:val="44"/>
          <w:szCs w:val="44"/>
          <w:lang w:eastAsia="zh-CN"/>
        </w:rPr>
        <w:t>批量</w:t>
      </w:r>
      <w:r>
        <w:rPr>
          <w:rFonts w:hint="eastAsia" w:ascii="方正大标宋简体" w:eastAsia="方正大标宋简体"/>
          <w:sz w:val="44"/>
          <w:szCs w:val="44"/>
        </w:rPr>
        <w:t>切换</w:t>
      </w:r>
      <w:r>
        <w:rPr>
          <w:rFonts w:hint="eastAsia" w:ascii="方正大标宋简体" w:eastAsia="方正大标宋简体"/>
          <w:sz w:val="44"/>
          <w:szCs w:val="44"/>
          <w:lang w:eastAsia="zh-CN"/>
        </w:rPr>
        <w:t>等业务</w:t>
      </w:r>
      <w:r>
        <w:rPr>
          <w:rFonts w:hint="eastAsia" w:ascii="方正大标宋简体" w:eastAsia="方正大标宋简体"/>
          <w:sz w:val="44"/>
          <w:szCs w:val="44"/>
        </w:rPr>
        <w:t>通关测试反馈报告</w:t>
      </w:r>
    </w:p>
    <w:p>
      <w:pPr>
        <w:spacing w:line="0" w:lineRule="atLeast"/>
        <w:jc w:val="left"/>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10"/>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一、机构名称</w:t>
            </w:r>
          </w:p>
          <w:p>
            <w:pPr>
              <w:pStyle w:val="2"/>
              <w:ind w:firstLine="0" w:firstLineChars="0"/>
              <w:rPr>
                <w:rFonts w:ascii="Times New Roman" w:hAnsi="Times New Roman" w:cs="Times New Roman"/>
                <w:sz w:val="28"/>
                <w:szCs w:val="28"/>
              </w:rPr>
            </w:pPr>
          </w:p>
          <w:p>
            <w:pPr>
              <w:pStyle w:val="2"/>
              <w:ind w:firstLine="0" w:firstLineChars="0"/>
            </w:pPr>
            <w:r>
              <w:rPr>
                <w:rFonts w:hint="eastAsia" w:ascii="Times New Roman" w:hAnsi="Times New Roman" w:cs="Times New Roman"/>
                <w:sz w:val="28"/>
                <w:szCs w:val="28"/>
              </w:rPr>
              <w:t>经纪业务营业部____家，参测经纪营业部____家。（证券公司填写）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96" w:type="dxa"/>
          </w:tcPr>
          <w:p>
            <w:pPr>
              <w:pStyle w:val="10"/>
              <w:spacing w:before="60" w:after="60" w:line="0" w:lineRule="atLeast"/>
              <w:ind w:firstLine="0" w:firstLineChars="0"/>
              <w:jc w:val="left"/>
              <w:rPr>
                <w:rFonts w:ascii="黑体" w:hAnsi="黑体" w:eastAsia="黑体" w:cs="Arial"/>
                <w:sz w:val="28"/>
                <w:szCs w:val="28"/>
              </w:rPr>
            </w:pPr>
            <w:r>
              <w:rPr>
                <w:rFonts w:hint="eastAsia" w:ascii="黑体" w:hAnsi="黑体" w:eastAsia="黑体" w:cs="Arial"/>
                <w:sz w:val="28"/>
                <w:szCs w:val="28"/>
              </w:rPr>
              <w:t>二、</w:t>
            </w:r>
            <w:r>
              <w:rPr>
                <w:rFonts w:ascii="黑体" w:hAnsi="黑体" w:eastAsia="黑体" w:cs="Arial"/>
                <w:sz w:val="28"/>
                <w:szCs w:val="28"/>
              </w:rPr>
              <w:t>测试时间</w:t>
            </w:r>
          </w:p>
          <w:p>
            <w:pPr>
              <w:pStyle w:val="10"/>
              <w:spacing w:before="60" w:after="60" w:line="0" w:lineRule="atLeast"/>
              <w:ind w:firstLine="0" w:firstLineChars="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2025年</w:t>
            </w:r>
            <w:r>
              <w:rPr>
                <w:rFonts w:hint="eastAsia" w:ascii="Times New Roman" w:hAnsi="Times New Roman" w:eastAsia="仿宋" w:cs="Times New Roman"/>
                <w:sz w:val="28"/>
                <w:szCs w:val="28"/>
                <w:lang w:val="en-US" w:eastAsia="zh-CN"/>
              </w:rPr>
              <w:t>10</w:t>
            </w:r>
            <w:r>
              <w:rPr>
                <w:rFonts w:hint="eastAsia" w:ascii="Times New Roman" w:hAnsi="Times New Roman" w:eastAsia="仿宋" w:cs="Times New Roman"/>
                <w:sz w:val="28"/>
                <w:szCs w:val="28"/>
              </w:rPr>
              <w:t>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0"/>
                <w:numId w:val="1"/>
              </w:numPr>
              <w:spacing w:before="60" w:after="60" w:line="0" w:lineRule="atLeast"/>
              <w:rPr>
                <w:rFonts w:ascii="Times New Roman" w:hAnsi="Times New Roman" w:eastAsia="黑体" w:cs="Times New Roman"/>
                <w:sz w:val="28"/>
                <w:szCs w:val="28"/>
              </w:rPr>
            </w:pPr>
            <w:r>
              <w:rPr>
                <w:rFonts w:ascii="Times New Roman" w:hAnsi="Times New Roman" w:eastAsia="黑体" w:cs="Times New Roman"/>
                <w:sz w:val="28"/>
                <w:szCs w:val="28"/>
              </w:rPr>
              <w:t>测试情况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楷体" w:hAnsi="楷体" w:eastAsia="楷体" w:cs="楷体"/>
                <w:sz w:val="28"/>
                <w:szCs w:val="28"/>
              </w:rPr>
            </w:pPr>
            <w:r>
              <w:rPr>
                <w:rFonts w:hint="eastAsia" w:ascii="楷体" w:hAnsi="楷体" w:eastAsia="楷体" w:cs="楷体"/>
                <w:sz w:val="28"/>
                <w:szCs w:val="28"/>
              </w:rPr>
              <w:t>（2025年</w:t>
            </w:r>
            <w:r>
              <w:rPr>
                <w:rFonts w:hint="eastAsia" w:ascii="楷体" w:hAnsi="楷体" w:eastAsia="楷体" w:cs="楷体"/>
                <w:sz w:val="28"/>
                <w:szCs w:val="28"/>
                <w:lang w:val="en-US" w:eastAsia="zh-CN"/>
              </w:rPr>
              <w:t>10</w:t>
            </w:r>
            <w:r>
              <w:rPr>
                <w:rFonts w:hint="eastAsia" w:ascii="楷体" w:hAnsi="楷体" w:eastAsia="楷体" w:cs="楷体"/>
                <w:sz w:val="28"/>
                <w:szCs w:val="28"/>
              </w:rPr>
              <w:t>月1日</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10月2日</w:t>
            </w:r>
            <w:r>
              <w:rPr>
                <w:rFonts w:hint="eastAsia" w:ascii="楷体" w:hAnsi="楷体" w:eastAsia="楷体" w:cs="楷体"/>
                <w:sz w:val="28"/>
                <w:szCs w:val="28"/>
              </w:rPr>
              <w:t>，</w:t>
            </w:r>
            <w:r>
              <w:rPr>
                <w:rFonts w:hint="eastAsia" w:ascii="楷体" w:hAnsi="楷体" w:eastAsia="楷体" w:cs="楷体"/>
                <w:sz w:val="28"/>
                <w:szCs w:val="28"/>
                <w:lang w:eastAsia="zh-CN"/>
              </w:rPr>
              <w:t>按照代码切换和稽核实际情况，</w:t>
            </w:r>
            <w:r>
              <w:rPr>
                <w:rFonts w:hint="eastAsia" w:ascii="楷体" w:hAnsi="楷体" w:eastAsia="楷体" w:cs="楷体"/>
                <w:sz w:val="28"/>
                <w:szCs w:val="28"/>
              </w:rPr>
              <w:t>证券公司填写第1至</w:t>
            </w:r>
            <w:r>
              <w:rPr>
                <w:rFonts w:hint="eastAsia" w:ascii="楷体" w:hAnsi="楷体" w:eastAsia="楷体" w:cs="楷体"/>
                <w:sz w:val="28"/>
                <w:szCs w:val="28"/>
                <w:lang w:val="en-US" w:eastAsia="zh-CN"/>
              </w:rPr>
              <w:t>9</w:t>
            </w:r>
            <w:r>
              <w:rPr>
                <w:rFonts w:hint="eastAsia" w:ascii="楷体" w:hAnsi="楷体" w:eastAsia="楷体" w:cs="楷体"/>
                <w:sz w:val="28"/>
                <w:szCs w:val="28"/>
              </w:rPr>
              <w:t>项</w:t>
            </w:r>
            <w:r>
              <w:rPr>
                <w:rFonts w:hint="eastAsia" w:ascii="楷体" w:hAnsi="楷体" w:eastAsia="楷体" w:cs="楷体"/>
                <w:sz w:val="28"/>
                <w:szCs w:val="28"/>
                <w:lang w:eastAsia="zh-CN"/>
              </w:rPr>
              <w:t>，基金公司填写</w:t>
            </w:r>
            <w:r>
              <w:rPr>
                <w:rFonts w:hint="eastAsia" w:ascii="楷体" w:hAnsi="楷体" w:eastAsia="楷体" w:cs="楷体"/>
                <w:sz w:val="28"/>
                <w:szCs w:val="28"/>
              </w:rPr>
              <w:t>第</w:t>
            </w:r>
            <w:r>
              <w:rPr>
                <w:rFonts w:hint="eastAsia" w:ascii="楷体" w:hAnsi="楷体" w:eastAsia="楷体" w:cs="楷体"/>
                <w:sz w:val="28"/>
                <w:szCs w:val="28"/>
                <w:lang w:val="en-US" w:eastAsia="zh-CN"/>
              </w:rPr>
              <w:t>1</w:t>
            </w:r>
            <w:r>
              <w:rPr>
                <w:rFonts w:hint="eastAsia" w:ascii="楷体" w:hAnsi="楷体" w:eastAsia="楷体" w:cs="楷体"/>
                <w:sz w:val="28"/>
                <w:szCs w:val="28"/>
                <w:lang w:eastAsia="zh-CN"/>
              </w:rPr>
              <w:t>至</w:t>
            </w: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项，</w:t>
            </w:r>
            <w:r>
              <w:rPr>
                <w:rFonts w:hint="eastAsia" w:ascii="楷体" w:hAnsi="楷体" w:eastAsia="楷体" w:cs="楷体"/>
                <w:sz w:val="28"/>
                <w:szCs w:val="28"/>
              </w:rPr>
              <w:t>信息商填写第2</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6、7、8、9</w:t>
            </w:r>
            <w:r>
              <w:rPr>
                <w:rFonts w:hint="eastAsia" w:ascii="楷体" w:hAnsi="楷体" w:eastAsia="楷体" w:cs="楷体"/>
                <w:sz w:val="28"/>
                <w:szCs w:val="28"/>
              </w:rPr>
              <w:t>项，于</w:t>
            </w:r>
            <w:r>
              <w:rPr>
                <w:rFonts w:hint="eastAsia" w:ascii="楷体" w:hAnsi="楷体" w:eastAsia="楷体" w:cs="楷体"/>
                <w:sz w:val="28"/>
                <w:szCs w:val="28"/>
                <w:lang w:val="en-US" w:eastAsia="zh-CN"/>
              </w:rPr>
              <w:t>10月2日</w:t>
            </w:r>
            <w:r>
              <w:rPr>
                <w:rFonts w:hint="eastAsia" w:ascii="楷体" w:hAnsi="楷体" w:eastAsia="楷体" w:cs="楷体"/>
                <w:sz w:val="28"/>
                <w:szCs w:val="28"/>
              </w:rPr>
              <w:t>21：00前电子邮件反馈至北交所，邮件主题和附件名称均为：机构名称+北交所存量上市公司代码</w:t>
            </w:r>
            <w:r>
              <w:rPr>
                <w:rFonts w:hint="eastAsia" w:ascii="楷体" w:hAnsi="楷体" w:eastAsia="楷体" w:cs="楷体"/>
                <w:sz w:val="28"/>
                <w:szCs w:val="28"/>
                <w:lang w:eastAsia="zh-CN"/>
              </w:rPr>
              <w:t>批量</w:t>
            </w:r>
            <w:r>
              <w:rPr>
                <w:rFonts w:hint="eastAsia" w:ascii="楷体" w:hAnsi="楷体" w:eastAsia="楷体" w:cs="楷体"/>
                <w:sz w:val="28"/>
                <w:szCs w:val="28"/>
              </w:rPr>
              <w:t>切换</w:t>
            </w:r>
            <w:r>
              <w:rPr>
                <w:rFonts w:hint="eastAsia" w:ascii="楷体" w:hAnsi="楷体" w:eastAsia="楷体" w:cs="楷体"/>
                <w:sz w:val="28"/>
                <w:szCs w:val="28"/>
                <w:lang w:eastAsia="zh-CN"/>
              </w:rPr>
              <w:t>和稽核</w:t>
            </w:r>
            <w:r>
              <w:rPr>
                <w:rFonts w:hint="eastAsia" w:ascii="楷体" w:hAnsi="楷体" w:eastAsia="楷体" w:cs="楷体"/>
                <w:sz w:val="28"/>
                <w:szCs w:val="28"/>
              </w:rPr>
              <w:t>情况报告，收件邮箱为：techservice@neeq.com.cn）</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1.代码切换前使用</w:t>
            </w:r>
            <w:r>
              <w:rPr>
                <w:rFonts w:hint="eastAsia" w:ascii="Times New Roman" w:hAnsi="Times New Roman" w:eastAsia="仿宋" w:cs="Times New Roman"/>
                <w:sz w:val="28"/>
                <w:szCs w:val="28"/>
                <w:lang w:eastAsia="zh-CN"/>
              </w:rPr>
              <w:t>原</w:t>
            </w:r>
            <w:r>
              <w:rPr>
                <w:rFonts w:hint="eastAsia" w:ascii="Times New Roman" w:hAnsi="Times New Roman" w:eastAsia="仿宋" w:cs="Times New Roman"/>
                <w:sz w:val="28"/>
                <w:szCs w:val="28"/>
              </w:rPr>
              <w:t>代码正常完成日终处理。</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numPr>
                <w:ilvl w:val="0"/>
                <w:numId w:val="2"/>
              </w:numPr>
              <w:spacing w:before="60" w:after="60" w:line="0" w:lineRule="atLeas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代码切换阶段能正确完成涉及交易、行情技术系统、投资者周边系统的代码切换。</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3.代码切换后数据核对阶段，交易结算类相关业务内部数据核对符合预期。</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4.代码切换后数据核对阶段，北交所重新发送的7个数据校验接口</w:t>
            </w:r>
            <w:r>
              <w:rPr>
                <w:rFonts w:hint="eastAsia" w:ascii="Times New Roman" w:hAnsi="Times New Roman" w:eastAsia="仿宋" w:cs="Times New Roman"/>
                <w:sz w:val="28"/>
                <w:szCs w:val="28"/>
                <w:lang w:eastAsia="zh-CN"/>
              </w:rPr>
              <w:t>数据</w:t>
            </w:r>
            <w:r>
              <w:rPr>
                <w:rFonts w:hint="eastAsia" w:ascii="Times New Roman" w:hAnsi="Times New Roman" w:eastAsia="仿宋" w:cs="Times New Roman"/>
                <w:sz w:val="28"/>
                <w:szCs w:val="28"/>
              </w:rPr>
              <w:t>核对准确无误。（</w:t>
            </w:r>
            <w:r>
              <w:rPr>
                <w:rFonts w:hint="eastAsia" w:ascii="Times New Roman" w:hAnsi="Times New Roman" w:eastAsia="仿宋" w:cs="Times New Roman"/>
                <w:sz w:val="28"/>
                <w:szCs w:val="28"/>
                <w:lang w:eastAsia="zh-CN"/>
              </w:rPr>
              <w:t>证券公司</w:t>
            </w:r>
            <w:r>
              <w:rPr>
                <w:rFonts w:hint="eastAsia" w:ascii="Times New Roman" w:hAnsi="Times New Roman" w:eastAsia="仿宋" w:cs="Times New Roman"/>
                <w:sz w:val="28"/>
                <w:szCs w:val="28"/>
              </w:rPr>
              <w:t>适用）</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5.代码切换后数据核对阶段，中国结算北分重新发送的2个数据校验接口（明细结果库和股份结算对账库）数据核对准确无误。（</w:t>
            </w:r>
            <w:r>
              <w:rPr>
                <w:rFonts w:hint="eastAsia" w:ascii="Times New Roman" w:hAnsi="Times New Roman" w:eastAsia="仿宋" w:cs="Times New Roman"/>
                <w:sz w:val="28"/>
                <w:szCs w:val="28"/>
                <w:lang w:eastAsia="zh-CN"/>
              </w:rPr>
              <w:t>证券公司</w:t>
            </w:r>
            <w:r>
              <w:rPr>
                <w:rFonts w:hint="eastAsia" w:ascii="Times New Roman" w:hAnsi="Times New Roman" w:eastAsia="仿宋" w:cs="Times New Roman"/>
                <w:sz w:val="28"/>
                <w:szCs w:val="28"/>
              </w:rPr>
              <w:t>适用）</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6.代码切换后已切换股票新三板期间行情不再与北交所上市期间行情连续。</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7.代码切换后已切换股票在北交所上市以来行情信息（含精选层期间）按照新代码连续展示，切换后首日前收盘价为原代码前收盘价。</w:t>
            </w:r>
          </w:p>
          <w:p>
            <w:pPr>
              <w:spacing w:before="60" w:after="60" w:line="0" w:lineRule="atLeas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 xml:space="preserve">□通过       □未通过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□不涉及</w:t>
            </w:r>
          </w:p>
          <w:p>
            <w:pPr>
              <w:numPr>
                <w:ilvl w:val="0"/>
                <w:numId w:val="3"/>
              </w:numPr>
              <w:spacing w:before="60" w:after="60" w:line="0" w:lineRule="atLeas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代码切换后能够按要求支持投资者使用</w:t>
            </w:r>
            <w:r>
              <w:rPr>
                <w:rFonts w:hint="eastAsia" w:ascii="Times New Roman" w:hAnsi="Times New Roman" w:eastAsia="仿宋" w:cs="Times New Roman"/>
                <w:sz w:val="28"/>
                <w:szCs w:val="28"/>
                <w:lang w:eastAsia="zh-CN"/>
              </w:rPr>
              <w:t>新旧代码</w:t>
            </w:r>
            <w:r>
              <w:rPr>
                <w:rFonts w:hint="eastAsia" w:ascii="Times New Roman" w:hAnsi="Times New Roman" w:eastAsia="仿宋" w:cs="Times New Roman"/>
                <w:sz w:val="28"/>
                <w:szCs w:val="28"/>
              </w:rPr>
              <w:t>查询行情、公告等信息。</w:t>
            </w:r>
          </w:p>
          <w:p>
            <w:pPr>
              <w:spacing w:before="60" w:after="60" w:line="0" w:lineRule="atLeast"/>
            </w:pPr>
            <w:r>
              <w:rPr>
                <w:rFonts w:hint="eastAsia" w:ascii="Times New Roman" w:hAnsi="Times New Roman" w:eastAsia="仿宋" w:cs="Times New Roman"/>
                <w:sz w:val="28"/>
                <w:szCs w:val="28"/>
              </w:rPr>
              <w:t xml:space="preserve">□通过       □未通过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rPr>
              <w:t>代码切换完成后，APP、客户端等周边系统如支持搜索栏搜索</w:t>
            </w:r>
            <w:r>
              <w:rPr>
                <w:rFonts w:hint="eastAsia" w:ascii="Times New Roman" w:hAnsi="Times New Roman" w:eastAsia="仿宋" w:cs="Times New Roman"/>
                <w:sz w:val="28"/>
                <w:szCs w:val="28"/>
                <w:lang w:eastAsia="zh-CN"/>
              </w:rPr>
              <w:t>原</w:t>
            </w:r>
            <w:r>
              <w:rPr>
                <w:rFonts w:hint="eastAsia" w:ascii="Times New Roman" w:hAnsi="Times New Roman" w:eastAsia="仿宋" w:cs="Times New Roman"/>
                <w:sz w:val="28"/>
                <w:szCs w:val="28"/>
              </w:rPr>
              <w:t>代码或展示</w:t>
            </w:r>
            <w:r>
              <w:rPr>
                <w:rFonts w:hint="eastAsia" w:ascii="Times New Roman" w:hAnsi="Times New Roman" w:eastAsia="仿宋" w:cs="Times New Roman"/>
                <w:sz w:val="28"/>
                <w:szCs w:val="28"/>
                <w:lang w:eastAsia="zh-CN"/>
              </w:rPr>
              <w:t>原</w:t>
            </w:r>
            <w:r>
              <w:rPr>
                <w:rFonts w:hint="eastAsia" w:ascii="Times New Roman" w:hAnsi="Times New Roman" w:eastAsia="仿宋" w:cs="Times New Roman"/>
                <w:sz w:val="28"/>
                <w:szCs w:val="28"/>
              </w:rPr>
              <w:t>代码行情信息，相应</w:t>
            </w:r>
            <w:r>
              <w:rPr>
                <w:rFonts w:hint="eastAsia" w:ascii="Times New Roman" w:hAnsi="Times New Roman" w:eastAsia="仿宋" w:cs="Times New Roman"/>
                <w:sz w:val="28"/>
                <w:szCs w:val="28"/>
                <w:lang w:eastAsia="zh-CN"/>
              </w:rPr>
              <w:t>原</w:t>
            </w:r>
            <w:r>
              <w:rPr>
                <w:rFonts w:hint="eastAsia" w:ascii="Times New Roman" w:hAnsi="Times New Roman" w:eastAsia="仿宋" w:cs="Times New Roman"/>
                <w:sz w:val="28"/>
                <w:szCs w:val="28"/>
              </w:rPr>
              <w:t>代码的交易状态提示信息显示“已切换”或“已切换代码”。</w:t>
            </w:r>
          </w:p>
          <w:p>
            <w:pPr>
              <w:spacing w:before="60" w:after="60" w:line="0" w:lineRule="atLeast"/>
              <w:jc w:val="left"/>
              <w:rPr>
                <w:rFonts w:hint="default" w:eastAsia="仿宋"/>
                <w:u w:val="single"/>
                <w:lang w:val="en-US" w:eastAsia="zh-CN"/>
              </w:rPr>
            </w:pPr>
            <w:r>
              <w:rPr>
                <w:rFonts w:hint="eastAsia" w:ascii="Times New Roman" w:hAnsi="Times New Roman" w:eastAsia="仿宋" w:cs="Times New Roman"/>
                <w:sz w:val="28"/>
                <w:szCs w:val="28"/>
                <w:u w:val="single"/>
              </w:rPr>
              <w:t xml:space="preserve">□通过       □未通过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rPr>
              <w:t xml:space="preserve">   □未测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single"/>
              </w:rPr>
              <w:t xml:space="preserve"> □不涉及    </w:t>
            </w:r>
            <w:r>
              <w:rPr>
                <w:rFonts w:hint="eastAsia" w:ascii="Times New Roman" w:hAnsi="Times New Roman" w:eastAsia="仿宋" w:cs="Times New Roman"/>
                <w:sz w:val="28"/>
                <w:szCs w:val="28"/>
                <w:u w:val="single"/>
                <w:lang w:val="en-US" w:eastAsia="zh-CN"/>
              </w:rPr>
              <w:t xml:space="preserve">         </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10</w:t>
            </w:r>
            <w:r>
              <w:rPr>
                <w:rFonts w:hint="eastAsia" w:ascii="Times New Roman" w:hAnsi="Times New Roman" w:eastAsia="仿宋" w:cs="Times New Roman"/>
                <w:sz w:val="28"/>
                <w:szCs w:val="28"/>
              </w:rPr>
              <w:t>.代码切换后涉及已切换股票的各类北交所业务委托申报、回报处理、股份计算、资金冻结等均正常。</w:t>
            </w:r>
          </w:p>
          <w:p>
            <w:pPr>
              <w:spacing w:before="60" w:after="60" w:line="0" w:lineRule="atLeas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未通过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.代码切换完成后能够正确接收、处理北交所下发的行情信息。</w:t>
            </w:r>
          </w:p>
          <w:p>
            <w:pPr>
              <w:spacing w:before="60" w:after="60" w:line="0" w:lineRule="atLeas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未通过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□未测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.代码切换完成后能够正常完成北交所股票的清算交收。</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.代码切换完成后融资融券相关业务可正常开展，余额等数据可正确报送。</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□通过       □未通过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.代码切换完成后北交所做市商做市相关业务可正常开展，做市义务可正常履行。</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□通过       □未通过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.代码切换完成后投资者使用</w:t>
            </w:r>
            <w:r>
              <w:rPr>
                <w:rFonts w:hint="eastAsia" w:ascii="Times New Roman" w:hAnsi="Times New Roman" w:eastAsia="仿宋" w:cs="Times New Roman"/>
                <w:sz w:val="28"/>
                <w:szCs w:val="28"/>
                <w:lang w:eastAsia="zh-CN"/>
              </w:rPr>
              <w:t>新旧</w:t>
            </w:r>
            <w:bookmarkStart w:id="0" w:name="_GoBack"/>
            <w:bookmarkEnd w:id="0"/>
            <w:r>
              <w:rPr>
                <w:rFonts w:hint="eastAsia" w:ascii="Times New Roman" w:hAnsi="Times New Roman" w:eastAsia="仿宋" w:cs="Times New Roman"/>
                <w:sz w:val="28"/>
                <w:szCs w:val="28"/>
                <w:lang w:eastAsia="zh-CN"/>
              </w:rPr>
              <w:t>代码</w:t>
            </w:r>
            <w:r>
              <w:rPr>
                <w:rFonts w:hint="eastAsia" w:ascii="Times New Roman" w:hAnsi="Times New Roman" w:eastAsia="仿宋" w:cs="Times New Roman"/>
                <w:sz w:val="28"/>
                <w:szCs w:val="28"/>
              </w:rPr>
              <w:t>均可查询上市以来的全部交易流水记录，并按照实际发生时的代码正确展示。</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       □不涉及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lang w:val="en"/>
              </w:rPr>
              <w:t>.</w:t>
            </w:r>
            <w:r>
              <w:rPr>
                <w:rFonts w:hint="eastAsia" w:ascii="Times New Roman" w:hAnsi="Times New Roman" w:eastAsia="仿宋" w:cs="Times New Roman"/>
                <w:sz w:val="28"/>
                <w:szCs w:val="28"/>
              </w:rPr>
              <w:t>代码切换完成后已切换股票、未切换股票的各项业务（含优先股、可转债、要约等）均可正常开展。</w:t>
            </w:r>
          </w:p>
          <w:p>
            <w:pPr>
              <w:spacing w:before="60" w:after="60" w:line="0" w:lineRule="atLeas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□不涉及</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.各类系统（经纪业务类系统、自营业务类系统、做市业务类系统、资管业务类等系统）能够正确完成所有测试要求。</w:t>
            </w:r>
          </w:p>
          <w:p>
            <w:pPr>
              <w:spacing w:before="60" w:after="60" w:line="0" w:lineRule="atLeast"/>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 xml:space="preserve">□通过       </w:t>
            </w:r>
            <w:r>
              <w:rPr>
                <w:rFonts w:hint="eastAsia" w:ascii="Times New Roman" w:hAnsi="Times New Roman" w:eastAsia="仿宋" w:cs="Times New Roman"/>
                <w:sz w:val="28"/>
                <w:szCs w:val="28"/>
              </w:rPr>
              <w:sym w:font="Wingdings 2" w:char="00A3"/>
            </w:r>
            <w:r>
              <w:rPr>
                <w:rFonts w:hint="eastAsia" w:ascii="Times New Roman" w:hAnsi="Times New Roman" w:eastAsia="仿宋" w:cs="Times New Roman"/>
                <w:sz w:val="28"/>
                <w:szCs w:val="28"/>
              </w:rPr>
              <w:t>未通过     □未测</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、测试结论</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参测各类系统能够正确完成所有业务测试场景，达到上线要求。</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□完全通过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□部分通过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 xml:space="preserve"> □未通过</w:t>
            </w:r>
          </w:p>
          <w:p>
            <w:pPr>
              <w:spacing w:before="60" w:after="60" w:line="0" w:lineRule="atLeast"/>
              <w:rPr>
                <w:rFonts w:ascii="Times New Roman" w:hAnsi="Times New Roman" w:eastAsia="仿宋" w:cs="Times New Roman"/>
                <w:sz w:val="28"/>
                <w:szCs w:val="28"/>
              </w:rPr>
            </w:pPr>
            <w:r>
              <w:rPr>
                <w:rFonts w:hint="eastAsia" w:ascii="Times New Roman" w:hAnsi="Times New Roman" w:eastAsia="仿宋" w:cs="Times New Roman"/>
                <w:sz w:val="28"/>
                <w:szCs w:val="28"/>
              </w:rPr>
              <w:t>（注：如果选择“部分通过”或“未通过”，请在问题记录中写明测试未通过技术系统详细情况以及未通过经纪营业部数量。）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before="60" w:after="60" w:line="0" w:lineRule="atLeast"/>
              <w:jc w:val="left"/>
              <w:rPr>
                <w:rFonts w:ascii="黑体" w:hAnsi="黑体" w:eastAsia="黑体" w:cs="Arial"/>
                <w:sz w:val="28"/>
                <w:szCs w:val="28"/>
              </w:rPr>
            </w:pPr>
            <w:r>
              <w:rPr>
                <w:rFonts w:hint="eastAsia" w:ascii="黑体" w:hAnsi="黑体" w:eastAsia="黑体" w:cs="Arial"/>
                <w:sz w:val="28"/>
                <w:szCs w:val="28"/>
              </w:rPr>
              <w:t>五、</w:t>
            </w:r>
            <w:r>
              <w:rPr>
                <w:rFonts w:ascii="黑体" w:hAnsi="黑体" w:eastAsia="黑体" w:cs="Arial"/>
                <w:sz w:val="28"/>
                <w:szCs w:val="28"/>
              </w:rPr>
              <w:t>问</w:t>
            </w:r>
            <w:r>
              <w:rPr>
                <w:rFonts w:hint="eastAsia" w:ascii="黑体" w:hAnsi="黑体" w:eastAsia="黑体" w:cs="Arial"/>
                <w:sz w:val="28"/>
                <w:szCs w:val="28"/>
              </w:rPr>
              <w:t>题</w:t>
            </w:r>
            <w:r>
              <w:rPr>
                <w:rFonts w:ascii="黑体" w:hAnsi="黑体" w:eastAsia="黑体" w:cs="Arial"/>
                <w:sz w:val="28"/>
                <w:szCs w:val="28"/>
              </w:rPr>
              <w:t>记录</w:t>
            </w: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cs="Arial"/>
                <w:sz w:val="28"/>
                <w:szCs w:val="28"/>
              </w:rPr>
            </w:pPr>
          </w:p>
          <w:p>
            <w:pPr>
              <w:spacing w:before="60" w:after="60" w:line="0" w:lineRule="atLeast"/>
              <w:jc w:val="left"/>
              <w:rPr>
                <w:rFonts w:ascii="仿宋" w:hAnsi="仿宋" w:eastAsia="仿宋"/>
                <w:sz w:val="28"/>
                <w:szCs w:val="28"/>
              </w:rPr>
            </w:pPr>
            <w:r>
              <w:rPr>
                <w:rFonts w:ascii="仿宋" w:hAnsi="仿宋" w:eastAsia="仿宋" w:cs="Arial"/>
                <w:sz w:val="28"/>
                <w:szCs w:val="28"/>
              </w:rPr>
              <w:t>注：测试中发现的问</w:t>
            </w:r>
            <w:r>
              <w:rPr>
                <w:rFonts w:hint="eastAsia" w:ascii="仿宋" w:hAnsi="仿宋" w:eastAsia="仿宋" w:cs="Arial"/>
                <w:sz w:val="28"/>
                <w:szCs w:val="28"/>
              </w:rPr>
              <w:t>题</w:t>
            </w:r>
            <w:r>
              <w:rPr>
                <w:rFonts w:ascii="仿宋" w:hAnsi="仿宋" w:eastAsia="仿宋" w:cs="Arial"/>
                <w:sz w:val="28"/>
                <w:szCs w:val="28"/>
              </w:rPr>
              <w:t>，请在本栏描述。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296" w:type="dxa"/>
          </w:tcPr>
          <w:p>
            <w:pPr>
              <w:spacing w:before="60" w:after="60" w:line="0" w:lineRule="atLeast"/>
              <w:jc w:val="left"/>
              <w:rPr>
                <w:rFonts w:ascii="仿宋" w:hAnsi="仿宋" w:eastAsia="仿宋" w:cs="Arial"/>
                <w:sz w:val="28"/>
                <w:szCs w:val="28"/>
              </w:rPr>
            </w:pPr>
            <w:r>
              <w:rPr>
                <w:rFonts w:ascii="黑体" w:hAnsi="黑体" w:eastAsia="黑体" w:cs="Arial"/>
                <w:sz w:val="28"/>
                <w:szCs w:val="28"/>
              </w:rPr>
              <w:t>测试负责人：</w:t>
            </w:r>
          </w:p>
          <w:p>
            <w:pPr>
              <w:spacing w:before="60" w:after="60" w:line="0" w:lineRule="atLeast"/>
              <w:jc w:val="left"/>
              <w:rPr>
                <w:rFonts w:ascii="黑体" w:hAnsi="黑体" w:eastAsia="黑体" w:cs="Arial"/>
                <w:sz w:val="28"/>
                <w:szCs w:val="28"/>
              </w:rPr>
            </w:pPr>
            <w:r>
              <w:rPr>
                <w:rFonts w:ascii="仿宋" w:hAnsi="仿宋" w:eastAsia="仿宋"/>
                <w:sz w:val="28"/>
                <w:szCs w:val="28"/>
              </w:rPr>
              <w:br w:type="textWrapping"/>
            </w:r>
            <w:r>
              <w:rPr>
                <w:rFonts w:ascii="黑体" w:hAnsi="黑体" w:eastAsia="黑体" w:cs="Arial"/>
                <w:sz w:val="28"/>
                <w:szCs w:val="28"/>
              </w:rPr>
              <w:t>联系电话（固话和手机）：</w:t>
            </w:r>
          </w:p>
          <w:p>
            <w:pPr>
              <w:spacing w:before="60" w:after="60" w:line="0" w:lineRule="atLeast"/>
              <w:jc w:val="left"/>
              <w:rPr>
                <w:rFonts w:ascii="黑体" w:hAnsi="黑体" w:eastAsia="黑体" w:cs="Arial"/>
                <w:sz w:val="28"/>
                <w:szCs w:val="28"/>
              </w:rPr>
            </w:pPr>
          </w:p>
        </w:tc>
      </w:tr>
    </w:tbl>
    <w:p>
      <w:pPr>
        <w:spacing w:line="0" w:lineRule="atLeast"/>
      </w:pPr>
    </w:p>
    <w:p>
      <w:pPr>
        <w:spacing w:line="0" w:lineRule="atLeast"/>
        <w:rPr>
          <w:rFonts w:ascii="Times New Roman" w:hAnsi="Times New Roman" w:eastAsia="楷体" w:cs="Times New Roman"/>
          <w:sz w:val="24"/>
          <w:szCs w:val="28"/>
        </w:rPr>
      </w:pPr>
      <w:r>
        <w:rPr>
          <w:rFonts w:hint="eastAsia" w:ascii="楷体" w:hAnsi="楷体" w:eastAsia="楷体" w:cs="楷体"/>
          <w:sz w:val="28"/>
          <w:szCs w:val="28"/>
        </w:rPr>
        <w:t>注：通关测试结束后，各证券公司应收集各自技术系统的测试情况，并于2025年</w:t>
      </w:r>
      <w:r>
        <w:rPr>
          <w:rFonts w:hint="eastAsia" w:ascii="楷体" w:hAnsi="楷体" w:eastAsia="楷体" w:cs="楷体"/>
          <w:sz w:val="28"/>
          <w:szCs w:val="28"/>
          <w:lang w:val="en-US" w:eastAsia="zh-CN"/>
        </w:rPr>
        <w:t>10</w:t>
      </w:r>
      <w:r>
        <w:rPr>
          <w:rFonts w:hint="eastAsia" w:ascii="楷体" w:hAnsi="楷体" w:eastAsia="楷体" w:cs="楷体"/>
          <w:sz w:val="28"/>
          <w:szCs w:val="28"/>
        </w:rPr>
        <w:t>月3日19:30之前通过BPM提交测试报告（无需盖章）。参测基金公司和信息商应按上述时间要求通过电子邮件提交测试报告（无需盖章），邮件主题和附件名称均为：机构名称+北交所存量上市公司代码</w:t>
      </w:r>
      <w:r>
        <w:rPr>
          <w:rFonts w:hint="eastAsia" w:ascii="楷体" w:hAnsi="楷体" w:eastAsia="楷体" w:cs="楷体"/>
          <w:sz w:val="28"/>
          <w:szCs w:val="28"/>
          <w:lang w:eastAsia="zh-CN"/>
        </w:rPr>
        <w:t>批量</w:t>
      </w:r>
      <w:r>
        <w:rPr>
          <w:rFonts w:hint="eastAsia" w:ascii="楷体" w:hAnsi="楷体" w:eastAsia="楷体" w:cs="楷体"/>
          <w:sz w:val="28"/>
          <w:szCs w:val="28"/>
        </w:rPr>
        <w:t>切换</w:t>
      </w:r>
      <w:r>
        <w:rPr>
          <w:rFonts w:hint="eastAsia" w:ascii="楷体" w:hAnsi="楷体" w:eastAsia="楷体" w:cs="楷体"/>
          <w:sz w:val="28"/>
          <w:szCs w:val="28"/>
          <w:lang w:eastAsia="zh-CN"/>
        </w:rPr>
        <w:t>等业务</w:t>
      </w:r>
      <w:r>
        <w:rPr>
          <w:rFonts w:hint="eastAsia" w:ascii="楷体" w:hAnsi="楷体" w:eastAsia="楷体" w:cs="楷体"/>
          <w:sz w:val="28"/>
          <w:szCs w:val="28"/>
        </w:rPr>
        <w:t>通关测试报告，收件邮箱为：techservice@neeq.com.cn。</w:t>
      </w:r>
      <w:r>
        <w:rPr>
          <w:rFonts w:hint="eastAsia" w:ascii="楷体" w:hAnsi="楷体" w:eastAsia="楷体" w:cs="楷体"/>
          <w:sz w:val="28"/>
          <w:szCs w:val="28"/>
          <w:lang w:val="en-US" w:eastAsia="zh-CN"/>
        </w:rPr>
        <w:t>10</w:t>
      </w:r>
      <w:r>
        <w:rPr>
          <w:rFonts w:hint="eastAsia" w:ascii="楷体" w:hAnsi="楷体" w:eastAsia="楷体" w:cs="楷体"/>
          <w:sz w:val="28"/>
          <w:szCs w:val="28"/>
        </w:rPr>
        <w:t>月3日反馈测试报告时需填写反馈报告中涉及的全部条项。</w:t>
      </w:r>
    </w:p>
    <w:sectPr>
      <w:headerReference r:id="rId3" w:type="default"/>
      <w:footerReference r:id="rId4" w:type="default"/>
      <w:footerReference r:id="rId5"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691242"/>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791657584"/>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FAE65"/>
    <w:multiLevelType w:val="singleLevel"/>
    <w:tmpl w:val="DF6FAE65"/>
    <w:lvl w:ilvl="0" w:tentative="0">
      <w:start w:val="2"/>
      <w:numFmt w:val="decimal"/>
      <w:lvlText w:val="%1."/>
      <w:lvlJc w:val="left"/>
      <w:pPr>
        <w:tabs>
          <w:tab w:val="left" w:pos="312"/>
        </w:tabs>
      </w:pPr>
    </w:lvl>
  </w:abstractNum>
  <w:abstractNum w:abstractNumId="1">
    <w:nsid w:val="EDFEE3CD"/>
    <w:multiLevelType w:val="singleLevel"/>
    <w:tmpl w:val="EDFEE3CD"/>
    <w:lvl w:ilvl="0" w:tentative="0">
      <w:start w:val="8"/>
      <w:numFmt w:val="decimal"/>
      <w:lvlText w:val="%1."/>
      <w:lvlJc w:val="left"/>
      <w:pPr>
        <w:tabs>
          <w:tab w:val="left" w:pos="312"/>
        </w:tabs>
      </w:pPr>
    </w:lvl>
  </w:abstractNum>
  <w:abstractNum w:abstractNumId="2">
    <w:nsid w:val="F7E60BB8"/>
    <w:multiLevelType w:val="singleLevel"/>
    <w:tmpl w:val="F7E60BB8"/>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8"/>
    <w:rsid w:val="00015429"/>
    <w:rsid w:val="00030C62"/>
    <w:rsid w:val="000C10A0"/>
    <w:rsid w:val="000F10B6"/>
    <w:rsid w:val="000F4D2A"/>
    <w:rsid w:val="00130595"/>
    <w:rsid w:val="00255DDF"/>
    <w:rsid w:val="00322042"/>
    <w:rsid w:val="003A719A"/>
    <w:rsid w:val="003B4AA8"/>
    <w:rsid w:val="003E7A93"/>
    <w:rsid w:val="004C25E3"/>
    <w:rsid w:val="005258A4"/>
    <w:rsid w:val="0066266D"/>
    <w:rsid w:val="00681E6B"/>
    <w:rsid w:val="006E280D"/>
    <w:rsid w:val="006F059A"/>
    <w:rsid w:val="00822087"/>
    <w:rsid w:val="008A6B97"/>
    <w:rsid w:val="009879A7"/>
    <w:rsid w:val="009879C6"/>
    <w:rsid w:val="009C4B91"/>
    <w:rsid w:val="00A55770"/>
    <w:rsid w:val="00AC6261"/>
    <w:rsid w:val="00AD31F1"/>
    <w:rsid w:val="00B679BB"/>
    <w:rsid w:val="00B75920"/>
    <w:rsid w:val="00C56CE1"/>
    <w:rsid w:val="00C933F1"/>
    <w:rsid w:val="00C94C3D"/>
    <w:rsid w:val="00CA37AF"/>
    <w:rsid w:val="00D15D74"/>
    <w:rsid w:val="00D434A8"/>
    <w:rsid w:val="00D94A4E"/>
    <w:rsid w:val="00E35C9E"/>
    <w:rsid w:val="00E95E00"/>
    <w:rsid w:val="00F20D72"/>
    <w:rsid w:val="00F44274"/>
    <w:rsid w:val="00FA39EC"/>
    <w:rsid w:val="03D9ACEF"/>
    <w:rsid w:val="0A772342"/>
    <w:rsid w:val="0EDD33F0"/>
    <w:rsid w:val="15796B0D"/>
    <w:rsid w:val="15CEFEA2"/>
    <w:rsid w:val="17FF0A54"/>
    <w:rsid w:val="1BFCE234"/>
    <w:rsid w:val="1DEC2A01"/>
    <w:rsid w:val="2AFEEE4D"/>
    <w:rsid w:val="2F7F5BE9"/>
    <w:rsid w:val="31725D05"/>
    <w:rsid w:val="368D2097"/>
    <w:rsid w:val="36FB5734"/>
    <w:rsid w:val="3799C458"/>
    <w:rsid w:val="37DF997F"/>
    <w:rsid w:val="3ABF3CAC"/>
    <w:rsid w:val="3BB29D43"/>
    <w:rsid w:val="3BBDC055"/>
    <w:rsid w:val="3BFF6F1D"/>
    <w:rsid w:val="3E969E0E"/>
    <w:rsid w:val="3EB377F2"/>
    <w:rsid w:val="3EBFCBF2"/>
    <w:rsid w:val="3EFF8A4B"/>
    <w:rsid w:val="3F7AE1CA"/>
    <w:rsid w:val="3F7F0C67"/>
    <w:rsid w:val="3FBCBDAD"/>
    <w:rsid w:val="3FD06DE2"/>
    <w:rsid w:val="3FDF8113"/>
    <w:rsid w:val="47FB12F6"/>
    <w:rsid w:val="4DCF774B"/>
    <w:rsid w:val="4EDFCC35"/>
    <w:rsid w:val="4F5FD904"/>
    <w:rsid w:val="4FDF5ABD"/>
    <w:rsid w:val="4FDF99F5"/>
    <w:rsid w:val="4FFE035D"/>
    <w:rsid w:val="55CF07AF"/>
    <w:rsid w:val="55FFF753"/>
    <w:rsid w:val="5757D02A"/>
    <w:rsid w:val="58D76499"/>
    <w:rsid w:val="5AF6E261"/>
    <w:rsid w:val="5B5F6A5B"/>
    <w:rsid w:val="5DBF74CE"/>
    <w:rsid w:val="5E693C05"/>
    <w:rsid w:val="5EED6B51"/>
    <w:rsid w:val="5F7B0672"/>
    <w:rsid w:val="5F9E2A7E"/>
    <w:rsid w:val="5FE79210"/>
    <w:rsid w:val="5FECC36E"/>
    <w:rsid w:val="5FEED1B9"/>
    <w:rsid w:val="5FFD4F20"/>
    <w:rsid w:val="5FFDE180"/>
    <w:rsid w:val="5FFF3033"/>
    <w:rsid w:val="637FF77A"/>
    <w:rsid w:val="67DEB23D"/>
    <w:rsid w:val="690EC629"/>
    <w:rsid w:val="6BAFB712"/>
    <w:rsid w:val="6BFF38C5"/>
    <w:rsid w:val="6E79CB86"/>
    <w:rsid w:val="6EBE9E74"/>
    <w:rsid w:val="6EFB9759"/>
    <w:rsid w:val="6FBD66D6"/>
    <w:rsid w:val="6FF7E4D9"/>
    <w:rsid w:val="71F7EEC8"/>
    <w:rsid w:val="735B3963"/>
    <w:rsid w:val="73F96263"/>
    <w:rsid w:val="75FCE1AC"/>
    <w:rsid w:val="760F0B06"/>
    <w:rsid w:val="765EAC49"/>
    <w:rsid w:val="76EEC450"/>
    <w:rsid w:val="76FD742A"/>
    <w:rsid w:val="76FFA220"/>
    <w:rsid w:val="771EC0EB"/>
    <w:rsid w:val="777FD2E6"/>
    <w:rsid w:val="77FFFC5A"/>
    <w:rsid w:val="78F6AFEC"/>
    <w:rsid w:val="7953A586"/>
    <w:rsid w:val="797F0C6E"/>
    <w:rsid w:val="798FA1D2"/>
    <w:rsid w:val="79FD22D7"/>
    <w:rsid w:val="79FD7544"/>
    <w:rsid w:val="7ABF9DBB"/>
    <w:rsid w:val="7AF6780B"/>
    <w:rsid w:val="7AF77DEC"/>
    <w:rsid w:val="7BBBE419"/>
    <w:rsid w:val="7BD98582"/>
    <w:rsid w:val="7BFCC625"/>
    <w:rsid w:val="7BFDD84D"/>
    <w:rsid w:val="7BFFA96A"/>
    <w:rsid w:val="7C1FA24A"/>
    <w:rsid w:val="7C7D7FA8"/>
    <w:rsid w:val="7CB6FC75"/>
    <w:rsid w:val="7D55A9BD"/>
    <w:rsid w:val="7D7227D4"/>
    <w:rsid w:val="7D72A174"/>
    <w:rsid w:val="7D7F7417"/>
    <w:rsid w:val="7DDD760B"/>
    <w:rsid w:val="7DFF8708"/>
    <w:rsid w:val="7DFF9F52"/>
    <w:rsid w:val="7E4EA57D"/>
    <w:rsid w:val="7E8D9F15"/>
    <w:rsid w:val="7ED79364"/>
    <w:rsid w:val="7EDBD811"/>
    <w:rsid w:val="7EF29645"/>
    <w:rsid w:val="7EF4C752"/>
    <w:rsid w:val="7F3F27A1"/>
    <w:rsid w:val="7F6F463C"/>
    <w:rsid w:val="7FAF9AD7"/>
    <w:rsid w:val="7FBBE7EA"/>
    <w:rsid w:val="7FBE3A51"/>
    <w:rsid w:val="7FC62354"/>
    <w:rsid w:val="7FC93388"/>
    <w:rsid w:val="7FD073FA"/>
    <w:rsid w:val="7FD7EA07"/>
    <w:rsid w:val="7FE3BA03"/>
    <w:rsid w:val="7FF50DB3"/>
    <w:rsid w:val="7FF9A52E"/>
    <w:rsid w:val="7FFA2750"/>
    <w:rsid w:val="7FFBA729"/>
    <w:rsid w:val="7FFEC8BF"/>
    <w:rsid w:val="7FFF0DEC"/>
    <w:rsid w:val="89970294"/>
    <w:rsid w:val="97D56C17"/>
    <w:rsid w:val="9FCDF9A5"/>
    <w:rsid w:val="A56E3D67"/>
    <w:rsid w:val="A59FB5DB"/>
    <w:rsid w:val="A6EFC633"/>
    <w:rsid w:val="A7DD3774"/>
    <w:rsid w:val="ABFC9E86"/>
    <w:rsid w:val="AEAF0AAA"/>
    <w:rsid w:val="AFDE12FA"/>
    <w:rsid w:val="B674C3DB"/>
    <w:rsid w:val="B77DB465"/>
    <w:rsid w:val="B7F32B0E"/>
    <w:rsid w:val="BAAE4969"/>
    <w:rsid w:val="BD7F5A36"/>
    <w:rsid w:val="BD9E1C52"/>
    <w:rsid w:val="BDF45A77"/>
    <w:rsid w:val="BE7B697E"/>
    <w:rsid w:val="BEDA37F8"/>
    <w:rsid w:val="BEFF342F"/>
    <w:rsid w:val="BFEF3C65"/>
    <w:rsid w:val="BFF1E876"/>
    <w:rsid w:val="BFF7E74D"/>
    <w:rsid w:val="BFFF285B"/>
    <w:rsid w:val="BFFF6EAC"/>
    <w:rsid w:val="C6B7EA13"/>
    <w:rsid w:val="C7DF9328"/>
    <w:rsid w:val="C974431C"/>
    <w:rsid w:val="CDE9CF95"/>
    <w:rsid w:val="D1D70023"/>
    <w:rsid w:val="D61F5AD8"/>
    <w:rsid w:val="D757397D"/>
    <w:rsid w:val="DB5CECD3"/>
    <w:rsid w:val="DC6B58B6"/>
    <w:rsid w:val="DD3FC460"/>
    <w:rsid w:val="DD6B9DE1"/>
    <w:rsid w:val="DDEF2A55"/>
    <w:rsid w:val="DE3EFAAC"/>
    <w:rsid w:val="DEFE5AB4"/>
    <w:rsid w:val="DF73F790"/>
    <w:rsid w:val="DFD9EB7B"/>
    <w:rsid w:val="DFDB83AF"/>
    <w:rsid w:val="DFFC362E"/>
    <w:rsid w:val="E36EA588"/>
    <w:rsid w:val="E7CB0401"/>
    <w:rsid w:val="E9671C18"/>
    <w:rsid w:val="EBEF2783"/>
    <w:rsid w:val="ECF73FF2"/>
    <w:rsid w:val="EDBF1C79"/>
    <w:rsid w:val="EE551324"/>
    <w:rsid w:val="EED38A74"/>
    <w:rsid w:val="EEFCE7FC"/>
    <w:rsid w:val="EFCD93CA"/>
    <w:rsid w:val="EFD484EC"/>
    <w:rsid w:val="EFEEDEA2"/>
    <w:rsid w:val="EFFB909D"/>
    <w:rsid w:val="EFFE1B8F"/>
    <w:rsid w:val="EFFF3FD4"/>
    <w:rsid w:val="F2FF5FB5"/>
    <w:rsid w:val="F4EEEC03"/>
    <w:rsid w:val="F6373D2C"/>
    <w:rsid w:val="F75747B0"/>
    <w:rsid w:val="F75C22CE"/>
    <w:rsid w:val="F776B7BF"/>
    <w:rsid w:val="F7AF9381"/>
    <w:rsid w:val="F7B7BCCA"/>
    <w:rsid w:val="F7DD92E8"/>
    <w:rsid w:val="F7ED2D55"/>
    <w:rsid w:val="F96F22D0"/>
    <w:rsid w:val="F9EDE235"/>
    <w:rsid w:val="F9EF4D63"/>
    <w:rsid w:val="FAE872C5"/>
    <w:rsid w:val="FAFDFBC3"/>
    <w:rsid w:val="FB0F7AAE"/>
    <w:rsid w:val="FB762EBC"/>
    <w:rsid w:val="FB9FBBF1"/>
    <w:rsid w:val="FBBF32FA"/>
    <w:rsid w:val="FBCF5E67"/>
    <w:rsid w:val="FBCF8D47"/>
    <w:rsid w:val="FBFDCC5D"/>
    <w:rsid w:val="FBFF3E58"/>
    <w:rsid w:val="FD6F600B"/>
    <w:rsid w:val="FE2F5B5A"/>
    <w:rsid w:val="FE7D9353"/>
    <w:rsid w:val="FEA6179B"/>
    <w:rsid w:val="FEB7E452"/>
    <w:rsid w:val="FECDA975"/>
    <w:rsid w:val="FEEFA429"/>
    <w:rsid w:val="FEF74BD8"/>
    <w:rsid w:val="FEF9B186"/>
    <w:rsid w:val="FEFEC111"/>
    <w:rsid w:val="FEFF4A26"/>
    <w:rsid w:val="FF599AE5"/>
    <w:rsid w:val="FF5B9A42"/>
    <w:rsid w:val="FF5F1E14"/>
    <w:rsid w:val="FF722301"/>
    <w:rsid w:val="FF9C9063"/>
    <w:rsid w:val="FFBD2464"/>
    <w:rsid w:val="FFC63734"/>
    <w:rsid w:val="FFEC1714"/>
    <w:rsid w:val="FFFB6243"/>
    <w:rsid w:val="FFFCE278"/>
    <w:rsid w:val="FFFE42FD"/>
    <w:rsid w:val="FFFF958B"/>
    <w:rsid w:val="FFFF9BCB"/>
    <w:rsid w:val="FFFFE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ind w:firstLine="640" w:firstLineChars="200"/>
    </w:pPr>
    <w:rPr>
      <w:rFonts w:ascii="Calibri" w:hAnsi="Calibri" w:eastAsia="仿宋"/>
      <w:sz w:val="32"/>
    </w:r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Words>
  <Characters>1607</Characters>
  <Lines>13</Lines>
  <Paragraphs>3</Paragraphs>
  <TotalTime>13</TotalTime>
  <ScaleCrop>false</ScaleCrop>
  <LinksUpToDate>false</LinksUpToDate>
  <CharactersWithSpaces>1885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2022-09-30T07:42:00Z</dcterms:created>
  <dc:creator>张恒zh</dc:creator>
  <cp:lastModifiedBy>zhangheng</cp:lastModifiedBy>
  <dcterms:modified xsi:type="dcterms:W3CDTF">2025-09-24T11:50:18Z</dcterms:modified>
  <dc:title>北证办发〔2023〕X号附件2</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