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4" w:line="440" w:lineRule="exact"/>
        <w:ind w:firstLine="0" w:firstLineChars="0"/>
        <w:rPr>
          <w:rFonts w:hint="default" w:eastAsia="黑体" w:cs="Times New Roman"/>
          <w:b/>
          <w:color w:val="000000" w:themeColor="text1"/>
          <w:sz w:val="32"/>
          <w:szCs w:val="32"/>
          <w:lang w:val="en-US" w:eastAsia="zh-CN"/>
          <w14:textFill>
            <w14:solidFill>
              <w14:schemeClr w14:val="tx1"/>
            </w14:solidFill>
          </w14:textFill>
        </w:rPr>
      </w:pPr>
      <w:r>
        <w:rPr>
          <w:rFonts w:eastAsia="黑体" w:cs="Times New Roman"/>
          <w:sz w:val="32"/>
          <w:szCs w:val="32"/>
        </w:rPr>
        <w:t>附件1</w:t>
      </w:r>
    </w:p>
    <w:p>
      <w:pPr>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p>
    <w:p>
      <w:pPr>
        <w:spacing w:line="240" w:lineRule="auto"/>
        <w:ind w:firstLine="720"/>
        <w:jc w:val="both"/>
        <w:rPr>
          <w:rFonts w:ascii="方正大标宋简体" w:eastAsia="方正大标宋简体" w:cs="Times New Roman"/>
          <w:color w:val="000000" w:themeColor="text1"/>
          <w:sz w:val="36"/>
          <w:szCs w:val="36"/>
          <w14:textFill>
            <w14:solidFill>
              <w14:schemeClr w14:val="tx1"/>
            </w14:solidFill>
          </w14:textFill>
        </w:rPr>
      </w:pPr>
    </w:p>
    <w:p>
      <w:pPr>
        <w:tabs>
          <w:tab w:val="left" w:pos="4200"/>
        </w:tabs>
        <w:spacing w:line="240" w:lineRule="auto"/>
        <w:ind w:firstLine="0" w:firstLineChars="0"/>
        <w:jc w:val="center"/>
        <w:rPr>
          <w:rFonts w:ascii="方正大标宋简体" w:eastAsia="方正大标宋简体" w:cs="Times New Roman"/>
          <w:color w:val="000000" w:themeColor="text1"/>
          <w:sz w:val="44"/>
          <w:szCs w:val="44"/>
          <w14:textFill>
            <w14:solidFill>
              <w14:schemeClr w14:val="tx1"/>
            </w14:solidFill>
          </w14:textFill>
        </w:rPr>
      </w:pPr>
      <w:r>
        <w:rPr>
          <w:rFonts w:hint="eastAsia" w:ascii="方正大标宋简体" w:eastAsia="方正大标宋简体" w:cs="Times New Roman"/>
          <w:color w:val="000000" w:themeColor="text1"/>
          <w:sz w:val="44"/>
          <w:szCs w:val="44"/>
          <w14:textFill>
            <w14:solidFill>
              <w14:schemeClr w14:val="tx1"/>
            </w14:solidFill>
          </w14:textFill>
        </w:rPr>
        <w:t>北京证券交易所</w:t>
      </w:r>
      <w:r>
        <w:rPr>
          <w:rFonts w:ascii="方正大标宋简体" w:eastAsia="方正大标宋简体" w:cs="Times New Roman"/>
          <w:color w:val="000000" w:themeColor="text1"/>
          <w:sz w:val="44"/>
          <w:szCs w:val="44"/>
          <w14:textFill>
            <w14:solidFill>
              <w14:schemeClr w14:val="tx1"/>
            </w14:solidFill>
          </w14:textFill>
        </w:rPr>
        <w:t>存量上市公司</w:t>
      </w:r>
      <w:r>
        <w:rPr>
          <w:rFonts w:hint="eastAsia" w:ascii="方正大标宋简体" w:eastAsia="方正大标宋简体" w:cs="Times New Roman"/>
          <w:color w:val="000000" w:themeColor="text1"/>
          <w:sz w:val="44"/>
          <w:szCs w:val="44"/>
          <w14:textFill>
            <w14:solidFill>
              <w14:schemeClr w14:val="tx1"/>
            </w14:solidFill>
          </w14:textFill>
        </w:rPr>
        <w:t>证券</w:t>
      </w:r>
      <w:r>
        <w:rPr>
          <w:rFonts w:ascii="方正大标宋简体" w:eastAsia="方正大标宋简体" w:cs="Times New Roman"/>
          <w:color w:val="000000" w:themeColor="text1"/>
          <w:sz w:val="44"/>
          <w:szCs w:val="44"/>
          <w14:textFill>
            <w14:solidFill>
              <w14:schemeClr w14:val="tx1"/>
            </w14:solidFill>
          </w14:textFill>
        </w:rPr>
        <w:t>代码</w:t>
      </w:r>
    </w:p>
    <w:p>
      <w:pPr>
        <w:tabs>
          <w:tab w:val="left" w:pos="4200"/>
        </w:tabs>
        <w:spacing w:line="240" w:lineRule="auto"/>
        <w:ind w:firstLine="0" w:firstLineChars="0"/>
        <w:jc w:val="center"/>
        <w:rPr>
          <w:rFonts w:ascii="方正大标宋简体" w:eastAsia="方正大标宋简体" w:cs="Times New Roman"/>
          <w:color w:val="000000" w:themeColor="text1"/>
          <w:sz w:val="44"/>
          <w:szCs w:val="44"/>
          <w14:textFill>
            <w14:solidFill>
              <w14:schemeClr w14:val="tx1"/>
            </w14:solidFill>
          </w14:textFill>
        </w:rPr>
      </w:pPr>
      <w:r>
        <w:rPr>
          <w:rFonts w:hint="eastAsia" w:ascii="方正大标宋简体" w:eastAsia="方正大标宋简体" w:cs="Times New Roman"/>
          <w:color w:val="000000" w:themeColor="text1"/>
          <w:sz w:val="44"/>
          <w:szCs w:val="44"/>
          <w:lang w:eastAsia="zh-CN"/>
          <w14:textFill>
            <w14:solidFill>
              <w14:schemeClr w14:val="tx1"/>
            </w14:solidFill>
          </w14:textFill>
        </w:rPr>
        <w:t>批量</w:t>
      </w:r>
      <w:r>
        <w:rPr>
          <w:rFonts w:ascii="方正大标宋简体" w:eastAsia="方正大标宋简体" w:cs="Times New Roman"/>
          <w:color w:val="000000" w:themeColor="text1"/>
          <w:sz w:val="44"/>
          <w:szCs w:val="44"/>
          <w14:textFill>
            <w14:solidFill>
              <w14:schemeClr w14:val="tx1"/>
            </w14:solidFill>
          </w14:textFill>
        </w:rPr>
        <w:t>切换</w:t>
      </w:r>
      <w:r>
        <w:rPr>
          <w:rFonts w:hint="eastAsia" w:ascii="方正大标宋简体" w:eastAsia="方正大标宋简体" w:cs="Times New Roman"/>
          <w:color w:val="000000" w:themeColor="text1"/>
          <w:sz w:val="44"/>
          <w:szCs w:val="44"/>
          <w:lang w:eastAsia="zh-CN"/>
          <w14:textFill>
            <w14:solidFill>
              <w14:schemeClr w14:val="tx1"/>
            </w14:solidFill>
          </w14:textFill>
        </w:rPr>
        <w:t>等业务</w:t>
      </w:r>
      <w:r>
        <w:rPr>
          <w:rFonts w:hint="eastAsia" w:ascii="方正大标宋简体" w:eastAsia="方正大标宋简体" w:cs="Times New Roman"/>
          <w:color w:val="000000" w:themeColor="text1"/>
          <w:sz w:val="44"/>
          <w:szCs w:val="44"/>
          <w14:textFill>
            <w14:solidFill>
              <w14:schemeClr w14:val="tx1"/>
            </w14:solidFill>
          </w14:textFill>
        </w:rPr>
        <w:t>通关测试方案</w:t>
      </w: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720"/>
        <w:rPr>
          <w:rFonts w:ascii="方正大标宋简体" w:eastAsia="方正大标宋简体" w:cs="Times New Roman"/>
          <w:color w:val="000000" w:themeColor="text1"/>
          <w:sz w:val="36"/>
          <w14:textFill>
            <w14:solidFill>
              <w14:schemeClr w14:val="tx1"/>
            </w14:solidFill>
          </w14:textFill>
        </w:rPr>
      </w:pPr>
    </w:p>
    <w:p>
      <w:pPr>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全国中小企业股份转让系统有限责任公司</w:t>
      </w:r>
    </w:p>
    <w:p>
      <w:pPr>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640"/>
        <w:jc w:val="center"/>
        <w:rPr>
          <w:rFonts w:ascii="方正大标宋简体" w:eastAsia="方正大标宋简体" w:cs="Times New Roman"/>
          <w:color w:val="000000" w:themeColor="text1"/>
          <w:sz w:val="32"/>
          <w14:textFill>
            <w14:solidFill>
              <w14:schemeClr w14:val="tx1"/>
            </w14:solidFill>
          </w14:textFill>
        </w:rPr>
      </w:pPr>
    </w:p>
    <w:p>
      <w:pPr>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二五年</w:t>
      </w:r>
      <w:r>
        <w:rPr>
          <w:rFonts w:hint="eastAsia" w:ascii="方正大标宋简体" w:eastAsia="方正大标宋简体" w:cs="Times New Roman"/>
          <w:color w:val="000000" w:themeColor="text1"/>
          <w:sz w:val="32"/>
          <w:lang w:eastAsia="zh-CN"/>
          <w14:textFill>
            <w14:solidFill>
              <w14:schemeClr w14:val="tx1"/>
            </w14:solidFill>
          </w14:textFill>
        </w:rPr>
        <w:t>九</w:t>
      </w:r>
      <w:r>
        <w:rPr>
          <w:rFonts w:hint="eastAsia" w:ascii="方正大标宋简体" w:eastAsia="方正大标宋简体" w:cs="Times New Roman"/>
          <w:color w:val="000000" w:themeColor="text1"/>
          <w:sz w:val="32"/>
          <w14:textFill>
            <w14:solidFill>
              <w14:schemeClr w14:val="tx1"/>
            </w14:solidFill>
          </w14:textFill>
        </w:rPr>
        <w:t>月</w:t>
      </w:r>
    </w:p>
    <w:p>
      <w:pPr>
        <w:tabs>
          <w:tab w:val="center" w:pos="4153"/>
          <w:tab w:val="left" w:pos="5595"/>
        </w:tabs>
        <w:spacing w:before="144"/>
        <w:ind w:firstLine="643"/>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r>
        <w:rPr>
          <w:rFonts w:eastAsia="方正仿宋简体" w:cs="Times New Roman"/>
          <w:b/>
          <w:color w:val="000000" w:themeColor="text1"/>
          <w:sz w:val="32"/>
          <w14:textFill>
            <w14:solidFill>
              <w14:schemeClr w14:val="tx1"/>
            </w14:solidFill>
          </w14:textFill>
        </w:rPr>
        <w:tab/>
      </w:r>
      <w:r>
        <w:rPr>
          <w:rFonts w:eastAsia="方正仿宋简体" w:cs="Times New Roman"/>
          <w:b/>
          <w:color w:val="000000" w:themeColor="text1"/>
          <w:sz w:val="28"/>
          <w14:textFill>
            <w14:solidFill>
              <w14:schemeClr w14:val="tx1"/>
            </w14:solidFill>
          </w14:textFill>
        </w:rPr>
        <w:t>关于本文档</w:t>
      </w:r>
      <w:r>
        <w:rPr>
          <w:rFonts w:eastAsia="方正仿宋简体" w:cs="Times New Roman"/>
          <w:b/>
          <w:color w:val="000000" w:themeColor="text1"/>
          <w:sz w:val="28"/>
          <w14:textFill>
            <w14:solidFill>
              <w14:schemeClr w14:val="tx1"/>
            </w14:solidFill>
          </w14:textFill>
        </w:rPr>
        <w:tab/>
      </w:r>
    </w:p>
    <w:p>
      <w:pPr>
        <w:spacing w:before="144"/>
        <w:ind w:firstLine="480"/>
        <w:jc w:val="center"/>
        <w:rPr>
          <w:rFonts w:eastAsia="方正仿宋简体" w:cs="Times New Roman"/>
          <w:color w:val="000000" w:themeColor="text1"/>
          <w14:textFill>
            <w14:solidFill>
              <w14:schemeClr w14:val="tx1"/>
            </w14:solidFill>
          </w14:textFill>
        </w:rPr>
      </w:pPr>
    </w:p>
    <w:tbl>
      <w:tblPr>
        <w:tblStyle w:val="37"/>
        <w:tblW w:w="8505" w:type="dxa"/>
        <w:jc w:val="center"/>
        <w:tblLayout w:type="fixed"/>
        <w:tblCellMar>
          <w:top w:w="0" w:type="dxa"/>
          <w:left w:w="108" w:type="dxa"/>
          <w:bottom w:w="0" w:type="dxa"/>
          <w:right w:w="108" w:type="dxa"/>
        </w:tblCellMar>
      </w:tblPr>
      <w:tblGrid>
        <w:gridCol w:w="1314"/>
        <w:gridCol w:w="1805"/>
        <w:gridCol w:w="5386"/>
      </w:tblGrid>
      <w:tr>
        <w:tblPrEx>
          <w:tblCellMar>
            <w:top w:w="0" w:type="dxa"/>
            <w:left w:w="108" w:type="dxa"/>
            <w:bottom w:w="0" w:type="dxa"/>
            <w:right w:w="108" w:type="dxa"/>
          </w:tblCellMar>
        </w:tblPrEx>
        <w:trPr>
          <w:cantSplit/>
          <w:jc w:val="center"/>
        </w:trPr>
        <w:tc>
          <w:tcPr>
            <w:tcW w:w="1314" w:type="dxa"/>
            <w:tcBorders>
              <w:top w:val="double" w:color="auto" w:sz="4" w:space="0"/>
              <w:left w:val="double" w:color="auto" w:sz="4" w:space="0"/>
              <w:bottom w:val="single" w:color="auto" w:sz="6" w:space="0"/>
              <w:right w:val="single" w:color="auto" w:sz="6"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文档名称</w:t>
            </w:r>
          </w:p>
        </w:tc>
        <w:tc>
          <w:tcPr>
            <w:tcW w:w="7191" w:type="dxa"/>
            <w:gridSpan w:val="2"/>
            <w:tcBorders>
              <w:top w:val="double" w:color="auto" w:sz="4" w:space="0"/>
              <w:left w:val="single" w:color="auto" w:sz="6" w:space="0"/>
              <w:bottom w:val="single" w:color="auto" w:sz="6" w:space="0"/>
              <w:right w:val="double" w:color="auto" w:sz="4" w:space="0"/>
            </w:tcBorders>
            <w:vAlign w:val="center"/>
          </w:tcPr>
          <w:p>
            <w:pPr>
              <w:pStyle w:val="75"/>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hint="eastAsia" w:ascii="Times New Roman" w:hAnsi="Times New Roman" w:eastAsia="方正仿宋简体"/>
                <w:color w:val="000000" w:themeColor="text1"/>
                <w:szCs w:val="24"/>
                <w14:textFill>
                  <w14:solidFill>
                    <w14:schemeClr w14:val="tx1"/>
                  </w14:solidFill>
                </w14:textFill>
              </w:rPr>
              <w:t>北京证券交易所存量上市公司证券代码</w:t>
            </w:r>
            <w:r>
              <w:rPr>
                <w:rFonts w:hint="eastAsia" w:ascii="Times New Roman" w:hAnsi="Times New Roman" w:eastAsia="方正仿宋简体"/>
                <w:color w:val="000000" w:themeColor="text1"/>
                <w:szCs w:val="24"/>
                <w:lang w:eastAsia="zh-CN"/>
                <w14:textFill>
                  <w14:solidFill>
                    <w14:schemeClr w14:val="tx1"/>
                  </w14:solidFill>
                </w14:textFill>
              </w:rPr>
              <w:t>批量</w:t>
            </w:r>
            <w:r>
              <w:rPr>
                <w:rFonts w:hint="eastAsia" w:ascii="Times New Roman" w:hAnsi="Times New Roman" w:eastAsia="方正仿宋简体"/>
                <w:color w:val="000000" w:themeColor="text1"/>
                <w:szCs w:val="24"/>
                <w14:textFill>
                  <w14:solidFill>
                    <w14:schemeClr w14:val="tx1"/>
                  </w14:solidFill>
                </w14:textFill>
              </w:rPr>
              <w:t>切换</w:t>
            </w:r>
            <w:r>
              <w:rPr>
                <w:rFonts w:hint="eastAsia" w:ascii="Times New Roman" w:hAnsi="Times New Roman" w:eastAsia="方正仿宋简体"/>
                <w:color w:val="000000" w:themeColor="text1"/>
                <w:szCs w:val="24"/>
                <w:lang w:eastAsia="zh-CN"/>
                <w14:textFill>
                  <w14:solidFill>
                    <w14:schemeClr w14:val="tx1"/>
                  </w14:solidFill>
                </w14:textFill>
              </w:rPr>
              <w:t>等业务</w:t>
            </w:r>
            <w:r>
              <w:rPr>
                <w:rFonts w:hint="eastAsia" w:ascii="Times New Roman" w:hAnsi="Times New Roman" w:eastAsia="方正仿宋简体"/>
                <w:color w:val="000000" w:themeColor="text1"/>
                <w:szCs w:val="24"/>
                <w14:textFill>
                  <w14:solidFill>
                    <w14:schemeClr w14:val="tx1"/>
                  </w14:solidFill>
                </w14:textFill>
              </w:rPr>
              <w:t>通关测试方案</w:t>
            </w:r>
          </w:p>
        </w:tc>
      </w:tr>
      <w:tr>
        <w:tblPrEx>
          <w:tblCellMar>
            <w:top w:w="0" w:type="dxa"/>
            <w:left w:w="108" w:type="dxa"/>
            <w:bottom w:w="0" w:type="dxa"/>
            <w:right w:w="108" w:type="dxa"/>
          </w:tblCellMar>
        </w:tblPrEx>
        <w:trPr>
          <w:cantSplit/>
          <w:jc w:val="center"/>
        </w:trPr>
        <w:tc>
          <w:tcPr>
            <w:tcW w:w="1314" w:type="dxa"/>
            <w:tcBorders>
              <w:top w:val="single" w:color="auto" w:sz="6" w:space="0"/>
              <w:left w:val="double" w:color="auto" w:sz="4" w:space="0"/>
              <w:bottom w:val="double" w:color="auto" w:sz="4" w:space="0"/>
              <w:right w:val="single" w:color="auto" w:sz="6"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说明</w:t>
            </w:r>
          </w:p>
        </w:tc>
        <w:tc>
          <w:tcPr>
            <w:tcW w:w="7191" w:type="dxa"/>
            <w:gridSpan w:val="2"/>
            <w:tcBorders>
              <w:top w:val="single" w:color="auto" w:sz="6" w:space="0"/>
              <w:left w:val="single" w:color="auto" w:sz="6" w:space="0"/>
              <w:bottom w:val="double" w:color="auto" w:sz="4" w:space="0"/>
              <w:right w:val="double" w:color="auto" w:sz="4" w:space="0"/>
            </w:tcBorders>
            <w:vAlign w:val="center"/>
          </w:tcPr>
          <w:p>
            <w:pPr>
              <w:pStyle w:val="75"/>
              <w:spacing w:before="187"/>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修订历史</w:t>
            </w:r>
          </w:p>
        </w:tc>
      </w:tr>
      <w:tr>
        <w:tblPrEx>
          <w:tblCellMar>
            <w:top w:w="0" w:type="dxa"/>
            <w:left w:w="108" w:type="dxa"/>
            <w:bottom w:w="0" w:type="dxa"/>
            <w:right w:w="108" w:type="dxa"/>
          </w:tblCellMar>
        </w:tblPrEx>
        <w:trPr>
          <w:cantSplit/>
          <w:jc w:val="center"/>
        </w:trPr>
        <w:tc>
          <w:tcPr>
            <w:tcW w:w="1314" w:type="dxa"/>
            <w:tcBorders>
              <w:top w:val="single" w:color="auto" w:sz="4" w:space="0"/>
              <w:left w:val="double" w:color="auto" w:sz="4" w:space="0"/>
              <w:bottom w:val="single" w:color="auto" w:sz="4" w:space="0"/>
              <w:right w:val="single" w:color="auto" w:sz="4" w:space="0"/>
            </w:tcBorders>
            <w:shd w:val="clear" w:color="auto" w:fill="CCCCCC"/>
          </w:tcPr>
          <w:p>
            <w:pPr>
              <w:pStyle w:val="76"/>
              <w:spacing w:before="187"/>
              <w:ind w:firstLine="197" w:firstLineChars="82"/>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版本号</w:t>
            </w:r>
          </w:p>
        </w:tc>
        <w:tc>
          <w:tcPr>
            <w:tcW w:w="1805" w:type="dxa"/>
            <w:tcBorders>
              <w:top w:val="single" w:color="auto" w:sz="4" w:space="0"/>
              <w:left w:val="single" w:color="auto" w:sz="4" w:space="0"/>
              <w:bottom w:val="single" w:color="auto" w:sz="4" w:space="0"/>
              <w:right w:val="sing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修改说明</w:t>
            </w:r>
          </w:p>
        </w:tc>
      </w:tr>
      <w:tr>
        <w:tblPrEx>
          <w:tblCellMar>
            <w:top w:w="0" w:type="dxa"/>
            <w:left w:w="108" w:type="dxa"/>
            <w:bottom w:w="0" w:type="dxa"/>
            <w:right w:w="108" w:type="dxa"/>
          </w:tblCellMar>
        </w:tblPrEx>
        <w:trPr>
          <w:cantSplit/>
          <w:trHeight w:val="454" w:hRule="atLeast"/>
          <w:jc w:val="center"/>
        </w:trPr>
        <w:tc>
          <w:tcPr>
            <w:tcW w:w="1314" w:type="dxa"/>
            <w:tcBorders>
              <w:top w:val="single" w:color="auto" w:sz="4" w:space="0"/>
              <w:left w:val="double" w:color="auto" w:sz="4" w:space="0"/>
              <w:bottom w:val="single" w:color="auto" w:sz="4" w:space="0"/>
              <w:right w:val="single" w:color="auto" w:sz="4" w:space="0"/>
            </w:tcBorders>
            <w:vAlign w:val="center"/>
          </w:tcPr>
          <w:p>
            <w:pPr>
              <w:pStyle w:val="75"/>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V1.0</w:t>
            </w:r>
          </w:p>
        </w:tc>
        <w:tc>
          <w:tcPr>
            <w:tcW w:w="1805" w:type="dxa"/>
            <w:tcBorders>
              <w:top w:val="single" w:color="auto" w:sz="4" w:space="0"/>
              <w:left w:val="single" w:color="auto" w:sz="4" w:space="0"/>
              <w:bottom w:val="single" w:color="auto" w:sz="4" w:space="0"/>
              <w:right w:val="single" w:color="auto" w:sz="4" w:space="0"/>
            </w:tcBorders>
            <w:vAlign w:val="center"/>
          </w:tcPr>
          <w:p>
            <w:pPr>
              <w:pStyle w:val="75"/>
              <w:ind w:firstLine="0" w:firstLineChars="0"/>
              <w:jc w:val="center"/>
              <w:rPr>
                <w:rFonts w:hint="default" w:ascii="Times New Roman" w:hAnsi="Times New Roman" w:eastAsia="方正仿宋简体"/>
                <w:color w:val="000000" w:themeColor="text1"/>
                <w:lang w:val="en-US" w:eastAsia="zh-CN"/>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202</w:t>
            </w:r>
            <w:r>
              <w:rPr>
                <w:rFonts w:hint="eastAsia" w:ascii="Times New Roman" w:hAnsi="Times New Roman" w:eastAsia="方正仿宋简体"/>
                <w:color w:val="000000" w:themeColor="text1"/>
                <w14:textFill>
                  <w14:solidFill>
                    <w14:schemeClr w14:val="tx1"/>
                  </w14:solidFill>
                </w14:textFill>
              </w:rPr>
              <w:t>5</w:t>
            </w:r>
            <w:r>
              <w:rPr>
                <w:rFonts w:ascii="Times New Roman" w:hAnsi="Times New Roman" w:eastAsia="方正仿宋简体"/>
                <w:color w:val="000000" w:themeColor="text1"/>
                <w14:textFill>
                  <w14:solidFill>
                    <w14:schemeClr w14:val="tx1"/>
                  </w14:solidFill>
                </w14:textFill>
              </w:rPr>
              <w:t>.</w:t>
            </w:r>
            <w:r>
              <w:rPr>
                <w:rFonts w:hint="eastAsia" w:ascii="Times New Roman" w:hAnsi="Times New Roman" w:eastAsia="方正仿宋简体"/>
                <w:color w:val="000000" w:themeColor="text1"/>
                <w:lang w:val="en-US" w:eastAsia="zh-CN"/>
                <w14:textFill>
                  <w14:solidFill>
                    <w14:schemeClr w14:val="tx1"/>
                  </w14:solidFill>
                </w14:textFill>
              </w:rPr>
              <w:t>9</w:t>
            </w:r>
            <w:r>
              <w:rPr>
                <w:rFonts w:ascii="Times New Roman" w:hAnsi="Times New Roman" w:eastAsia="方正仿宋简体"/>
                <w:color w:val="000000" w:themeColor="text1"/>
                <w14:textFill>
                  <w14:solidFill>
                    <w14:schemeClr w14:val="tx1"/>
                  </w14:solidFill>
                </w14:textFill>
              </w:rPr>
              <w:t>.</w:t>
            </w:r>
            <w:r>
              <w:rPr>
                <w:rFonts w:hint="eastAsia" w:ascii="Times New Roman" w:hAnsi="Times New Roman" w:eastAsia="方正仿宋简体"/>
                <w:color w:val="000000" w:themeColor="text1"/>
                <w:lang w:val="en-US" w:eastAsia="zh-CN"/>
                <w14:textFill>
                  <w14:solidFill>
                    <w14:schemeClr w14:val="tx1"/>
                  </w14:solidFill>
                </w14:textFill>
              </w:rPr>
              <w:t>22</w:t>
            </w: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创建本文档</w:t>
            </w:r>
          </w:p>
        </w:tc>
      </w:tr>
      <w:tr>
        <w:tblPrEx>
          <w:tblCellMar>
            <w:top w:w="0" w:type="dxa"/>
            <w:left w:w="108" w:type="dxa"/>
            <w:bottom w:w="0" w:type="dxa"/>
            <w:right w:w="108" w:type="dxa"/>
          </w:tblCellMar>
        </w:tblPrEx>
        <w:trPr>
          <w:cantSplit/>
          <w:trHeight w:val="429" w:hRule="atLeast"/>
          <w:jc w:val="center"/>
        </w:trPr>
        <w:tc>
          <w:tcPr>
            <w:tcW w:w="1314"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auto" w:sz="4" w:space="0"/>
            </w:tcBorders>
            <w:vAlign w:val="center"/>
          </w:tcPr>
          <w:p>
            <w:pPr>
              <w:pStyle w:val="75"/>
              <w:ind w:firstLine="199" w:firstLineChars="83"/>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29" w:hRule="atLeast"/>
          <w:jc w:val="center"/>
        </w:trPr>
        <w:tc>
          <w:tcPr>
            <w:tcW w:w="1314"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314"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314"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314"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314"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314"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805"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314" w:type="dxa"/>
            <w:tcBorders>
              <w:top w:val="single" w:color="auto" w:sz="4" w:space="0"/>
              <w:left w:val="double" w:color="auto" w:sz="4" w:space="0"/>
              <w:bottom w:val="doub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805" w:type="dxa"/>
            <w:tcBorders>
              <w:top w:val="single" w:color="auto" w:sz="4" w:space="0"/>
              <w:left w:val="single" w:color="auto" w:sz="4" w:space="0"/>
              <w:bottom w:val="doub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doub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bl>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pageBreakBefore/>
        <w:spacing w:before="187" w:after="156" w:afterLines="50"/>
        <w:ind w:firstLine="723"/>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6"/>
        <w:tabs>
          <w:tab w:val="right" w:leader="dot" w:pos="8306"/>
        </w:tabs>
      </w:pPr>
      <w:r>
        <w:rPr>
          <w:rStyle w:val="44"/>
        </w:rPr>
        <w:fldChar w:fldCharType="begin"/>
      </w:r>
      <w:r>
        <w:rPr>
          <w:rStyle w:val="44"/>
          <w:rFonts w:eastAsia="方正仿宋简体"/>
        </w:rPr>
        <w:instrText xml:space="preserve"> TOC \o "1-3" \h \z \u </w:instrText>
      </w:r>
      <w:r>
        <w:rPr>
          <w:rStyle w:val="44"/>
        </w:rPr>
        <w:fldChar w:fldCharType="separate"/>
      </w:r>
      <w:r>
        <w:fldChar w:fldCharType="begin"/>
      </w:r>
      <w:r>
        <w:instrText xml:space="preserve"> HYPERLINK \l _Toc1985139014 </w:instrText>
      </w:r>
      <w:r>
        <w:fldChar w:fldCharType="separate"/>
      </w:r>
      <w:r>
        <w:t>一</w:t>
      </w:r>
      <w:r>
        <w:rPr>
          <w:rFonts w:hint="eastAsia"/>
        </w:rPr>
        <w:t>、</w:t>
      </w:r>
      <w:r>
        <w:t>测试目的和背景</w:t>
      </w:r>
      <w:r>
        <w:tab/>
      </w:r>
      <w:r>
        <w:fldChar w:fldCharType="begin"/>
      </w:r>
      <w:r>
        <w:instrText xml:space="preserve"> PAGEREF _Toc1985139014 </w:instrText>
      </w:r>
      <w:r>
        <w:fldChar w:fldCharType="separate"/>
      </w:r>
      <w:r>
        <w:t>- 1 -</w:t>
      </w:r>
      <w:r>
        <w:fldChar w:fldCharType="end"/>
      </w:r>
      <w: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_Toc1392499242 </w:instrText>
      </w:r>
      <w:r>
        <w:rPr>
          <w:rFonts w:eastAsia="方正仿宋简体"/>
        </w:rPr>
        <w:fldChar w:fldCharType="separate"/>
      </w:r>
      <w:r>
        <w:t>二</w:t>
      </w:r>
      <w:r>
        <w:rPr>
          <w:rFonts w:hint="eastAsia"/>
        </w:rPr>
        <w:t>、</w:t>
      </w:r>
      <w:r>
        <w:t>参测</w:t>
      </w:r>
      <w:r>
        <w:rPr>
          <w:rFonts w:hint="eastAsia"/>
        </w:rPr>
        <w:t>机构</w:t>
      </w:r>
      <w:r>
        <w:tab/>
      </w:r>
      <w:r>
        <w:fldChar w:fldCharType="begin"/>
      </w:r>
      <w:r>
        <w:instrText xml:space="preserve"> PAGEREF _Toc1392499242 </w:instrText>
      </w:r>
      <w:r>
        <w:fldChar w:fldCharType="separate"/>
      </w:r>
      <w:r>
        <w:t>- 1 -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_Toc151970865 </w:instrText>
      </w:r>
      <w:r>
        <w:rPr>
          <w:rFonts w:eastAsia="方正仿宋简体"/>
        </w:rPr>
        <w:fldChar w:fldCharType="separate"/>
      </w:r>
      <w:r>
        <w:rPr>
          <w:rFonts w:hint="eastAsia"/>
        </w:rPr>
        <w:t>三、</w:t>
      </w:r>
      <w:r>
        <w:t>参测技术系统</w:t>
      </w:r>
      <w:r>
        <w:tab/>
      </w:r>
      <w:r>
        <w:fldChar w:fldCharType="begin"/>
      </w:r>
      <w:r>
        <w:instrText xml:space="preserve"> PAGEREF _Toc151970865 </w:instrText>
      </w:r>
      <w:r>
        <w:fldChar w:fldCharType="separate"/>
      </w:r>
      <w:r>
        <w:t>- 2 -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_Toc1369102698 </w:instrText>
      </w:r>
      <w:r>
        <w:rPr>
          <w:rFonts w:eastAsia="方正仿宋简体"/>
        </w:rPr>
        <w:fldChar w:fldCharType="separate"/>
      </w:r>
      <w:r>
        <w:rPr>
          <w:rFonts w:hint="eastAsia"/>
        </w:rPr>
        <w:t>四、通关测试</w:t>
      </w:r>
      <w:r>
        <w:t>时间安排</w:t>
      </w:r>
      <w:r>
        <w:tab/>
      </w:r>
      <w:r>
        <w:fldChar w:fldCharType="begin"/>
      </w:r>
      <w:r>
        <w:instrText xml:space="preserve"> PAGEREF _Toc1369102698 </w:instrText>
      </w:r>
      <w:r>
        <w:fldChar w:fldCharType="separate"/>
      </w:r>
      <w:r>
        <w:t>- 2 -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_Toc338658512 </w:instrText>
      </w:r>
      <w:r>
        <w:rPr>
          <w:rFonts w:eastAsia="方正仿宋简体"/>
        </w:rPr>
        <w:fldChar w:fldCharType="separate"/>
      </w:r>
      <w:r>
        <w:rPr>
          <w:rFonts w:hint="eastAsia"/>
        </w:rPr>
        <w:t>五、通关测试</w:t>
      </w:r>
      <w:r>
        <w:t>内容</w:t>
      </w:r>
      <w:r>
        <w:tab/>
      </w:r>
      <w:r>
        <w:fldChar w:fldCharType="begin"/>
      </w:r>
      <w:r>
        <w:instrText xml:space="preserve"> PAGEREF _Toc338658512 </w:instrText>
      </w:r>
      <w:r>
        <w:fldChar w:fldCharType="separate"/>
      </w:r>
      <w:r>
        <w:t>- 4 -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_Toc92586365 </w:instrText>
      </w:r>
      <w:r>
        <w:rPr>
          <w:rFonts w:eastAsia="方正仿宋简体"/>
        </w:rPr>
        <w:fldChar w:fldCharType="separate"/>
      </w:r>
      <w:r>
        <w:rPr>
          <w:rFonts w:hint="eastAsia"/>
        </w:rPr>
        <w:t>六、测试场景及相关说明</w:t>
      </w:r>
      <w:r>
        <w:tab/>
      </w:r>
      <w:r>
        <w:fldChar w:fldCharType="begin"/>
      </w:r>
      <w:r>
        <w:instrText xml:space="preserve"> PAGEREF _Toc92586365 </w:instrText>
      </w:r>
      <w:r>
        <w:fldChar w:fldCharType="separate"/>
      </w:r>
      <w:r>
        <w:t>- 6 -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_Toc99441752 </w:instrText>
      </w:r>
      <w:r>
        <w:rPr>
          <w:rFonts w:eastAsia="方正仿宋简体"/>
        </w:rPr>
        <w:fldChar w:fldCharType="separate"/>
      </w:r>
      <w:r>
        <w:rPr>
          <w:rFonts w:hint="eastAsia" w:ascii="楷体" w:hAnsi="楷体" w:eastAsia="楷体"/>
          <w:szCs w:val="30"/>
          <w:lang w:eastAsia="zh-CN"/>
        </w:rPr>
        <w:t>（一）</w:t>
      </w:r>
      <w:r>
        <w:rPr>
          <w:rFonts w:hint="eastAsia" w:ascii="楷体" w:hAnsi="楷体" w:eastAsia="楷体"/>
          <w:szCs w:val="30"/>
        </w:rPr>
        <w:t>拟切换股票新旧代码对照</w:t>
      </w:r>
      <w:r>
        <w:tab/>
      </w:r>
      <w:r>
        <w:fldChar w:fldCharType="begin"/>
      </w:r>
      <w:r>
        <w:instrText xml:space="preserve"> PAGEREF _Toc99441752 </w:instrText>
      </w:r>
      <w:r>
        <w:fldChar w:fldCharType="separate"/>
      </w:r>
      <w:r>
        <w:t>- 6 -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_Toc400279752 </w:instrText>
      </w:r>
      <w:r>
        <w:rPr>
          <w:rFonts w:eastAsia="方正仿宋简体"/>
        </w:rPr>
        <w:fldChar w:fldCharType="separate"/>
      </w:r>
      <w:r>
        <w:rPr>
          <w:rFonts w:hint="eastAsia" w:ascii="楷体" w:hAnsi="楷体" w:eastAsia="楷体"/>
          <w:szCs w:val="30"/>
          <w:lang w:eastAsia="zh-CN"/>
        </w:rPr>
        <w:t>（二）日常业务测试场景及测试时间安排</w:t>
      </w:r>
      <w:r>
        <w:tab/>
      </w:r>
      <w:r>
        <w:fldChar w:fldCharType="begin"/>
      </w:r>
      <w:r>
        <w:instrText xml:space="preserve"> PAGEREF _Toc400279752 </w:instrText>
      </w:r>
      <w:r>
        <w:fldChar w:fldCharType="separate"/>
      </w:r>
      <w:r>
        <w:t>- 6 -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_Toc1709487988 </w:instrText>
      </w:r>
      <w:r>
        <w:rPr>
          <w:rFonts w:eastAsia="方正仿宋简体"/>
        </w:rPr>
        <w:fldChar w:fldCharType="separate"/>
      </w:r>
      <w:r>
        <w:rPr>
          <w:rFonts w:hint="eastAsia" w:ascii="楷体" w:hAnsi="楷体" w:eastAsia="楷体"/>
          <w:szCs w:val="30"/>
          <w:lang w:eastAsia="zh-CN"/>
        </w:rPr>
        <w:t>（三）测试要求和说明</w:t>
      </w:r>
      <w:r>
        <w:tab/>
      </w:r>
      <w:r>
        <w:fldChar w:fldCharType="begin"/>
      </w:r>
      <w:r>
        <w:instrText xml:space="preserve"> PAGEREF _Toc1709487988 </w:instrText>
      </w:r>
      <w:r>
        <w:fldChar w:fldCharType="separate"/>
      </w:r>
      <w:r>
        <w:t>- 6 -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_Toc1410016687 </w:instrText>
      </w:r>
      <w:r>
        <w:rPr>
          <w:rFonts w:eastAsia="方正仿宋简体"/>
        </w:rPr>
        <w:fldChar w:fldCharType="separate"/>
      </w:r>
      <w:r>
        <w:rPr>
          <w:rFonts w:hint="eastAsia"/>
          <w:szCs w:val="30"/>
        </w:rPr>
        <w:t>七、通关测试</w:t>
      </w:r>
      <w:r>
        <w:rPr>
          <w:szCs w:val="30"/>
        </w:rPr>
        <w:t>数据准备</w:t>
      </w:r>
      <w:r>
        <w:tab/>
      </w:r>
      <w:r>
        <w:fldChar w:fldCharType="begin"/>
      </w:r>
      <w:r>
        <w:instrText xml:space="preserve"> PAGEREF _Toc1410016687 </w:instrText>
      </w:r>
      <w:r>
        <w:fldChar w:fldCharType="separate"/>
      </w:r>
      <w:r>
        <w:t>- 7 -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_Toc1191708739 </w:instrText>
      </w:r>
      <w:r>
        <w:rPr>
          <w:rFonts w:eastAsia="方正仿宋简体"/>
        </w:rPr>
        <w:fldChar w:fldCharType="separate"/>
      </w:r>
      <w:r>
        <w:rPr>
          <w:rFonts w:hint="eastAsia" w:ascii="楷体" w:hAnsi="楷体" w:eastAsia="楷体"/>
          <w:szCs w:val="30"/>
        </w:rPr>
        <w:t>（一）</w:t>
      </w:r>
      <w:r>
        <w:rPr>
          <w:rFonts w:ascii="楷体" w:hAnsi="楷体" w:eastAsia="楷体"/>
          <w:szCs w:val="30"/>
        </w:rPr>
        <w:t>证券行情信息和证券信息</w:t>
      </w:r>
      <w:r>
        <w:tab/>
      </w:r>
      <w:r>
        <w:fldChar w:fldCharType="begin"/>
      </w:r>
      <w:r>
        <w:instrText xml:space="preserve"> PAGEREF _Toc1191708739 </w:instrText>
      </w:r>
      <w:r>
        <w:fldChar w:fldCharType="separate"/>
      </w:r>
      <w:r>
        <w:t>- 7 -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_Toc686767262 </w:instrText>
      </w:r>
      <w:r>
        <w:rPr>
          <w:rFonts w:eastAsia="方正仿宋简体"/>
        </w:rPr>
        <w:fldChar w:fldCharType="separate"/>
      </w:r>
      <w:r>
        <w:rPr>
          <w:rFonts w:hint="eastAsia" w:ascii="楷体" w:hAnsi="楷体" w:eastAsia="楷体"/>
          <w:szCs w:val="30"/>
        </w:rPr>
        <w:t>（二）证券账户、交易单元、托管单元及持仓</w:t>
      </w:r>
      <w:r>
        <w:tab/>
      </w:r>
      <w:r>
        <w:fldChar w:fldCharType="begin"/>
      </w:r>
      <w:r>
        <w:instrText xml:space="preserve"> PAGEREF _Toc686767262 </w:instrText>
      </w:r>
      <w:r>
        <w:fldChar w:fldCharType="separate"/>
      </w:r>
      <w:r>
        <w:t>- 7 -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_Toc1399553035 </w:instrText>
      </w:r>
      <w:r>
        <w:rPr>
          <w:rFonts w:eastAsia="方正仿宋简体"/>
        </w:rPr>
        <w:fldChar w:fldCharType="separate"/>
      </w:r>
      <w:r>
        <w:rPr>
          <w:rFonts w:hint="eastAsia" w:ascii="楷体" w:hAnsi="楷体" w:eastAsia="楷体"/>
          <w:szCs w:val="30"/>
        </w:rPr>
        <w:t>（三）交易网关、行情网关和结算网关</w:t>
      </w:r>
      <w:r>
        <w:tab/>
      </w:r>
      <w:r>
        <w:fldChar w:fldCharType="begin"/>
      </w:r>
      <w:r>
        <w:instrText xml:space="preserve"> PAGEREF _Toc1399553035 </w:instrText>
      </w:r>
      <w:r>
        <w:fldChar w:fldCharType="separate"/>
      </w:r>
      <w:r>
        <w:t>- 8 -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_Toc976962490 </w:instrText>
      </w:r>
      <w:r>
        <w:rPr>
          <w:rFonts w:eastAsia="方正仿宋简体"/>
        </w:rPr>
        <w:fldChar w:fldCharType="separate"/>
      </w:r>
      <w:r>
        <w:rPr>
          <w:rFonts w:hint="eastAsia" w:ascii="楷体" w:hAnsi="楷体" w:eastAsia="楷体"/>
          <w:szCs w:val="30"/>
        </w:rPr>
        <w:t>（四）FDEP小站</w:t>
      </w:r>
      <w:r>
        <w:tab/>
      </w:r>
      <w:r>
        <w:fldChar w:fldCharType="begin"/>
      </w:r>
      <w:r>
        <w:instrText xml:space="preserve"> PAGEREF _Toc976962490 </w:instrText>
      </w:r>
      <w:r>
        <w:fldChar w:fldCharType="separate"/>
      </w:r>
      <w:r>
        <w:t>- 8 -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_Toc1068473497 </w:instrText>
      </w:r>
      <w:r>
        <w:rPr>
          <w:rFonts w:eastAsia="方正仿宋简体"/>
        </w:rPr>
        <w:fldChar w:fldCharType="separate"/>
      </w:r>
      <w:r>
        <w:rPr>
          <w:rFonts w:hint="eastAsia"/>
          <w:szCs w:val="30"/>
        </w:rPr>
        <w:t>八、通关测试</w:t>
      </w:r>
      <w:r>
        <w:rPr>
          <w:szCs w:val="30"/>
        </w:rPr>
        <w:t>系统接入方式</w:t>
      </w:r>
      <w:r>
        <w:tab/>
      </w:r>
      <w:r>
        <w:fldChar w:fldCharType="begin"/>
      </w:r>
      <w:r>
        <w:instrText xml:space="preserve"> PAGEREF _Toc1068473497 </w:instrText>
      </w:r>
      <w:r>
        <w:fldChar w:fldCharType="separate"/>
      </w:r>
      <w:r>
        <w:t>- 8 -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_Toc1978379314 </w:instrText>
      </w:r>
      <w:r>
        <w:rPr>
          <w:rFonts w:eastAsia="方正仿宋简体"/>
        </w:rPr>
        <w:fldChar w:fldCharType="separate"/>
      </w:r>
      <w:r>
        <w:rPr>
          <w:rFonts w:hint="eastAsia" w:ascii="楷体" w:hAnsi="楷体" w:eastAsia="楷体"/>
          <w:szCs w:val="30"/>
          <w:lang w:eastAsia="zh-CN"/>
        </w:rPr>
        <w:t>（一）参测机构接入深证通</w:t>
      </w:r>
      <w:r>
        <w:tab/>
      </w:r>
      <w:r>
        <w:fldChar w:fldCharType="begin"/>
      </w:r>
      <w:r>
        <w:instrText xml:space="preserve"> PAGEREF _Toc1978379314 </w:instrText>
      </w:r>
      <w:r>
        <w:fldChar w:fldCharType="separate"/>
      </w:r>
      <w:r>
        <w:t>- 8 -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_Toc695861923 </w:instrText>
      </w:r>
      <w:r>
        <w:rPr>
          <w:rFonts w:eastAsia="方正仿宋简体"/>
        </w:rPr>
        <w:fldChar w:fldCharType="separate"/>
      </w:r>
      <w:r>
        <w:rPr>
          <w:rFonts w:hint="eastAsia" w:ascii="楷体" w:hAnsi="楷体" w:eastAsia="楷体"/>
          <w:szCs w:val="30"/>
          <w:lang w:eastAsia="zh-CN"/>
        </w:rPr>
        <w:t>（二）参测机构接入中国结算</w:t>
      </w:r>
      <w:r>
        <w:tab/>
      </w:r>
      <w:r>
        <w:fldChar w:fldCharType="begin"/>
      </w:r>
      <w:r>
        <w:instrText xml:space="preserve"> PAGEREF _Toc695861923 </w:instrText>
      </w:r>
      <w:r>
        <w:fldChar w:fldCharType="separate"/>
      </w:r>
      <w:r>
        <w:t>- 8 -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_Toc939498377 </w:instrText>
      </w:r>
      <w:r>
        <w:rPr>
          <w:rFonts w:eastAsia="方正仿宋简体"/>
        </w:rPr>
        <w:fldChar w:fldCharType="separate"/>
      </w:r>
      <w:r>
        <w:rPr>
          <w:rFonts w:hint="eastAsia" w:ascii="楷体" w:hAnsi="楷体" w:eastAsia="楷体"/>
          <w:szCs w:val="30"/>
          <w:lang w:eastAsia="zh-CN"/>
        </w:rPr>
        <w:t>（三）测试相关软件下载</w:t>
      </w:r>
      <w:r>
        <w:tab/>
      </w:r>
      <w:r>
        <w:fldChar w:fldCharType="begin"/>
      </w:r>
      <w:r>
        <w:instrText xml:space="preserve"> PAGEREF _Toc939498377 </w:instrText>
      </w:r>
      <w:r>
        <w:fldChar w:fldCharType="separate"/>
      </w:r>
      <w:r>
        <w:t>- 8 -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_Toc574735005 </w:instrText>
      </w:r>
      <w:r>
        <w:rPr>
          <w:rFonts w:eastAsia="方正仿宋简体"/>
        </w:rPr>
        <w:fldChar w:fldCharType="separate"/>
      </w:r>
      <w:r>
        <w:rPr>
          <w:rFonts w:hint="eastAsia"/>
          <w:szCs w:val="30"/>
        </w:rPr>
        <w:t>九、</w:t>
      </w:r>
      <w:r>
        <w:rPr>
          <w:szCs w:val="30"/>
        </w:rPr>
        <w:t>测试要求及注意事项</w:t>
      </w:r>
      <w:r>
        <w:tab/>
      </w:r>
      <w:r>
        <w:fldChar w:fldCharType="begin"/>
      </w:r>
      <w:r>
        <w:instrText xml:space="preserve"> PAGEREF _Toc574735005 </w:instrText>
      </w:r>
      <w:r>
        <w:fldChar w:fldCharType="separate"/>
      </w:r>
      <w:r>
        <w:t>- 9 -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_Toc328548947 </w:instrText>
      </w:r>
      <w:r>
        <w:rPr>
          <w:rFonts w:eastAsia="方正仿宋简体"/>
        </w:rPr>
        <w:fldChar w:fldCharType="separate"/>
      </w:r>
      <w:r>
        <w:t>十</w:t>
      </w:r>
      <w:r>
        <w:rPr>
          <w:rFonts w:hint="eastAsia"/>
        </w:rPr>
        <w:t>、</w:t>
      </w:r>
      <w:r>
        <w:t>联系方式</w:t>
      </w:r>
      <w:r>
        <w:tab/>
      </w:r>
      <w:r>
        <w:fldChar w:fldCharType="begin"/>
      </w:r>
      <w:r>
        <w:instrText xml:space="preserve"> PAGEREF _Toc328548947 </w:instrText>
      </w:r>
      <w:r>
        <w:fldChar w:fldCharType="separate"/>
      </w:r>
      <w:r>
        <w:t>- 10 -</w:t>
      </w:r>
      <w:r>
        <w:fldChar w:fldCharType="end"/>
      </w:r>
      <w:r>
        <w:rPr>
          <w:rFonts w:eastAsia="方正仿宋简体"/>
        </w:rPr>
        <w:fldChar w:fldCharType="end"/>
      </w:r>
    </w:p>
    <w:p>
      <w:pPr>
        <w:pStyle w:val="26"/>
        <w:tabs>
          <w:tab w:val="left" w:pos="400"/>
          <w:tab w:val="right" w:leader="dot" w:pos="8296"/>
        </w:tabs>
        <w:ind w:firstLine="480"/>
        <w:rPr>
          <w:rFonts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3"/>
        <w:pageBreakBefore w:val="0"/>
        <w:kinsoku/>
        <w:wordWrap/>
        <w:overflowPunct/>
        <w:topLinePunct w:val="0"/>
        <w:bidi w:val="0"/>
        <w:spacing w:before="163" w:after="163" w:line="560" w:lineRule="exact"/>
        <w:ind w:firstLine="600"/>
      </w:pPr>
      <w:bookmarkStart w:id="0" w:name="_Toc366050038"/>
      <w:bookmarkStart w:id="1" w:name="_Toc374381845"/>
      <w:bookmarkStart w:id="2" w:name="_Toc376285219"/>
      <w:bookmarkStart w:id="3" w:name="_Toc376597516"/>
      <w:bookmarkStart w:id="4" w:name="_Toc374957903"/>
      <w:bookmarkStart w:id="5" w:name="_Toc374381911"/>
      <w:bookmarkStart w:id="6" w:name="_Toc1748422228"/>
      <w:bookmarkStart w:id="7" w:name="_Toc375070721"/>
      <w:bookmarkStart w:id="8" w:name="_Toc1985139014"/>
      <w:bookmarkStart w:id="9" w:name="_Toc375557957"/>
      <w:bookmarkStart w:id="10"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bookmarkEnd w:id="9"/>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为</w:t>
      </w:r>
      <w:r>
        <w:rPr>
          <w:rFonts w:hint="eastAsia" w:cs="Times New Roman"/>
          <w:color w:val="000000" w:themeColor="text1"/>
          <w:sz w:val="30"/>
          <w:szCs w:val="30"/>
          <w14:textFill>
            <w14:solidFill>
              <w14:schemeClr w14:val="tx1"/>
            </w14:solidFill>
          </w14:textFill>
        </w:rPr>
        <w:t>验证北京证券交易所存量上市公司证券代码</w:t>
      </w:r>
      <w:r>
        <w:rPr>
          <w:rFonts w:hint="eastAsia" w:cs="Times New Roman"/>
          <w:color w:val="000000" w:themeColor="text1"/>
          <w:sz w:val="30"/>
          <w:szCs w:val="30"/>
          <w:lang w:eastAsia="zh-CN"/>
          <w14:textFill>
            <w14:solidFill>
              <w14:schemeClr w14:val="tx1"/>
            </w14:solidFill>
          </w14:textFill>
        </w:rPr>
        <w:t>批量</w:t>
      </w:r>
      <w:r>
        <w:rPr>
          <w:rFonts w:hint="eastAsia" w:cs="Times New Roman"/>
          <w:color w:val="000000" w:themeColor="text1"/>
          <w:sz w:val="30"/>
          <w:szCs w:val="30"/>
          <w14:textFill>
            <w14:solidFill>
              <w14:schemeClr w14:val="tx1"/>
            </w14:solidFill>
          </w14:textFill>
        </w:rPr>
        <w:t>切换（以下简称“代码切换”）准备情况</w:t>
      </w:r>
      <w:r>
        <w:rPr>
          <w:rFonts w:cs="Times New Roman"/>
          <w:color w:val="000000" w:themeColor="text1"/>
          <w:sz w:val="30"/>
          <w:szCs w:val="30"/>
          <w14:textFill>
            <w14:solidFill>
              <w14:schemeClr w14:val="tx1"/>
            </w14:solidFill>
          </w14:textFill>
        </w:rPr>
        <w:t>，北京证券交易所</w:t>
      </w:r>
      <w:r>
        <w:rPr>
          <w:rFonts w:hint="eastAsia" w:cs="Times New Roman"/>
          <w:color w:val="000000" w:themeColor="text1"/>
          <w:sz w:val="30"/>
          <w:szCs w:val="30"/>
          <w14:textFill>
            <w14:solidFill>
              <w14:schemeClr w14:val="tx1"/>
            </w14:solidFill>
          </w14:textFill>
        </w:rPr>
        <w:t>（以下简称“北交所”）、</w:t>
      </w:r>
      <w:r>
        <w:rPr>
          <w:rFonts w:cs="Times New Roman"/>
          <w:color w:val="000000" w:themeColor="text1"/>
          <w:sz w:val="30"/>
          <w:szCs w:val="30"/>
          <w14:textFill>
            <w14:solidFill>
              <w14:schemeClr w14:val="tx1"/>
            </w14:solidFill>
          </w14:textFill>
        </w:rPr>
        <w:t>全国中小企业股份转让系统有限责任公司（以下简称</w:t>
      </w:r>
      <w:r>
        <w:rPr>
          <w:rFonts w:ascii="仿宋" w:hAnsi="仿宋" w:cs="Times New Roman"/>
          <w:color w:val="000000" w:themeColor="text1"/>
          <w:sz w:val="30"/>
          <w:szCs w:val="30"/>
          <w14:textFill>
            <w14:solidFill>
              <w14:schemeClr w14:val="tx1"/>
            </w14:solidFill>
          </w14:textFill>
        </w:rPr>
        <w:t>“全国股转公司”</w:t>
      </w:r>
      <w:r>
        <w:rPr>
          <w:rFonts w:cs="Times New Roman"/>
          <w:color w:val="000000" w:themeColor="text1"/>
          <w:sz w:val="30"/>
          <w:szCs w:val="30"/>
          <w14:textFill>
            <w14:solidFill>
              <w14:schemeClr w14:val="tx1"/>
            </w14:solidFill>
          </w14:textFill>
        </w:rPr>
        <w:t>）联合中国证券登记结算有限责任公司（以下简称</w:t>
      </w:r>
      <w:r>
        <w:rPr>
          <w:rFonts w:hint="eastAsia" w:cs="Times New Roman"/>
          <w:color w:val="000000" w:themeColor="text1"/>
          <w:sz w:val="30"/>
          <w:szCs w:val="30"/>
          <w14:textFill>
            <w14:solidFill>
              <w14:schemeClr w14:val="tx1"/>
            </w14:solidFill>
          </w14:textFill>
        </w:rPr>
        <w:t>“中国结算”</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深圳证券通信有限公司（以下简称</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、中证指数有限公司（以下简称“中证指数”）等</w:t>
      </w:r>
      <w:r>
        <w:rPr>
          <w:rFonts w:cs="Times New Roman"/>
          <w:color w:val="000000" w:themeColor="text1"/>
          <w:sz w:val="30"/>
          <w:szCs w:val="30"/>
          <w14:textFill>
            <w14:solidFill>
              <w14:schemeClr w14:val="tx1"/>
            </w14:solidFill>
          </w14:textFill>
        </w:rPr>
        <w:t>共同搭建测试环境</w:t>
      </w:r>
      <w:r>
        <w:rPr>
          <w:rFonts w:hint="eastAsia" w:cs="Times New Roman"/>
          <w:color w:val="000000" w:themeColor="text1"/>
          <w:sz w:val="30"/>
          <w:szCs w:val="30"/>
          <w14:textFill>
            <w14:solidFill>
              <w14:schemeClr w14:val="tx1"/>
            </w14:solidFill>
          </w14:textFill>
        </w:rPr>
        <w:t>供市场</w:t>
      </w:r>
      <w:r>
        <w:rPr>
          <w:rFonts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14:textFill>
            <w14:solidFill>
              <w14:schemeClr w14:val="tx1"/>
            </w14:solidFill>
          </w14:textFill>
        </w:rPr>
        <w:t>通关测试。</w:t>
      </w:r>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各参与者请认真阅读本测试方案，在测试过程中按照要求进行充分测试。</w:t>
      </w:r>
    </w:p>
    <w:p>
      <w:pPr>
        <w:pStyle w:val="73"/>
        <w:pageBreakBefore w:val="0"/>
        <w:kinsoku/>
        <w:wordWrap/>
        <w:overflowPunct/>
        <w:topLinePunct w:val="0"/>
        <w:bidi w:val="0"/>
        <w:spacing w:before="163" w:after="163" w:line="560" w:lineRule="exact"/>
        <w:ind w:firstLine="600"/>
      </w:pPr>
      <w:bookmarkStart w:id="11" w:name="_Toc376285220"/>
      <w:bookmarkStart w:id="12" w:name="_Toc374957904"/>
      <w:bookmarkStart w:id="13" w:name="_Toc376597517"/>
      <w:bookmarkStart w:id="14" w:name="_Toc374381912"/>
      <w:bookmarkStart w:id="15" w:name="_Toc374381846"/>
      <w:bookmarkStart w:id="16" w:name="_Toc375557958"/>
      <w:bookmarkStart w:id="17" w:name="_Toc375070722"/>
      <w:bookmarkStart w:id="18" w:name="_Toc1894743054"/>
      <w:bookmarkStart w:id="19" w:name="_Toc1392499242"/>
      <w:r>
        <w:t>二</w:t>
      </w:r>
      <w:r>
        <w:rPr>
          <w:rFonts w:hint="eastAsia"/>
        </w:rPr>
        <w:t>、</w:t>
      </w:r>
      <w:r>
        <w:t>参测</w:t>
      </w:r>
      <w:bookmarkEnd w:id="11"/>
      <w:bookmarkEnd w:id="12"/>
      <w:bookmarkEnd w:id="13"/>
      <w:bookmarkEnd w:id="14"/>
      <w:bookmarkEnd w:id="15"/>
      <w:bookmarkEnd w:id="16"/>
      <w:bookmarkEnd w:id="17"/>
      <w:r>
        <w:rPr>
          <w:rFonts w:hint="eastAsia"/>
        </w:rPr>
        <w:t>机构</w:t>
      </w:r>
      <w:bookmarkEnd w:id="18"/>
      <w:bookmarkEnd w:id="19"/>
    </w:p>
    <w:p>
      <w:pPr>
        <w:pStyle w:val="101"/>
        <w:pageBreakBefore w:val="0"/>
        <w:numPr>
          <w:ilvl w:val="0"/>
          <w:numId w:val="4"/>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北京证券交易所</w:t>
      </w:r>
    </w:p>
    <w:p>
      <w:pPr>
        <w:pStyle w:val="101"/>
        <w:pageBreakBefore w:val="0"/>
        <w:numPr>
          <w:ilvl w:val="0"/>
          <w:numId w:val="4"/>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全国中小企业股份转让系统有限责任公司</w:t>
      </w:r>
    </w:p>
    <w:p>
      <w:pPr>
        <w:pStyle w:val="101"/>
        <w:pageBreakBefore w:val="0"/>
        <w:numPr>
          <w:ilvl w:val="0"/>
          <w:numId w:val="4"/>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中国证券登记结算有限责任公司</w:t>
      </w:r>
    </w:p>
    <w:p>
      <w:pPr>
        <w:pStyle w:val="101"/>
        <w:pageBreakBefore w:val="0"/>
        <w:numPr>
          <w:ilvl w:val="0"/>
          <w:numId w:val="4"/>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上海证券交易所</w:t>
      </w:r>
    </w:p>
    <w:p>
      <w:pPr>
        <w:pStyle w:val="101"/>
        <w:pageBreakBefore w:val="0"/>
        <w:numPr>
          <w:ilvl w:val="0"/>
          <w:numId w:val="4"/>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深圳证券交易所</w:t>
      </w:r>
    </w:p>
    <w:p>
      <w:pPr>
        <w:pStyle w:val="101"/>
        <w:pageBreakBefore w:val="0"/>
        <w:numPr>
          <w:ilvl w:val="0"/>
          <w:numId w:val="4"/>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深圳证券通信有限公司</w:t>
      </w:r>
    </w:p>
    <w:p>
      <w:pPr>
        <w:pStyle w:val="101"/>
        <w:pageBreakBefore w:val="0"/>
        <w:numPr>
          <w:ilvl w:val="0"/>
          <w:numId w:val="4"/>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中证指数有限公司</w:t>
      </w:r>
    </w:p>
    <w:p>
      <w:pPr>
        <w:pStyle w:val="101"/>
        <w:pageBreakBefore w:val="0"/>
        <w:numPr>
          <w:ilvl w:val="0"/>
          <w:numId w:val="4"/>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上证所信息网络有限公司</w:t>
      </w:r>
    </w:p>
    <w:p>
      <w:pPr>
        <w:pStyle w:val="101"/>
        <w:pageBreakBefore w:val="0"/>
        <w:numPr>
          <w:ilvl w:val="0"/>
          <w:numId w:val="4"/>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深圳证券信息有限公司</w:t>
      </w:r>
    </w:p>
    <w:p>
      <w:pPr>
        <w:pStyle w:val="101"/>
        <w:pageBreakBefore w:val="0"/>
        <w:numPr>
          <w:ilvl w:val="0"/>
          <w:numId w:val="4"/>
        </w:numPr>
        <w:kinsoku/>
        <w:wordWrap/>
        <w:overflowPunct/>
        <w:topLinePunct w:val="0"/>
        <w:bidi w:val="0"/>
        <w:spacing w:line="560" w:lineRule="exact"/>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开展北交所业务的证券公司</w:t>
      </w:r>
    </w:p>
    <w:p>
      <w:pPr>
        <w:pStyle w:val="101"/>
        <w:pageBreakBefore w:val="0"/>
        <w:numPr>
          <w:ilvl w:val="0"/>
          <w:numId w:val="4"/>
        </w:numPr>
        <w:kinsoku/>
        <w:wordWrap/>
        <w:overflowPunct/>
        <w:topLinePunct w:val="0"/>
        <w:bidi w:val="0"/>
        <w:spacing w:line="560" w:lineRule="exact"/>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开展北交所业务的基金公司</w:t>
      </w:r>
    </w:p>
    <w:p>
      <w:pPr>
        <w:pStyle w:val="101"/>
        <w:pageBreakBefore w:val="0"/>
        <w:numPr>
          <w:ilvl w:val="0"/>
          <w:numId w:val="4"/>
        </w:numPr>
        <w:kinsoku/>
        <w:wordWrap/>
        <w:overflowPunct/>
        <w:topLinePunct w:val="0"/>
        <w:bidi w:val="0"/>
        <w:spacing w:line="560" w:lineRule="exact"/>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提供北交所行情服务的信息商</w:t>
      </w:r>
    </w:p>
    <w:p>
      <w:pPr>
        <w:pStyle w:val="73"/>
        <w:pageBreakBefore w:val="0"/>
        <w:kinsoku/>
        <w:wordWrap/>
        <w:overflowPunct/>
        <w:topLinePunct w:val="0"/>
        <w:bidi w:val="0"/>
        <w:spacing w:before="163" w:after="163" w:line="560" w:lineRule="exact"/>
        <w:ind w:firstLine="600"/>
      </w:pPr>
      <w:bookmarkStart w:id="20" w:name="_Toc257742172"/>
      <w:bookmarkStart w:id="21" w:name="_Toc375070726"/>
      <w:bookmarkStart w:id="22" w:name="_Toc376597521"/>
      <w:bookmarkStart w:id="23" w:name="_Toc151970865"/>
      <w:bookmarkStart w:id="24" w:name="_Toc374957908"/>
      <w:bookmarkStart w:id="25" w:name="_Toc375557962"/>
      <w:bookmarkStart w:id="26" w:name="_Toc374381916"/>
      <w:bookmarkStart w:id="27" w:name="_Toc376285224"/>
      <w:bookmarkStart w:id="28" w:name="_Toc374381850"/>
      <w:r>
        <w:rPr>
          <w:rFonts w:hint="eastAsia"/>
        </w:rPr>
        <w:t>三、</w:t>
      </w:r>
      <w:r>
        <w:t>参测技术系统</w:t>
      </w:r>
      <w:bookmarkEnd w:id="20"/>
      <w:bookmarkEnd w:id="21"/>
      <w:bookmarkEnd w:id="22"/>
      <w:bookmarkEnd w:id="23"/>
      <w:bookmarkEnd w:id="24"/>
      <w:bookmarkEnd w:id="25"/>
      <w:bookmarkEnd w:id="26"/>
      <w:bookmarkEnd w:id="27"/>
      <w:bookmarkEnd w:id="28"/>
    </w:p>
    <w:p>
      <w:pPr>
        <w:pStyle w:val="101"/>
        <w:pageBreakBefore w:val="0"/>
        <w:numPr>
          <w:ilvl w:val="0"/>
          <w:numId w:val="5"/>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北交所和全国股转公司</w:t>
      </w:r>
      <w:r>
        <w:rPr>
          <w:rFonts w:cs="Times New Roman"/>
          <w:color w:val="000000" w:themeColor="text1"/>
          <w:sz w:val="30"/>
          <w:szCs w:val="30"/>
          <w14:textFill>
            <w14:solidFill>
              <w14:schemeClr w14:val="tx1"/>
            </w14:solidFill>
          </w14:textFill>
        </w:rPr>
        <w:t>交易支持平台</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环境</w:t>
      </w:r>
    </w:p>
    <w:p>
      <w:pPr>
        <w:pStyle w:val="101"/>
        <w:pageBreakBefore w:val="0"/>
        <w:numPr>
          <w:ilvl w:val="0"/>
          <w:numId w:val="5"/>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市场证券登记结算系统</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环</w:t>
      </w:r>
      <w:r>
        <w:rPr>
          <w:rFonts w:cs="Times New Roman"/>
          <w:sz w:val="30"/>
          <w:szCs w:val="30"/>
        </w:rPr>
        <w:t>境</w:t>
      </w:r>
    </w:p>
    <w:p>
      <w:pPr>
        <w:pStyle w:val="101"/>
        <w:pageBreakBefore w:val="0"/>
        <w:numPr>
          <w:ilvl w:val="0"/>
          <w:numId w:val="5"/>
        </w:numPr>
        <w:kinsoku/>
        <w:wordWrap/>
        <w:overflowPunct/>
        <w:topLinePunct w:val="0"/>
        <w:bidi w:val="0"/>
        <w:spacing w:line="560" w:lineRule="exact"/>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上交所等机构相关测试环境</w:t>
      </w:r>
    </w:p>
    <w:p>
      <w:pPr>
        <w:pStyle w:val="101"/>
        <w:pageBreakBefore w:val="0"/>
        <w:numPr>
          <w:ilvl w:val="0"/>
          <w:numId w:val="5"/>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深交所等机构相关测试环境</w:t>
      </w:r>
    </w:p>
    <w:p>
      <w:pPr>
        <w:pStyle w:val="101"/>
        <w:pageBreakBefore w:val="0"/>
        <w:numPr>
          <w:ilvl w:val="0"/>
          <w:numId w:val="5"/>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通信系统和</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金融数据交换平台</w:t>
      </w:r>
      <w:r>
        <w:rPr>
          <w:rFonts w:hint="eastAsia" w:cs="Times New Roman"/>
          <w:color w:val="000000" w:themeColor="text1"/>
          <w:sz w:val="30"/>
          <w:szCs w:val="30"/>
          <w14:textFill>
            <w14:solidFill>
              <w14:schemeClr w14:val="tx1"/>
            </w14:solidFill>
          </w14:textFill>
        </w:rPr>
        <w:t>（FDEP）通关测试</w:t>
      </w:r>
      <w:r>
        <w:rPr>
          <w:rFonts w:cs="Times New Roman"/>
          <w:color w:val="000000" w:themeColor="text1"/>
          <w:sz w:val="30"/>
          <w:szCs w:val="30"/>
          <w14:textFill>
            <w14:solidFill>
              <w14:schemeClr w14:val="tx1"/>
            </w14:solidFill>
          </w14:textFill>
        </w:rPr>
        <w:t>环境</w:t>
      </w:r>
    </w:p>
    <w:p>
      <w:pPr>
        <w:pStyle w:val="101"/>
        <w:pageBreakBefore w:val="0"/>
        <w:numPr>
          <w:ilvl w:val="0"/>
          <w:numId w:val="5"/>
        </w:numPr>
        <w:kinsoku/>
        <w:wordWrap/>
        <w:overflowPunct/>
        <w:topLinePunct w:val="0"/>
        <w:bidi w:val="0"/>
        <w:spacing w:line="560" w:lineRule="exact"/>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中证指数相关测试环境</w:t>
      </w:r>
    </w:p>
    <w:p>
      <w:pPr>
        <w:pStyle w:val="101"/>
        <w:pageBreakBefore w:val="0"/>
        <w:numPr>
          <w:ilvl w:val="0"/>
          <w:numId w:val="5"/>
        </w:numPr>
        <w:kinsoku/>
        <w:wordWrap/>
        <w:overflowPunct/>
        <w:topLinePunct w:val="0"/>
        <w:bidi w:val="0"/>
        <w:spacing w:line="560" w:lineRule="exact"/>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开展北交所业务的证券公司相关测试环境</w:t>
      </w:r>
    </w:p>
    <w:p>
      <w:pPr>
        <w:pStyle w:val="101"/>
        <w:pageBreakBefore w:val="0"/>
        <w:numPr>
          <w:ilvl w:val="0"/>
          <w:numId w:val="5"/>
        </w:numPr>
        <w:kinsoku/>
        <w:wordWrap/>
        <w:overflowPunct/>
        <w:topLinePunct w:val="0"/>
        <w:bidi w:val="0"/>
        <w:spacing w:line="560" w:lineRule="exact"/>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开展北交所业务的基金公司相关</w:t>
      </w:r>
      <w:r>
        <w:rPr>
          <w:rFonts w:hint="eastAsia" w:cs="Times New Roman"/>
          <w:color w:val="000000" w:themeColor="text1"/>
          <w:sz w:val="30"/>
          <w:szCs w:val="30"/>
          <w:lang w:val="en"/>
          <w14:textFill>
            <w14:solidFill>
              <w14:schemeClr w14:val="tx1"/>
            </w14:solidFill>
          </w14:textFill>
        </w:rPr>
        <w:t>测试环境</w:t>
      </w:r>
    </w:p>
    <w:p>
      <w:pPr>
        <w:pStyle w:val="101"/>
        <w:pageBreakBefore w:val="0"/>
        <w:numPr>
          <w:ilvl w:val="0"/>
          <w:numId w:val="5"/>
        </w:numPr>
        <w:kinsoku/>
        <w:wordWrap/>
        <w:overflowPunct/>
        <w:topLinePunct w:val="0"/>
        <w:bidi w:val="0"/>
        <w:spacing w:line="560" w:lineRule="exact"/>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提供北交所行情服务的信息商相关测试环境</w:t>
      </w:r>
    </w:p>
    <w:p>
      <w:pPr>
        <w:pStyle w:val="73"/>
        <w:pageBreakBefore w:val="0"/>
        <w:kinsoku/>
        <w:wordWrap/>
        <w:overflowPunct/>
        <w:topLinePunct w:val="0"/>
        <w:bidi w:val="0"/>
        <w:spacing w:before="163" w:after="163" w:line="560" w:lineRule="exact"/>
        <w:ind w:firstLine="600"/>
      </w:pPr>
      <w:bookmarkStart w:id="29" w:name="_Toc1369102698"/>
      <w:bookmarkStart w:id="30" w:name="_Toc1647921772"/>
      <w:r>
        <w:rPr>
          <w:rFonts w:hint="eastAsia"/>
        </w:rPr>
        <w:t>四、通关测试</w:t>
      </w:r>
      <w:r>
        <w:t>时间安排</w:t>
      </w:r>
      <w:bookmarkEnd w:id="29"/>
      <w:bookmarkEnd w:id="30"/>
    </w:p>
    <w:p>
      <w:pPr>
        <w:pageBreakBefore w:val="0"/>
        <w:kinsoku/>
        <w:wordWrap/>
        <w:overflowPunct/>
        <w:topLinePunct w:val="0"/>
        <w:bidi w:val="0"/>
        <w:spacing w:line="560" w:lineRule="exact"/>
        <w:ind w:left="300" w:leftChars="125" w:firstLine="0" w:firstLineChars="0"/>
        <w:jc w:val="both"/>
        <w:rPr>
          <w:rFonts w:cs="Times New Roman"/>
          <w:sz w:val="30"/>
          <w:szCs w:val="30"/>
        </w:rPr>
      </w:pPr>
      <w:r>
        <w:rPr>
          <w:rFonts w:hint="eastAsia" w:cs="Times New Roman"/>
          <w:color w:val="000000" w:themeColor="text1"/>
          <w:sz w:val="30"/>
          <w:szCs w:val="30"/>
          <w14:textFill>
            <w14:solidFill>
              <w14:schemeClr w14:val="tx1"/>
            </w14:solidFill>
          </w14:textFill>
        </w:rPr>
        <w:t>通关测试日期：2025年</w:t>
      </w:r>
      <w:r>
        <w:rPr>
          <w:rFonts w:hint="eastAsia" w:cs="Times New Roman"/>
          <w:color w:val="000000" w:themeColor="text1"/>
          <w:sz w:val="30"/>
          <w:szCs w:val="30"/>
          <w:lang w:val="en-US" w:eastAsia="zh-CN"/>
          <w14:textFill>
            <w14:solidFill>
              <w14:schemeClr w14:val="tx1"/>
            </w14:solidFill>
          </w14:textFill>
        </w:rPr>
        <w:t>10</w:t>
      </w:r>
      <w:r>
        <w:rPr>
          <w:rFonts w:hint="eastAsia" w:cs="Times New Roman"/>
          <w:color w:val="000000" w:themeColor="text1"/>
          <w:sz w:val="30"/>
          <w:szCs w:val="30"/>
          <w14:textFill>
            <w14:solidFill>
              <w14:schemeClr w14:val="tx1"/>
            </w14:solidFill>
          </w14:textFill>
        </w:rPr>
        <w:t>月3日，</w:t>
      </w:r>
      <w:r>
        <w:rPr>
          <w:rFonts w:hint="eastAsia" w:cs="Times New Roman"/>
          <w:sz w:val="30"/>
          <w:szCs w:val="30"/>
        </w:rPr>
        <w:t>模拟一个完整交易日。</w:t>
      </w:r>
    </w:p>
    <w:tbl>
      <w:tblPr>
        <w:tblStyle w:val="37"/>
        <w:tblW w:w="8505" w:type="dxa"/>
        <w:jc w:val="center"/>
        <w:tblLayout w:type="fixed"/>
        <w:tblCellMar>
          <w:top w:w="0" w:type="dxa"/>
          <w:left w:w="108" w:type="dxa"/>
          <w:bottom w:w="0" w:type="dxa"/>
          <w:right w:w="108" w:type="dxa"/>
        </w:tblCellMar>
      </w:tblPr>
      <w:tblGrid>
        <w:gridCol w:w="1174"/>
        <w:gridCol w:w="1929"/>
        <w:gridCol w:w="937"/>
        <w:gridCol w:w="937"/>
        <w:gridCol w:w="1176"/>
        <w:gridCol w:w="1176"/>
        <w:gridCol w:w="1176"/>
      </w:tblGrid>
      <w:tr>
        <w:tblPrEx>
          <w:tblCellMar>
            <w:top w:w="0" w:type="dxa"/>
            <w:left w:w="108" w:type="dxa"/>
            <w:bottom w:w="0" w:type="dxa"/>
            <w:right w:w="108" w:type="dxa"/>
          </w:tblCellMar>
        </w:tblPrEx>
        <w:trPr>
          <w:trHeight w:val="345" w:hRule="atLeast"/>
          <w:jc w:val="center"/>
        </w:trPr>
        <w:tc>
          <w:tcPr>
            <w:tcW w:w="1174" w:type="dxa"/>
            <w:vMerge w:val="restart"/>
            <w:tcBorders>
              <w:top w:val="single" w:color="000000" w:sz="8" w:space="0"/>
              <w:left w:val="single" w:color="000000" w:sz="8" w:space="0"/>
              <w:bottom w:val="single" w:color="000000" w:sz="8" w:space="0"/>
              <w:right w:val="single" w:color="000000" w:sz="8" w:space="0"/>
            </w:tcBorders>
            <w:shd w:val="clear" w:color="auto" w:fill="D0CECE"/>
            <w:vAlign w:val="center"/>
          </w:tcPr>
          <w:p>
            <w:pPr>
              <w:pageBreakBefore w:val="0"/>
              <w:kinsoku/>
              <w:wordWrap/>
              <w:overflowPunct/>
              <w:topLinePunct w:val="0"/>
              <w:bidi w:val="0"/>
              <w:spacing w:line="560" w:lineRule="exact"/>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交易时段</w:t>
            </w:r>
          </w:p>
        </w:tc>
        <w:tc>
          <w:tcPr>
            <w:tcW w:w="1929" w:type="dxa"/>
            <w:vMerge w:val="restart"/>
            <w:tcBorders>
              <w:top w:val="single" w:color="000000" w:sz="8" w:space="0"/>
              <w:left w:val="nil"/>
              <w:bottom w:val="single" w:color="000000" w:sz="8" w:space="0"/>
              <w:right w:val="single" w:color="000000" w:sz="8" w:space="0"/>
            </w:tcBorders>
            <w:shd w:val="clear" w:color="auto" w:fill="D0CECE"/>
            <w:vAlign w:val="center"/>
          </w:tcPr>
          <w:p>
            <w:pPr>
              <w:pageBreakBefore w:val="0"/>
              <w:kinsoku/>
              <w:wordWrap/>
              <w:overflowPunct/>
              <w:topLinePunct w:val="0"/>
              <w:bidi w:val="0"/>
              <w:spacing w:line="560" w:lineRule="exact"/>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北交所连续竞价（</w:t>
            </w:r>
            <w:r>
              <w:rPr>
                <w:rStyle w:val="106"/>
                <w:color w:val="auto"/>
                <w:lang w:bidi="ar"/>
              </w:rPr>
              <w:t>含融资融券、北交所做市交易）</w:t>
            </w:r>
          </w:p>
        </w:tc>
        <w:tc>
          <w:tcPr>
            <w:tcW w:w="1874" w:type="dxa"/>
            <w:gridSpan w:val="2"/>
            <w:tcBorders>
              <w:top w:val="single" w:color="000000" w:sz="8" w:space="0"/>
              <w:left w:val="nil"/>
              <w:bottom w:val="single" w:color="000000" w:sz="8" w:space="0"/>
              <w:right w:val="single" w:color="000000" w:sz="8" w:space="0"/>
            </w:tcBorders>
            <w:shd w:val="clear" w:color="auto" w:fill="D0CECE"/>
            <w:vAlign w:val="center"/>
          </w:tcPr>
          <w:p>
            <w:pPr>
              <w:pageBreakBefore w:val="0"/>
              <w:kinsoku/>
              <w:wordWrap/>
              <w:overflowPunct/>
              <w:topLinePunct w:val="0"/>
              <w:bidi w:val="0"/>
              <w:spacing w:line="560" w:lineRule="exact"/>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公开发行</w:t>
            </w:r>
          </w:p>
        </w:tc>
        <w:tc>
          <w:tcPr>
            <w:tcW w:w="1176" w:type="dxa"/>
            <w:vMerge w:val="restart"/>
            <w:tcBorders>
              <w:top w:val="single" w:color="000000" w:sz="8" w:space="0"/>
              <w:left w:val="nil"/>
              <w:bottom w:val="single" w:color="000000" w:sz="8" w:space="0"/>
              <w:right w:val="single" w:color="000000" w:sz="8" w:space="0"/>
            </w:tcBorders>
            <w:shd w:val="clear" w:color="auto" w:fill="D0CECE"/>
            <w:vAlign w:val="center"/>
          </w:tcPr>
          <w:p>
            <w:pPr>
              <w:pageBreakBefore w:val="0"/>
              <w:kinsoku/>
              <w:wordWrap/>
              <w:overflowPunct/>
              <w:topLinePunct w:val="0"/>
              <w:bidi w:val="0"/>
              <w:spacing w:line="560" w:lineRule="exact"/>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要约</w:t>
            </w:r>
          </w:p>
        </w:tc>
        <w:tc>
          <w:tcPr>
            <w:tcW w:w="1176" w:type="dxa"/>
            <w:vMerge w:val="restart"/>
            <w:tcBorders>
              <w:top w:val="single" w:color="000000" w:sz="8" w:space="0"/>
              <w:left w:val="nil"/>
              <w:bottom w:val="single" w:color="000000" w:sz="8" w:space="0"/>
              <w:right w:val="single" w:color="000000" w:sz="8" w:space="0"/>
            </w:tcBorders>
            <w:shd w:val="clear" w:color="auto" w:fill="D0CECE"/>
            <w:vAlign w:val="center"/>
          </w:tcPr>
          <w:p>
            <w:pPr>
              <w:pageBreakBefore w:val="0"/>
              <w:kinsoku/>
              <w:wordWrap/>
              <w:overflowPunct/>
              <w:topLinePunct w:val="0"/>
              <w:bidi w:val="0"/>
              <w:spacing w:line="560" w:lineRule="exact"/>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优先股</w:t>
            </w:r>
          </w:p>
        </w:tc>
        <w:tc>
          <w:tcPr>
            <w:tcW w:w="1176" w:type="dxa"/>
            <w:vMerge w:val="restart"/>
            <w:tcBorders>
              <w:top w:val="single" w:color="000000" w:sz="8" w:space="0"/>
              <w:left w:val="nil"/>
              <w:bottom w:val="single" w:color="000000" w:sz="8" w:space="0"/>
              <w:right w:val="single" w:color="000000" w:sz="8" w:space="0"/>
            </w:tcBorders>
            <w:shd w:val="clear" w:color="auto" w:fill="D0CECE"/>
            <w:vAlign w:val="center"/>
          </w:tcPr>
          <w:p>
            <w:pPr>
              <w:pageBreakBefore w:val="0"/>
              <w:kinsoku/>
              <w:wordWrap/>
              <w:overflowPunct/>
              <w:topLinePunct w:val="0"/>
              <w:bidi w:val="0"/>
              <w:spacing w:line="560" w:lineRule="exact"/>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定向可转债</w:t>
            </w:r>
          </w:p>
        </w:tc>
      </w:tr>
      <w:tr>
        <w:tblPrEx>
          <w:tblCellMar>
            <w:top w:w="0" w:type="dxa"/>
            <w:left w:w="108" w:type="dxa"/>
            <w:bottom w:w="0" w:type="dxa"/>
            <w:right w:w="108" w:type="dxa"/>
          </w:tblCellMar>
        </w:tblPrEx>
        <w:trPr>
          <w:trHeight w:val="1200" w:hRule="atLeast"/>
          <w:jc w:val="center"/>
        </w:trPr>
        <w:tc>
          <w:tcPr>
            <w:tcW w:w="1174" w:type="dxa"/>
            <w:vMerge w:val="continue"/>
            <w:tcBorders>
              <w:top w:val="single" w:color="000000" w:sz="8" w:space="0"/>
              <w:left w:val="single" w:color="000000" w:sz="8" w:space="0"/>
              <w:bottom w:val="single" w:color="000000" w:sz="8" w:space="0"/>
              <w:right w:val="single" w:color="000000" w:sz="8" w:space="0"/>
            </w:tcBorders>
            <w:shd w:val="clear" w:color="auto" w:fill="D0CECE"/>
            <w:vAlign w:val="center"/>
          </w:tcPr>
          <w:p>
            <w:pPr>
              <w:pageBreakBefore w:val="0"/>
              <w:kinsoku/>
              <w:wordWrap/>
              <w:overflowPunct/>
              <w:topLinePunct w:val="0"/>
              <w:bidi w:val="0"/>
              <w:spacing w:line="560" w:lineRule="exact"/>
              <w:ind w:firstLine="482"/>
              <w:jc w:val="center"/>
              <w:rPr>
                <w:rFonts w:ascii="楷体" w:hAnsi="楷体" w:eastAsia="楷体" w:cs="楷体"/>
                <w:b/>
                <w:szCs w:val="24"/>
              </w:rPr>
            </w:pPr>
          </w:p>
        </w:tc>
        <w:tc>
          <w:tcPr>
            <w:tcW w:w="1929" w:type="dxa"/>
            <w:vMerge w:val="continue"/>
            <w:tcBorders>
              <w:top w:val="single" w:color="000000" w:sz="8" w:space="0"/>
              <w:left w:val="nil"/>
              <w:bottom w:val="single" w:color="000000" w:sz="8" w:space="0"/>
              <w:right w:val="single" w:color="000000" w:sz="8" w:space="0"/>
            </w:tcBorders>
            <w:shd w:val="clear" w:color="auto" w:fill="D0CECE"/>
            <w:vAlign w:val="center"/>
          </w:tcPr>
          <w:p>
            <w:pPr>
              <w:pageBreakBefore w:val="0"/>
              <w:kinsoku/>
              <w:wordWrap/>
              <w:overflowPunct/>
              <w:topLinePunct w:val="0"/>
              <w:bidi w:val="0"/>
              <w:spacing w:line="560" w:lineRule="exact"/>
              <w:ind w:firstLine="482"/>
              <w:jc w:val="center"/>
              <w:rPr>
                <w:rFonts w:ascii="楷体" w:hAnsi="楷体" w:eastAsia="楷体" w:cs="楷体"/>
                <w:b/>
                <w:szCs w:val="24"/>
              </w:rPr>
            </w:pPr>
          </w:p>
        </w:tc>
        <w:tc>
          <w:tcPr>
            <w:tcW w:w="937" w:type="dxa"/>
            <w:tcBorders>
              <w:top w:val="nil"/>
              <w:left w:val="nil"/>
              <w:bottom w:val="single" w:color="000000" w:sz="8" w:space="0"/>
              <w:right w:val="single" w:color="000000" w:sz="8" w:space="0"/>
            </w:tcBorders>
            <w:shd w:val="clear" w:color="auto" w:fill="D0CECE"/>
            <w:vAlign w:val="center"/>
          </w:tcPr>
          <w:p>
            <w:pPr>
              <w:pageBreakBefore w:val="0"/>
              <w:kinsoku/>
              <w:wordWrap/>
              <w:overflowPunct/>
              <w:topLinePunct w:val="0"/>
              <w:bidi w:val="0"/>
              <w:spacing w:line="560" w:lineRule="exact"/>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询价</w:t>
            </w:r>
          </w:p>
        </w:tc>
        <w:tc>
          <w:tcPr>
            <w:tcW w:w="937" w:type="dxa"/>
            <w:tcBorders>
              <w:top w:val="nil"/>
              <w:left w:val="nil"/>
              <w:bottom w:val="single" w:color="000000" w:sz="8" w:space="0"/>
              <w:right w:val="single" w:color="000000" w:sz="8" w:space="0"/>
            </w:tcBorders>
            <w:shd w:val="clear" w:color="auto" w:fill="D0CECE"/>
            <w:vAlign w:val="center"/>
          </w:tcPr>
          <w:p>
            <w:pPr>
              <w:pageBreakBefore w:val="0"/>
              <w:kinsoku/>
              <w:wordWrap/>
              <w:overflowPunct/>
              <w:topLinePunct w:val="0"/>
              <w:bidi w:val="0"/>
              <w:spacing w:line="560" w:lineRule="exact"/>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申购</w:t>
            </w:r>
          </w:p>
        </w:tc>
        <w:tc>
          <w:tcPr>
            <w:tcW w:w="1176" w:type="dxa"/>
            <w:vMerge w:val="continue"/>
            <w:tcBorders>
              <w:top w:val="single" w:color="000000" w:sz="8" w:space="0"/>
              <w:left w:val="nil"/>
              <w:bottom w:val="single" w:color="000000" w:sz="8" w:space="0"/>
              <w:right w:val="single" w:color="000000" w:sz="8" w:space="0"/>
            </w:tcBorders>
            <w:shd w:val="clear" w:color="auto" w:fill="D0CECE"/>
            <w:vAlign w:val="center"/>
          </w:tcPr>
          <w:p>
            <w:pPr>
              <w:pageBreakBefore w:val="0"/>
              <w:kinsoku/>
              <w:wordWrap/>
              <w:overflowPunct/>
              <w:topLinePunct w:val="0"/>
              <w:bidi w:val="0"/>
              <w:spacing w:line="560" w:lineRule="exact"/>
              <w:ind w:firstLine="482"/>
              <w:jc w:val="center"/>
              <w:rPr>
                <w:rFonts w:ascii="楷体" w:hAnsi="楷体" w:eastAsia="楷体" w:cs="楷体"/>
                <w:b/>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D0CECE"/>
            <w:vAlign w:val="center"/>
          </w:tcPr>
          <w:p>
            <w:pPr>
              <w:pageBreakBefore w:val="0"/>
              <w:kinsoku/>
              <w:wordWrap/>
              <w:overflowPunct/>
              <w:topLinePunct w:val="0"/>
              <w:bidi w:val="0"/>
              <w:spacing w:line="560" w:lineRule="exact"/>
              <w:ind w:firstLine="482"/>
              <w:jc w:val="center"/>
              <w:rPr>
                <w:rFonts w:ascii="楷体" w:hAnsi="楷体" w:eastAsia="楷体" w:cs="楷体"/>
                <w:b/>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D0CECE"/>
            <w:vAlign w:val="center"/>
          </w:tcPr>
          <w:p>
            <w:pPr>
              <w:pageBreakBefore w:val="0"/>
              <w:kinsoku/>
              <w:wordWrap/>
              <w:overflowPunct/>
              <w:topLinePunct w:val="0"/>
              <w:bidi w:val="0"/>
              <w:spacing w:line="560" w:lineRule="exact"/>
              <w:ind w:firstLine="482"/>
              <w:jc w:val="center"/>
              <w:rPr>
                <w:rFonts w:ascii="楷体" w:hAnsi="楷体" w:eastAsia="楷体" w:cs="楷体"/>
                <w:b/>
                <w:szCs w:val="24"/>
              </w:rPr>
            </w:pP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8:30</w:t>
            </w:r>
          </w:p>
        </w:tc>
        <w:tc>
          <w:tcPr>
            <w:tcW w:w="7331" w:type="dxa"/>
            <w:gridSpan w:val="6"/>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下发初始行情</w:t>
            </w: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9:15</w:t>
            </w:r>
          </w:p>
        </w:tc>
        <w:tc>
          <w:tcPr>
            <w:tcW w:w="1929" w:type="dxa"/>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申报收单</w:t>
            </w:r>
          </w:p>
        </w:tc>
        <w:tc>
          <w:tcPr>
            <w:tcW w:w="937" w:type="dxa"/>
            <w:vMerge w:val="restart"/>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询价申报</w:t>
            </w:r>
          </w:p>
        </w:tc>
        <w:tc>
          <w:tcPr>
            <w:tcW w:w="937" w:type="dxa"/>
            <w:vMerge w:val="restart"/>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申购申报</w:t>
            </w:r>
          </w:p>
        </w:tc>
        <w:tc>
          <w:tcPr>
            <w:tcW w:w="1176" w:type="dxa"/>
            <w:vMerge w:val="restart"/>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要约申报</w:t>
            </w:r>
          </w:p>
        </w:tc>
        <w:tc>
          <w:tcPr>
            <w:tcW w:w="1176" w:type="dxa"/>
            <w:vMerge w:val="restart"/>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申报收单</w:t>
            </w:r>
          </w:p>
        </w:tc>
        <w:tc>
          <w:tcPr>
            <w:tcW w:w="1176" w:type="dxa"/>
            <w:vMerge w:val="restart"/>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w:t>
            </w:r>
          </w:p>
        </w:tc>
      </w:tr>
      <w:tr>
        <w:tblPrEx>
          <w:tblCellMar>
            <w:top w:w="0" w:type="dxa"/>
            <w:left w:w="108" w:type="dxa"/>
            <w:bottom w:w="0" w:type="dxa"/>
            <w:right w:w="108" w:type="dxa"/>
          </w:tblCellMar>
        </w:tblPrEx>
        <w:trPr>
          <w:trHeight w:val="645"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9:25</w:t>
            </w:r>
          </w:p>
        </w:tc>
        <w:tc>
          <w:tcPr>
            <w:tcW w:w="1929" w:type="dxa"/>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开盘集合竞价</w:t>
            </w: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9:30</w:t>
            </w:r>
          </w:p>
        </w:tc>
        <w:tc>
          <w:tcPr>
            <w:tcW w:w="1929" w:type="dxa"/>
            <w:vMerge w:val="restart"/>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连续竞价</w:t>
            </w: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restart"/>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成交确认申报</w:t>
            </w:r>
            <w:r>
              <w:rPr>
                <w:rStyle w:val="107"/>
                <w:color w:val="auto"/>
                <w:lang w:bidi="ar"/>
              </w:rPr>
              <w:t>、定价申报、互报成交确认申报</w:t>
            </w:r>
          </w:p>
        </w:tc>
        <w:tc>
          <w:tcPr>
            <w:tcW w:w="1176" w:type="dxa"/>
            <w:vMerge w:val="restart"/>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互报成交确认申报、转股、回售</w:t>
            </w: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10:30</w:t>
            </w:r>
          </w:p>
        </w:tc>
        <w:tc>
          <w:tcPr>
            <w:tcW w:w="1929" w:type="dxa"/>
            <w:vMerge w:val="continue"/>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11:30</w:t>
            </w:r>
          </w:p>
        </w:tc>
        <w:tc>
          <w:tcPr>
            <w:tcW w:w="1929" w:type="dxa"/>
            <w:vMerge w:val="continue"/>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11:30</w:t>
            </w:r>
          </w:p>
        </w:tc>
        <w:tc>
          <w:tcPr>
            <w:tcW w:w="7331" w:type="dxa"/>
            <w:gridSpan w:val="6"/>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中午休市</w:t>
            </w: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13:00</w:t>
            </w:r>
          </w:p>
        </w:tc>
        <w:tc>
          <w:tcPr>
            <w:tcW w:w="7331" w:type="dxa"/>
            <w:gridSpan w:val="6"/>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下午开市</w:t>
            </w: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13:00</w:t>
            </w:r>
          </w:p>
        </w:tc>
        <w:tc>
          <w:tcPr>
            <w:tcW w:w="1929" w:type="dxa"/>
            <w:vMerge w:val="restart"/>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连续竞价</w:t>
            </w:r>
          </w:p>
        </w:tc>
        <w:tc>
          <w:tcPr>
            <w:tcW w:w="937" w:type="dxa"/>
            <w:vMerge w:val="restart"/>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询价申报</w:t>
            </w:r>
          </w:p>
        </w:tc>
        <w:tc>
          <w:tcPr>
            <w:tcW w:w="937" w:type="dxa"/>
            <w:vMerge w:val="restart"/>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申购申报</w:t>
            </w:r>
          </w:p>
        </w:tc>
        <w:tc>
          <w:tcPr>
            <w:tcW w:w="1176" w:type="dxa"/>
            <w:vMerge w:val="restart"/>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要约申报</w:t>
            </w:r>
          </w:p>
        </w:tc>
        <w:tc>
          <w:tcPr>
            <w:tcW w:w="1176" w:type="dxa"/>
            <w:vMerge w:val="restart"/>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成交确认申报、定价申报、互报成交确认申报</w:t>
            </w:r>
          </w:p>
        </w:tc>
        <w:tc>
          <w:tcPr>
            <w:tcW w:w="1176" w:type="dxa"/>
            <w:vMerge w:val="restart"/>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互报成交确认申报、转股、回售</w:t>
            </w: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14:00</w:t>
            </w:r>
          </w:p>
        </w:tc>
        <w:tc>
          <w:tcPr>
            <w:tcW w:w="1929" w:type="dxa"/>
            <w:vMerge w:val="continue"/>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14:57</w:t>
            </w:r>
          </w:p>
        </w:tc>
        <w:tc>
          <w:tcPr>
            <w:tcW w:w="1929" w:type="dxa"/>
            <w:vMerge w:val="continue"/>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r>
      <w:tr>
        <w:tblPrEx>
          <w:tblCellMar>
            <w:top w:w="0" w:type="dxa"/>
            <w:left w:w="108" w:type="dxa"/>
            <w:bottom w:w="0" w:type="dxa"/>
            <w:right w:w="108" w:type="dxa"/>
          </w:tblCellMar>
        </w:tblPrEx>
        <w:trPr>
          <w:trHeight w:val="645"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15:00</w:t>
            </w:r>
          </w:p>
        </w:tc>
        <w:tc>
          <w:tcPr>
            <w:tcW w:w="1929" w:type="dxa"/>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收盘集合竞价</w:t>
            </w: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480"/>
              <w:jc w:val="center"/>
              <w:rPr>
                <w:rFonts w:ascii="仿宋" w:hAnsi="仿宋" w:cs="仿宋"/>
                <w:szCs w:val="24"/>
              </w:rPr>
            </w:pPr>
          </w:p>
        </w:tc>
      </w:tr>
      <w:tr>
        <w:tblPrEx>
          <w:tblCellMar>
            <w:top w:w="0" w:type="dxa"/>
            <w:left w:w="108" w:type="dxa"/>
            <w:bottom w:w="0" w:type="dxa"/>
            <w:right w:w="108" w:type="dxa"/>
          </w:tblCellMar>
        </w:tblPrEx>
        <w:trPr>
          <w:trHeight w:val="645"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15:00-15:30</w:t>
            </w:r>
          </w:p>
        </w:tc>
        <w:tc>
          <w:tcPr>
            <w:tcW w:w="1929" w:type="dxa"/>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大宗交易</w:t>
            </w:r>
          </w:p>
        </w:tc>
        <w:tc>
          <w:tcPr>
            <w:tcW w:w="1874" w:type="dxa"/>
            <w:gridSpan w:val="2"/>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w:t>
            </w:r>
          </w:p>
        </w:tc>
        <w:tc>
          <w:tcPr>
            <w:tcW w:w="1176" w:type="dxa"/>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w:t>
            </w:r>
          </w:p>
        </w:tc>
        <w:tc>
          <w:tcPr>
            <w:tcW w:w="1176" w:type="dxa"/>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w:t>
            </w:r>
          </w:p>
        </w:tc>
        <w:tc>
          <w:tcPr>
            <w:tcW w:w="1176" w:type="dxa"/>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w:t>
            </w: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both"/>
              <w:textAlignment w:val="center"/>
              <w:rPr>
                <w:rFonts w:eastAsia="宋体" w:cs="Times New Roman"/>
                <w:szCs w:val="24"/>
              </w:rPr>
            </w:pPr>
            <w:r>
              <w:rPr>
                <w:rFonts w:eastAsia="宋体" w:cs="Times New Roman"/>
                <w:kern w:val="0"/>
                <w:szCs w:val="24"/>
                <w:lang w:bidi="ar"/>
              </w:rPr>
              <w:t>15:30</w:t>
            </w:r>
          </w:p>
        </w:tc>
        <w:tc>
          <w:tcPr>
            <w:tcW w:w="7331" w:type="dxa"/>
            <w:gridSpan w:val="6"/>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bidi w:val="0"/>
              <w:spacing w:line="560" w:lineRule="exact"/>
              <w:ind w:firstLine="0" w:firstLineChars="0"/>
              <w:jc w:val="center"/>
              <w:textAlignment w:val="center"/>
              <w:rPr>
                <w:rFonts w:ascii="仿宋" w:hAnsi="仿宋" w:cs="仿宋"/>
                <w:szCs w:val="24"/>
              </w:rPr>
            </w:pPr>
            <w:r>
              <w:rPr>
                <w:rFonts w:ascii="仿宋" w:hAnsi="仿宋" w:cs="仿宋"/>
                <w:kern w:val="0"/>
                <w:szCs w:val="24"/>
                <w:lang w:bidi="ar"/>
              </w:rPr>
              <w:t>闭市</w:t>
            </w:r>
          </w:p>
        </w:tc>
      </w:tr>
    </w:tbl>
    <w:p>
      <w:pPr>
        <w:pStyle w:val="2"/>
        <w:pageBreakBefore w:val="0"/>
        <w:kinsoku/>
        <w:wordWrap/>
        <w:overflowPunct/>
        <w:topLinePunct w:val="0"/>
        <w:bidi w:val="0"/>
        <w:spacing w:line="560" w:lineRule="exact"/>
        <w:ind w:firstLine="720"/>
      </w:pPr>
    </w:p>
    <w:p>
      <w:pPr>
        <w:pageBreakBefore w:val="0"/>
        <w:kinsoku/>
        <w:wordWrap/>
        <w:overflowPunct/>
        <w:topLinePunct w:val="0"/>
        <w:bidi w:val="0"/>
        <w:spacing w:line="560" w:lineRule="exact"/>
        <w:ind w:firstLine="600"/>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代码切换测试流程安排参考</w:t>
      </w:r>
      <w:r>
        <w:rPr>
          <w:rFonts w:hint="eastAsia" w:cs="Times New Roman"/>
          <w:sz w:val="30"/>
          <w:szCs w:val="30"/>
        </w:rPr>
        <w:t>《北京证券交易所存量上市公司证券代码批量切换实施市场指南》</w:t>
      </w:r>
      <w:r>
        <w:rPr>
          <w:rFonts w:hint="eastAsia" w:cs="Times New Roman"/>
          <w:color w:val="000000" w:themeColor="text1"/>
          <w:sz w:val="30"/>
          <w:szCs w:val="30"/>
          <w14:textFill>
            <w14:solidFill>
              <w14:schemeClr w14:val="tx1"/>
            </w14:solidFill>
          </w14:textFill>
        </w:rPr>
        <w:t>（以下简称《实施指南》）。</w:t>
      </w:r>
    </w:p>
    <w:p>
      <w:pPr>
        <w:pStyle w:val="2"/>
        <w:pageBreakBefore w:val="0"/>
        <w:kinsoku/>
        <w:wordWrap/>
        <w:overflowPunct/>
        <w:topLinePunct w:val="0"/>
        <w:bidi w:val="0"/>
        <w:spacing w:line="560" w:lineRule="exact"/>
        <w:ind w:firstLine="720"/>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3043"/>
        <w:gridCol w:w="2700"/>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shd w:val="clear" w:color="auto" w:fill="CFCECE" w:themeFill="background2" w:themeFillShade="E5"/>
          </w:tcPr>
          <w:p>
            <w:pPr>
              <w:pStyle w:val="2"/>
              <w:pageBreakBefore w:val="0"/>
              <w:kinsoku/>
              <w:wordWrap/>
              <w:overflowPunct/>
              <w:topLinePunct w:val="0"/>
              <w:bidi w:val="0"/>
              <w:spacing w:line="560" w:lineRule="exact"/>
              <w:ind w:firstLine="0" w:firstLineChars="0"/>
              <w:jc w:val="center"/>
              <w:rPr>
                <w:rStyle w:val="106"/>
                <w:color w:val="auto"/>
                <w:lang w:bidi="ar"/>
              </w:rPr>
            </w:pPr>
            <w:r>
              <w:rPr>
                <w:rStyle w:val="106"/>
                <w:rFonts w:hint="eastAsia"/>
                <w:color w:val="auto"/>
                <w:lang w:bidi="ar"/>
              </w:rPr>
              <w:t>日期</w:t>
            </w:r>
          </w:p>
        </w:tc>
        <w:tc>
          <w:tcPr>
            <w:tcW w:w="3043" w:type="dxa"/>
            <w:shd w:val="clear" w:color="auto" w:fill="CFCECE" w:themeFill="background2" w:themeFillShade="E5"/>
          </w:tcPr>
          <w:p>
            <w:pPr>
              <w:pStyle w:val="2"/>
              <w:pageBreakBefore w:val="0"/>
              <w:kinsoku/>
              <w:wordWrap/>
              <w:overflowPunct/>
              <w:topLinePunct w:val="0"/>
              <w:bidi w:val="0"/>
              <w:spacing w:line="560" w:lineRule="exact"/>
              <w:ind w:firstLine="0" w:firstLineChars="0"/>
              <w:jc w:val="center"/>
              <w:rPr>
                <w:rStyle w:val="106"/>
                <w:color w:val="auto"/>
                <w:lang w:bidi="ar"/>
              </w:rPr>
            </w:pPr>
            <w:r>
              <w:rPr>
                <w:rStyle w:val="106"/>
                <w:rFonts w:hint="eastAsia"/>
                <w:color w:val="auto"/>
                <w:lang w:bidi="ar"/>
              </w:rPr>
              <w:t>实施内容</w:t>
            </w:r>
          </w:p>
        </w:tc>
        <w:tc>
          <w:tcPr>
            <w:tcW w:w="2700" w:type="dxa"/>
            <w:shd w:val="clear" w:color="auto" w:fill="CFCECE" w:themeFill="background2" w:themeFillShade="E5"/>
          </w:tcPr>
          <w:p>
            <w:pPr>
              <w:pStyle w:val="2"/>
              <w:pageBreakBefore w:val="0"/>
              <w:kinsoku/>
              <w:wordWrap/>
              <w:overflowPunct/>
              <w:topLinePunct w:val="0"/>
              <w:bidi w:val="0"/>
              <w:spacing w:line="560" w:lineRule="exact"/>
              <w:ind w:firstLine="0" w:firstLineChars="0"/>
              <w:jc w:val="center"/>
              <w:rPr>
                <w:rStyle w:val="106"/>
                <w:color w:val="auto"/>
                <w:lang w:bidi="ar"/>
              </w:rPr>
            </w:pPr>
            <w:r>
              <w:rPr>
                <w:rStyle w:val="106"/>
                <w:rFonts w:hint="eastAsia"/>
                <w:color w:val="auto"/>
                <w:lang w:bidi="ar"/>
              </w:rPr>
              <w:t>报告反馈</w:t>
            </w:r>
          </w:p>
        </w:tc>
        <w:tc>
          <w:tcPr>
            <w:tcW w:w="1724" w:type="dxa"/>
            <w:shd w:val="clear" w:color="auto" w:fill="CFCECE" w:themeFill="background2" w:themeFillShade="E5"/>
          </w:tcPr>
          <w:p>
            <w:pPr>
              <w:pStyle w:val="2"/>
              <w:pageBreakBefore w:val="0"/>
              <w:kinsoku/>
              <w:wordWrap/>
              <w:overflowPunct/>
              <w:topLinePunct w:val="0"/>
              <w:bidi w:val="0"/>
              <w:spacing w:line="560" w:lineRule="exact"/>
              <w:ind w:firstLine="0" w:firstLineChars="0"/>
              <w:jc w:val="center"/>
              <w:rPr>
                <w:rStyle w:val="106"/>
                <w:color w:val="auto"/>
                <w:lang w:bidi="ar"/>
              </w:rPr>
            </w:pPr>
            <w:r>
              <w:rPr>
                <w:rStyle w:val="106"/>
                <w:rFonts w:hint="eastAsia"/>
                <w:color w:val="auto"/>
                <w:lang w:bidi="ar"/>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2"/>
              <w:pageBreakBefore w:val="0"/>
              <w:kinsoku/>
              <w:wordWrap/>
              <w:overflowPunct/>
              <w:topLinePunct w:val="0"/>
              <w:bidi w:val="0"/>
              <w:spacing w:line="560" w:lineRule="exact"/>
              <w:ind w:firstLine="0" w:firstLineChars="0"/>
              <w:jc w:val="center"/>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lang w:val="en-US" w:eastAsia="zh-CN"/>
                <w14:textFill>
                  <w14:solidFill>
                    <w14:schemeClr w14:val="tx1"/>
                  </w14:solidFill>
                </w14:textFill>
              </w:rPr>
              <w:t>9</w:t>
            </w:r>
            <w:r>
              <w:rPr>
                <w:rFonts w:hint="eastAsia" w:ascii="Times New Roman" w:hAnsi="Times New Roman" w:eastAsia="仿宋"/>
                <w:color w:val="000000" w:themeColor="text1"/>
                <w:sz w:val="24"/>
                <w:szCs w:val="24"/>
                <w14:textFill>
                  <w14:solidFill>
                    <w14:schemeClr w14:val="tx1"/>
                  </w14:solidFill>
                </w14:textFill>
              </w:rPr>
              <w:t>月30日</w:t>
            </w:r>
          </w:p>
        </w:tc>
        <w:tc>
          <w:tcPr>
            <w:tcW w:w="3043" w:type="dxa"/>
            <w:vAlign w:val="center"/>
          </w:tcPr>
          <w:p>
            <w:pPr>
              <w:pStyle w:val="2"/>
              <w:pageBreakBefore w:val="0"/>
              <w:kinsoku/>
              <w:wordWrap/>
              <w:overflowPunct/>
              <w:topLinePunct w:val="0"/>
              <w:bidi w:val="0"/>
              <w:spacing w:line="560" w:lineRule="exact"/>
              <w:ind w:firstLine="0" w:firstLineChars="0"/>
              <w:jc w:val="lef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各机构使用</w:t>
            </w:r>
            <w:r>
              <w:rPr>
                <w:rFonts w:hint="eastAsia" w:ascii="仿宋" w:hAnsi="仿宋" w:eastAsia="仿宋" w:cs="仿宋"/>
                <w:color w:val="auto"/>
                <w:kern w:val="0"/>
                <w:sz w:val="24"/>
                <w:szCs w:val="24"/>
                <w:lang w:eastAsia="zh-CN" w:bidi="ar"/>
              </w:rPr>
              <w:t>原</w:t>
            </w:r>
            <w:r>
              <w:rPr>
                <w:rFonts w:hint="eastAsia" w:ascii="仿宋" w:hAnsi="仿宋" w:eastAsia="仿宋" w:cs="仿宋"/>
                <w:color w:val="auto"/>
                <w:kern w:val="0"/>
                <w:sz w:val="24"/>
                <w:szCs w:val="24"/>
                <w:lang w:bidi="ar"/>
              </w:rPr>
              <w:t>代码完成日终处理</w:t>
            </w:r>
          </w:p>
        </w:tc>
        <w:tc>
          <w:tcPr>
            <w:tcW w:w="2700" w:type="dxa"/>
            <w:vAlign w:val="center"/>
          </w:tcPr>
          <w:p>
            <w:pPr>
              <w:pStyle w:val="2"/>
              <w:pageBreakBefore w:val="0"/>
              <w:kinsoku/>
              <w:wordWrap/>
              <w:overflowPunct/>
              <w:topLinePunct w:val="0"/>
              <w:bidi w:val="0"/>
              <w:spacing w:line="560" w:lineRule="exact"/>
              <w:ind w:firstLine="0" w:firstLineChars="0"/>
              <w:jc w:val="lef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w:t>
            </w:r>
          </w:p>
        </w:tc>
        <w:tc>
          <w:tcPr>
            <w:tcW w:w="1724" w:type="dxa"/>
            <w:vAlign w:val="center"/>
          </w:tcPr>
          <w:p>
            <w:pPr>
              <w:pStyle w:val="2"/>
              <w:pageBreakBefore w:val="0"/>
              <w:kinsoku/>
              <w:wordWrap/>
              <w:overflowPunct/>
              <w:topLinePunct w:val="0"/>
              <w:bidi w:val="0"/>
              <w:spacing w:line="560" w:lineRule="exact"/>
              <w:ind w:firstLine="0" w:firstLineChars="0"/>
              <w:jc w:val="center"/>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当日24：00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2"/>
              <w:pageBreakBefore w:val="0"/>
              <w:kinsoku/>
              <w:wordWrap/>
              <w:overflowPunct/>
              <w:topLinePunct w:val="0"/>
              <w:bidi w:val="0"/>
              <w:spacing w:line="560" w:lineRule="exact"/>
              <w:ind w:firstLine="0" w:firstLineChars="0"/>
              <w:jc w:val="center"/>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lang w:val="en-US" w:eastAsia="zh-CN"/>
                <w14:textFill>
                  <w14:solidFill>
                    <w14:schemeClr w14:val="tx1"/>
                  </w14:solidFill>
                </w14:textFill>
              </w:rPr>
              <w:t>10</w:t>
            </w:r>
            <w:r>
              <w:rPr>
                <w:rFonts w:hint="eastAsia" w:ascii="Times New Roman" w:hAnsi="Times New Roman" w:eastAsia="仿宋"/>
                <w:color w:val="000000" w:themeColor="text1"/>
                <w:sz w:val="24"/>
                <w:szCs w:val="24"/>
                <w14:textFill>
                  <w14:solidFill>
                    <w14:schemeClr w14:val="tx1"/>
                  </w14:solidFill>
                </w14:textFill>
              </w:rPr>
              <w:t>月1日</w:t>
            </w:r>
          </w:p>
        </w:tc>
        <w:tc>
          <w:tcPr>
            <w:tcW w:w="3043" w:type="dxa"/>
            <w:vAlign w:val="center"/>
          </w:tcPr>
          <w:p>
            <w:pPr>
              <w:pStyle w:val="2"/>
              <w:pageBreakBefore w:val="0"/>
              <w:kinsoku/>
              <w:wordWrap/>
              <w:overflowPunct/>
              <w:topLinePunct w:val="0"/>
              <w:bidi w:val="0"/>
              <w:spacing w:line="560" w:lineRule="exact"/>
              <w:ind w:firstLine="0" w:firstLineChars="0"/>
              <w:jc w:val="lef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各机构各自完成代码切换</w:t>
            </w:r>
          </w:p>
        </w:tc>
        <w:tc>
          <w:tcPr>
            <w:tcW w:w="2700" w:type="dxa"/>
            <w:vMerge w:val="restart"/>
            <w:vAlign w:val="center"/>
          </w:tcPr>
          <w:p>
            <w:pPr>
              <w:pageBreakBefore w:val="0"/>
              <w:kinsoku/>
              <w:wordWrap/>
              <w:overflowPunct/>
              <w:topLinePunct w:val="0"/>
              <w:bidi w:val="0"/>
              <w:spacing w:line="560" w:lineRule="exact"/>
              <w:ind w:left="0" w:leftChars="0" w:firstLine="0" w:firstLineChars="0"/>
              <w:jc w:val="left"/>
            </w:pPr>
            <w:r>
              <w:rPr>
                <w:rFonts w:hint="eastAsia" w:ascii="仿宋" w:hAnsi="仿宋" w:eastAsia="仿宋" w:cs="仿宋"/>
                <w:color w:val="auto"/>
                <w:kern w:val="0"/>
                <w:sz w:val="24"/>
                <w:szCs w:val="24"/>
                <w:lang w:val="en-US" w:eastAsia="zh-CN" w:bidi="ar"/>
              </w:rPr>
              <w:t>各机构将技术系统</w:t>
            </w:r>
            <w:r>
              <w:rPr>
                <w:rFonts w:hint="eastAsia" w:ascii="仿宋" w:hAnsi="仿宋" w:cs="仿宋"/>
                <w:color w:val="auto"/>
                <w:kern w:val="0"/>
                <w:sz w:val="24"/>
                <w:szCs w:val="24"/>
                <w:lang w:val="en-US" w:eastAsia="zh-CN" w:bidi="ar"/>
              </w:rPr>
              <w:t>切换</w:t>
            </w:r>
            <w:r>
              <w:rPr>
                <w:rFonts w:hint="eastAsia" w:ascii="仿宋" w:hAnsi="仿宋" w:eastAsia="仿宋" w:cs="仿宋"/>
                <w:color w:val="auto"/>
                <w:kern w:val="0"/>
                <w:sz w:val="24"/>
                <w:szCs w:val="24"/>
                <w:lang w:val="en-US" w:eastAsia="zh-CN" w:bidi="ar"/>
              </w:rPr>
              <w:t>情况</w:t>
            </w:r>
            <w:r>
              <w:rPr>
                <w:rFonts w:hint="eastAsia" w:ascii="仿宋" w:hAnsi="仿宋" w:cs="仿宋"/>
                <w:color w:val="auto"/>
                <w:kern w:val="0"/>
                <w:sz w:val="24"/>
                <w:szCs w:val="24"/>
                <w:lang w:val="en-US" w:eastAsia="zh-CN" w:bidi="ar"/>
              </w:rPr>
              <w:t>和</w:t>
            </w:r>
            <w:r>
              <w:rPr>
                <w:rFonts w:hint="eastAsia" w:ascii="仿宋" w:hAnsi="仿宋" w:eastAsia="仿宋" w:cs="仿宋"/>
                <w:color w:val="auto"/>
                <w:kern w:val="0"/>
                <w:sz w:val="24"/>
                <w:szCs w:val="24"/>
                <w:lang w:bidi="ar"/>
              </w:rPr>
              <w:t>数据核对完成情况进行上报</w:t>
            </w:r>
          </w:p>
        </w:tc>
        <w:tc>
          <w:tcPr>
            <w:tcW w:w="1724" w:type="dxa"/>
            <w:vAlign w:val="center"/>
          </w:tcPr>
          <w:p>
            <w:pPr>
              <w:pStyle w:val="2"/>
              <w:pageBreakBefore w:val="0"/>
              <w:kinsoku/>
              <w:wordWrap/>
              <w:overflowPunct/>
              <w:topLinePunct w:val="0"/>
              <w:bidi w:val="0"/>
              <w:spacing w:line="560" w:lineRule="exact"/>
              <w:ind w:firstLine="0" w:firstLineChars="0"/>
              <w:jc w:val="center"/>
              <w:rPr>
                <w:rFonts w:hint="eastAsia" w:ascii="Times New Roman" w:hAnsi="Times New Roman" w:eastAsia="仿宋"/>
                <w:color w:val="000000" w:themeColor="text1"/>
                <w:sz w:val="24"/>
                <w:szCs w:val="24"/>
                <w:lang w:val="en-US" w:eastAsia="zh-CN"/>
                <w14:textFill>
                  <w14:solidFill>
                    <w14:schemeClr w14:val="tx1"/>
                  </w14:solidFill>
                </w14:textFill>
              </w:rPr>
            </w:pPr>
            <w:r>
              <w:rPr>
                <w:rFonts w:hint="eastAsia" w:ascii="仿宋" w:hAnsi="仿宋" w:eastAsia="仿宋" w:cs="仿宋"/>
                <w:color w:val="auto"/>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53" w:type="dxa"/>
            <w:vAlign w:val="center"/>
          </w:tcPr>
          <w:p>
            <w:pPr>
              <w:pStyle w:val="2"/>
              <w:pageBreakBefore w:val="0"/>
              <w:kinsoku/>
              <w:wordWrap/>
              <w:overflowPunct/>
              <w:topLinePunct w:val="0"/>
              <w:bidi w:val="0"/>
              <w:spacing w:line="560" w:lineRule="exact"/>
              <w:ind w:firstLine="0" w:firstLineChars="0"/>
              <w:jc w:val="center"/>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lang w:val="en-US" w:eastAsia="zh-CN"/>
                <w14:textFill>
                  <w14:solidFill>
                    <w14:schemeClr w14:val="tx1"/>
                  </w14:solidFill>
                </w14:textFill>
              </w:rPr>
              <w:t>10</w:t>
            </w:r>
            <w:r>
              <w:rPr>
                <w:rFonts w:hint="eastAsia" w:ascii="Times New Roman" w:hAnsi="Times New Roman" w:eastAsia="仿宋"/>
                <w:color w:val="000000" w:themeColor="text1"/>
                <w:sz w:val="24"/>
                <w:szCs w:val="24"/>
                <w14:textFill>
                  <w14:solidFill>
                    <w14:schemeClr w14:val="tx1"/>
                  </w14:solidFill>
                </w14:textFill>
              </w:rPr>
              <w:t>月2日</w:t>
            </w:r>
          </w:p>
        </w:tc>
        <w:tc>
          <w:tcPr>
            <w:tcW w:w="3043" w:type="dxa"/>
            <w:vAlign w:val="center"/>
          </w:tcPr>
          <w:p>
            <w:pPr>
              <w:pStyle w:val="2"/>
              <w:pageBreakBefore w:val="0"/>
              <w:kinsoku/>
              <w:wordWrap/>
              <w:overflowPunct/>
              <w:topLinePunct w:val="0"/>
              <w:bidi w:val="0"/>
              <w:spacing w:line="560" w:lineRule="exact"/>
              <w:ind w:firstLine="0" w:firstLineChars="0"/>
              <w:jc w:val="lef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各机构根据各自制定的数据核对方案进行数据核对</w:t>
            </w:r>
          </w:p>
        </w:tc>
        <w:tc>
          <w:tcPr>
            <w:tcW w:w="2700" w:type="dxa"/>
            <w:vMerge w:val="continue"/>
            <w:vAlign w:val="center"/>
          </w:tcPr>
          <w:p>
            <w:pPr>
              <w:pStyle w:val="2"/>
              <w:pageBreakBefore w:val="0"/>
              <w:kinsoku/>
              <w:wordWrap/>
              <w:overflowPunct/>
              <w:topLinePunct w:val="0"/>
              <w:bidi w:val="0"/>
              <w:spacing w:line="560" w:lineRule="exact"/>
              <w:ind w:firstLine="0" w:firstLineChars="0"/>
              <w:jc w:val="left"/>
              <w:rPr>
                <w:rFonts w:ascii="仿宋" w:hAnsi="仿宋" w:eastAsia="仿宋" w:cs="仿宋"/>
                <w:color w:val="auto"/>
                <w:kern w:val="0"/>
                <w:sz w:val="24"/>
                <w:szCs w:val="24"/>
                <w:lang w:bidi="ar"/>
              </w:rPr>
            </w:pPr>
          </w:p>
        </w:tc>
        <w:tc>
          <w:tcPr>
            <w:tcW w:w="1724" w:type="dxa"/>
            <w:vAlign w:val="center"/>
          </w:tcPr>
          <w:p>
            <w:pPr>
              <w:pStyle w:val="2"/>
              <w:pageBreakBefore w:val="0"/>
              <w:kinsoku/>
              <w:wordWrap/>
              <w:overflowPunct/>
              <w:topLinePunct w:val="0"/>
              <w:bidi w:val="0"/>
              <w:spacing w:line="560" w:lineRule="exact"/>
              <w:ind w:firstLine="0" w:firstLineChars="0"/>
              <w:jc w:val="center"/>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当日21：00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Merge w:val="restart"/>
            <w:vAlign w:val="center"/>
          </w:tcPr>
          <w:p>
            <w:pPr>
              <w:pStyle w:val="2"/>
              <w:pageBreakBefore w:val="0"/>
              <w:kinsoku/>
              <w:wordWrap/>
              <w:overflowPunct/>
              <w:topLinePunct w:val="0"/>
              <w:bidi w:val="0"/>
              <w:spacing w:line="560" w:lineRule="exact"/>
              <w:ind w:firstLine="0" w:firstLineChars="0"/>
              <w:jc w:val="center"/>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lang w:val="en-US" w:eastAsia="zh-CN"/>
                <w14:textFill>
                  <w14:solidFill>
                    <w14:schemeClr w14:val="tx1"/>
                  </w14:solidFill>
                </w14:textFill>
              </w:rPr>
              <w:t>10</w:t>
            </w:r>
            <w:r>
              <w:rPr>
                <w:rFonts w:hint="eastAsia" w:ascii="Times New Roman" w:hAnsi="Times New Roman" w:eastAsia="仿宋"/>
                <w:color w:val="000000" w:themeColor="text1"/>
                <w:sz w:val="24"/>
                <w:szCs w:val="24"/>
                <w14:textFill>
                  <w14:solidFill>
                    <w14:schemeClr w14:val="tx1"/>
                  </w14:solidFill>
                </w14:textFill>
              </w:rPr>
              <w:t>月3日</w:t>
            </w:r>
          </w:p>
        </w:tc>
        <w:tc>
          <w:tcPr>
            <w:tcW w:w="3043" w:type="dxa"/>
            <w:vAlign w:val="center"/>
          </w:tcPr>
          <w:p>
            <w:pPr>
              <w:pStyle w:val="2"/>
              <w:pageBreakBefore w:val="0"/>
              <w:kinsoku/>
              <w:wordWrap/>
              <w:overflowPunct/>
              <w:topLinePunct w:val="0"/>
              <w:bidi w:val="0"/>
              <w:spacing w:line="560" w:lineRule="exact"/>
              <w:ind w:firstLine="0" w:firstLineChars="0"/>
              <w:jc w:val="lef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通关测试</w:t>
            </w:r>
          </w:p>
        </w:tc>
        <w:tc>
          <w:tcPr>
            <w:tcW w:w="2700" w:type="dxa"/>
            <w:vAlign w:val="center"/>
          </w:tcPr>
          <w:p>
            <w:pPr>
              <w:pStyle w:val="2"/>
              <w:pageBreakBefore w:val="0"/>
              <w:kinsoku/>
              <w:wordWrap/>
              <w:overflowPunct/>
              <w:topLinePunct w:val="0"/>
              <w:bidi w:val="0"/>
              <w:spacing w:line="560" w:lineRule="exact"/>
              <w:ind w:firstLine="0" w:firstLineChars="0"/>
              <w:jc w:val="lef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反馈通关测试报告</w:t>
            </w:r>
          </w:p>
        </w:tc>
        <w:tc>
          <w:tcPr>
            <w:tcW w:w="1724" w:type="dxa"/>
            <w:vAlign w:val="center"/>
          </w:tcPr>
          <w:p>
            <w:pPr>
              <w:pStyle w:val="2"/>
              <w:pageBreakBefore w:val="0"/>
              <w:kinsoku/>
              <w:wordWrap/>
              <w:overflowPunct/>
              <w:topLinePunct w:val="0"/>
              <w:bidi w:val="0"/>
              <w:spacing w:line="560" w:lineRule="exact"/>
              <w:ind w:firstLine="0" w:firstLineChars="0"/>
              <w:jc w:val="center"/>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当日19：30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Merge w:val="continue"/>
          </w:tcPr>
          <w:p>
            <w:pPr>
              <w:pStyle w:val="2"/>
              <w:pageBreakBefore w:val="0"/>
              <w:kinsoku/>
              <w:wordWrap/>
              <w:overflowPunct/>
              <w:topLinePunct w:val="0"/>
              <w:bidi w:val="0"/>
              <w:spacing w:line="560" w:lineRule="exact"/>
              <w:ind w:firstLine="0" w:firstLineChars="0"/>
              <w:rPr>
                <w:rFonts w:ascii="Times New Roman" w:hAnsi="Times New Roman" w:eastAsia="仿宋"/>
                <w:color w:val="000000" w:themeColor="text1"/>
                <w:sz w:val="24"/>
                <w:szCs w:val="24"/>
                <w14:textFill>
                  <w14:solidFill>
                    <w14:schemeClr w14:val="tx1"/>
                  </w14:solidFill>
                </w14:textFill>
              </w:rPr>
            </w:pPr>
          </w:p>
        </w:tc>
        <w:tc>
          <w:tcPr>
            <w:tcW w:w="3043" w:type="dxa"/>
            <w:vAlign w:val="center"/>
          </w:tcPr>
          <w:p>
            <w:pPr>
              <w:pStyle w:val="2"/>
              <w:pageBreakBefore w:val="0"/>
              <w:kinsoku/>
              <w:wordWrap/>
              <w:overflowPunct/>
              <w:topLinePunct w:val="0"/>
              <w:bidi w:val="0"/>
              <w:spacing w:line="560" w:lineRule="exact"/>
              <w:ind w:firstLine="0" w:firstLineChars="0"/>
              <w:jc w:val="lef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通关决策后各机构进行系统恢复</w:t>
            </w:r>
          </w:p>
        </w:tc>
        <w:tc>
          <w:tcPr>
            <w:tcW w:w="2700" w:type="dxa"/>
            <w:vAlign w:val="center"/>
          </w:tcPr>
          <w:p>
            <w:pPr>
              <w:pStyle w:val="2"/>
              <w:pageBreakBefore w:val="0"/>
              <w:kinsoku/>
              <w:wordWrap/>
              <w:overflowPunct/>
              <w:topLinePunct w:val="0"/>
              <w:bidi w:val="0"/>
              <w:spacing w:line="560" w:lineRule="exact"/>
              <w:ind w:firstLine="0" w:firstLineChars="0"/>
              <w:jc w:val="lef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反馈恢复情况报告</w:t>
            </w:r>
          </w:p>
        </w:tc>
        <w:tc>
          <w:tcPr>
            <w:tcW w:w="1724" w:type="dxa"/>
            <w:vAlign w:val="center"/>
          </w:tcPr>
          <w:p>
            <w:pPr>
              <w:pStyle w:val="2"/>
              <w:pageBreakBefore w:val="0"/>
              <w:kinsoku/>
              <w:wordWrap/>
              <w:overflowPunct/>
              <w:topLinePunct w:val="0"/>
              <w:bidi w:val="0"/>
              <w:spacing w:line="560" w:lineRule="exact"/>
              <w:ind w:firstLine="0" w:firstLineChars="0"/>
              <w:jc w:val="center"/>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次日12：00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2"/>
              <w:pageBreakBefore w:val="0"/>
              <w:kinsoku/>
              <w:wordWrap/>
              <w:overflowPunct/>
              <w:topLinePunct w:val="0"/>
              <w:bidi w:val="0"/>
              <w:spacing w:line="560" w:lineRule="exact"/>
              <w:ind w:firstLine="0" w:firstLineChars="0"/>
              <w:jc w:val="center"/>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lang w:val="en-US" w:eastAsia="zh-CN"/>
                <w14:textFill>
                  <w14:solidFill>
                    <w14:schemeClr w14:val="tx1"/>
                  </w14:solidFill>
                </w14:textFill>
              </w:rPr>
              <w:t>10</w:t>
            </w:r>
            <w:r>
              <w:rPr>
                <w:rFonts w:hint="eastAsia" w:ascii="Times New Roman" w:hAnsi="Times New Roman" w:eastAsia="仿宋"/>
                <w:color w:val="000000" w:themeColor="text1"/>
                <w:sz w:val="24"/>
                <w:szCs w:val="24"/>
                <w14:textFill>
                  <w14:solidFill>
                    <w14:schemeClr w14:val="tx1"/>
                  </w14:solidFill>
                </w14:textFill>
              </w:rPr>
              <w:t>月4日</w:t>
            </w:r>
          </w:p>
        </w:tc>
        <w:tc>
          <w:tcPr>
            <w:tcW w:w="3043" w:type="dxa"/>
            <w:vAlign w:val="center"/>
          </w:tcPr>
          <w:p>
            <w:pPr>
              <w:pStyle w:val="2"/>
              <w:pageBreakBefore w:val="0"/>
              <w:kinsoku/>
              <w:wordWrap/>
              <w:overflowPunct/>
              <w:topLinePunct w:val="0"/>
              <w:bidi w:val="0"/>
              <w:spacing w:line="560" w:lineRule="exact"/>
              <w:ind w:firstLine="0" w:firstLineChars="0"/>
              <w:jc w:val="left"/>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各机构的非交易结算类系统，在交易通关成功后的次一日内完成</w:t>
            </w:r>
            <w:r>
              <w:rPr>
                <w:rFonts w:hint="eastAsia" w:ascii="仿宋" w:hAnsi="仿宋" w:eastAsia="仿宋" w:cs="仿宋"/>
                <w:color w:val="auto"/>
                <w:kern w:val="0"/>
                <w:sz w:val="24"/>
                <w:szCs w:val="24"/>
                <w:lang w:eastAsia="zh-CN" w:bidi="ar"/>
              </w:rPr>
              <w:t>代码切换</w:t>
            </w:r>
          </w:p>
        </w:tc>
        <w:tc>
          <w:tcPr>
            <w:tcW w:w="2700" w:type="dxa"/>
            <w:vAlign w:val="center"/>
          </w:tcPr>
          <w:p>
            <w:pPr>
              <w:pStyle w:val="2"/>
              <w:pageBreakBefore w:val="0"/>
              <w:kinsoku/>
              <w:wordWrap/>
              <w:overflowPunct/>
              <w:topLinePunct w:val="0"/>
              <w:bidi w:val="0"/>
              <w:spacing w:line="560" w:lineRule="exact"/>
              <w:ind w:firstLine="0" w:firstLineChars="0"/>
              <w:jc w:val="lef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反馈非交易结算类系统</w:t>
            </w:r>
            <w:r>
              <w:rPr>
                <w:rFonts w:hint="eastAsia" w:ascii="仿宋" w:hAnsi="仿宋" w:eastAsia="仿宋" w:cs="仿宋"/>
                <w:color w:val="auto"/>
                <w:kern w:val="0"/>
                <w:sz w:val="24"/>
                <w:szCs w:val="24"/>
                <w:lang w:eastAsia="zh-CN" w:bidi="ar"/>
              </w:rPr>
              <w:t>代码切换</w:t>
            </w:r>
            <w:r>
              <w:rPr>
                <w:rFonts w:hint="eastAsia" w:ascii="仿宋" w:hAnsi="仿宋" w:eastAsia="仿宋" w:cs="仿宋"/>
                <w:color w:val="auto"/>
                <w:kern w:val="0"/>
                <w:sz w:val="24"/>
                <w:szCs w:val="24"/>
                <w:lang w:bidi="ar"/>
              </w:rPr>
              <w:t>情况报告</w:t>
            </w:r>
          </w:p>
        </w:tc>
        <w:tc>
          <w:tcPr>
            <w:tcW w:w="1724" w:type="dxa"/>
            <w:vAlign w:val="center"/>
          </w:tcPr>
          <w:p>
            <w:pPr>
              <w:pStyle w:val="2"/>
              <w:pageBreakBefore w:val="0"/>
              <w:kinsoku/>
              <w:wordWrap/>
              <w:overflowPunct/>
              <w:topLinePunct w:val="0"/>
              <w:bidi w:val="0"/>
              <w:spacing w:line="560" w:lineRule="exact"/>
              <w:ind w:firstLine="0" w:firstLineChars="0"/>
              <w:jc w:val="center"/>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当日20：00</w:t>
            </w:r>
          </w:p>
        </w:tc>
      </w:tr>
    </w:tbl>
    <w:p>
      <w:pPr>
        <w:pStyle w:val="2"/>
        <w:pageBreakBefore w:val="0"/>
        <w:kinsoku/>
        <w:wordWrap/>
        <w:overflowPunct/>
        <w:topLinePunct w:val="0"/>
        <w:bidi w:val="0"/>
        <w:spacing w:line="560" w:lineRule="exact"/>
        <w:ind w:firstLine="480"/>
        <w:rPr>
          <w:rFonts w:ascii="仿宋" w:hAnsi="仿宋" w:eastAsia="仿宋" w:cs="仿宋"/>
          <w:color w:val="auto"/>
          <w:kern w:val="0"/>
          <w:sz w:val="24"/>
          <w:szCs w:val="24"/>
          <w:lang w:bidi="ar"/>
        </w:rPr>
      </w:pPr>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代码切换当日，北交所按照数据接口规范重新发送新代码的业务数据供市场机构核对。重新发送文件列表和预计发送时间如下：</w:t>
      </w:r>
    </w:p>
    <w:tbl>
      <w:tblPr>
        <w:tblStyle w:val="38"/>
        <w:tblW w:w="8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2678"/>
        <w:gridCol w:w="2122"/>
        <w:gridCol w:w="1961"/>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77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序号</w:t>
            </w:r>
          </w:p>
        </w:tc>
        <w:tc>
          <w:tcPr>
            <w:tcW w:w="2678"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文件名称</w:t>
            </w:r>
          </w:p>
        </w:tc>
        <w:tc>
          <w:tcPr>
            <w:tcW w:w="2122"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文件描述</w:t>
            </w:r>
          </w:p>
        </w:tc>
        <w:tc>
          <w:tcPr>
            <w:tcW w:w="1961"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计划时点</w:t>
            </w:r>
          </w:p>
        </w:tc>
        <w:tc>
          <w:tcPr>
            <w:tcW w:w="110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77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1</w:t>
            </w:r>
          </w:p>
        </w:tc>
        <w:tc>
          <w:tcPr>
            <w:tcW w:w="2678"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kern w:val="0"/>
                <w:sz w:val="21"/>
                <w:szCs w:val="21"/>
              </w:rPr>
              <w:t>NQSXTZZ.DBF</w:t>
            </w:r>
          </w:p>
        </w:tc>
        <w:tc>
          <w:tcPr>
            <w:tcW w:w="2122"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kern w:val="0"/>
                <w:sz w:val="21"/>
                <w:szCs w:val="21"/>
              </w:rPr>
              <w:t>受限投资者可交易证券信息库</w:t>
            </w:r>
          </w:p>
        </w:tc>
        <w:tc>
          <w:tcPr>
            <w:tcW w:w="1961"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lang w:val="en-US" w:eastAsia="zh-CN"/>
              </w:rPr>
              <w:t>10</w:t>
            </w:r>
            <w:r>
              <w:rPr>
                <w:rFonts w:hint="eastAsia" w:eastAsia="方正仿宋_GBK" w:cs="方正仿宋_GBK"/>
                <w:sz w:val="21"/>
                <w:szCs w:val="21"/>
              </w:rPr>
              <w:t>月1日18:00</w:t>
            </w:r>
          </w:p>
        </w:tc>
        <w:tc>
          <w:tcPr>
            <w:tcW w:w="110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FDEP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77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2</w:t>
            </w:r>
          </w:p>
        </w:tc>
        <w:tc>
          <w:tcPr>
            <w:tcW w:w="2678"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kern w:val="0"/>
                <w:sz w:val="21"/>
                <w:szCs w:val="21"/>
              </w:rPr>
              <w:t>NQFC.DBF</w:t>
            </w:r>
          </w:p>
        </w:tc>
        <w:tc>
          <w:tcPr>
            <w:tcW w:w="2122"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kern w:val="0"/>
                <w:sz w:val="21"/>
                <w:szCs w:val="21"/>
              </w:rPr>
              <w:t>分层信息库</w:t>
            </w:r>
          </w:p>
        </w:tc>
        <w:tc>
          <w:tcPr>
            <w:tcW w:w="1961"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lang w:val="en-US" w:eastAsia="zh-CN"/>
              </w:rPr>
              <w:t>10</w:t>
            </w:r>
            <w:r>
              <w:rPr>
                <w:rFonts w:hint="eastAsia" w:eastAsia="方正仿宋_GBK" w:cs="方正仿宋_GBK"/>
                <w:sz w:val="21"/>
                <w:szCs w:val="21"/>
              </w:rPr>
              <w:t>月1日18:00</w:t>
            </w:r>
          </w:p>
        </w:tc>
        <w:tc>
          <w:tcPr>
            <w:tcW w:w="110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FDEP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77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3</w:t>
            </w:r>
          </w:p>
        </w:tc>
        <w:tc>
          <w:tcPr>
            <w:tcW w:w="2678"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kern w:val="0"/>
                <w:sz w:val="21"/>
                <w:szCs w:val="21"/>
              </w:rPr>
              <w:t>NQDGD.DBF</w:t>
            </w:r>
          </w:p>
        </w:tc>
        <w:tc>
          <w:tcPr>
            <w:tcW w:w="2122"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kern w:val="0"/>
                <w:sz w:val="21"/>
                <w:szCs w:val="21"/>
              </w:rPr>
              <w:t>大股东信息库</w:t>
            </w:r>
          </w:p>
        </w:tc>
        <w:tc>
          <w:tcPr>
            <w:tcW w:w="1961"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lang w:val="en-US" w:eastAsia="zh-CN"/>
              </w:rPr>
              <w:t>10</w:t>
            </w:r>
            <w:r>
              <w:rPr>
                <w:rFonts w:hint="eastAsia" w:eastAsia="方正仿宋_GBK" w:cs="方正仿宋_GBK"/>
                <w:sz w:val="21"/>
                <w:szCs w:val="21"/>
              </w:rPr>
              <w:t>月1日18:00</w:t>
            </w:r>
          </w:p>
        </w:tc>
        <w:tc>
          <w:tcPr>
            <w:tcW w:w="110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FDEP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77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4</w:t>
            </w:r>
          </w:p>
        </w:tc>
        <w:tc>
          <w:tcPr>
            <w:tcW w:w="2678"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kern w:val="0"/>
                <w:sz w:val="21"/>
                <w:szCs w:val="21"/>
              </w:rPr>
              <w:t>NQDJG.DBF</w:t>
            </w:r>
          </w:p>
        </w:tc>
        <w:tc>
          <w:tcPr>
            <w:tcW w:w="2122"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kern w:val="0"/>
                <w:sz w:val="21"/>
                <w:szCs w:val="21"/>
              </w:rPr>
              <w:t>董监高库</w:t>
            </w:r>
          </w:p>
        </w:tc>
        <w:tc>
          <w:tcPr>
            <w:tcW w:w="1961"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lang w:val="en-US" w:eastAsia="zh-CN"/>
              </w:rPr>
              <w:t>10</w:t>
            </w:r>
            <w:r>
              <w:rPr>
                <w:rFonts w:hint="eastAsia" w:eastAsia="方正仿宋_GBK" w:cs="方正仿宋_GBK"/>
                <w:sz w:val="21"/>
                <w:szCs w:val="21"/>
              </w:rPr>
              <w:t>月1日18:00</w:t>
            </w:r>
          </w:p>
        </w:tc>
        <w:tc>
          <w:tcPr>
            <w:tcW w:w="110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FDEP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77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5</w:t>
            </w:r>
          </w:p>
        </w:tc>
        <w:tc>
          <w:tcPr>
            <w:tcW w:w="2678"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lang w:val="en"/>
              </w:rPr>
            </w:pPr>
            <w:r>
              <w:rPr>
                <w:rFonts w:hint="eastAsia" w:eastAsia="方正仿宋_GBK" w:cs="方正仿宋_GBK"/>
                <w:sz w:val="21"/>
                <w:szCs w:val="21"/>
              </w:rPr>
              <w:t>NQDBWJZD</w:t>
            </w:r>
            <w:r>
              <w:rPr>
                <w:rFonts w:hint="eastAsia" w:eastAsia="方正仿宋_GBK" w:cs="方正仿宋_GBK"/>
                <w:sz w:val="21"/>
                <w:szCs w:val="21"/>
                <w:lang w:val="en"/>
              </w:rPr>
              <w:t>.DBF</w:t>
            </w:r>
          </w:p>
        </w:tc>
        <w:tc>
          <w:tcPr>
            <w:tcW w:w="2122"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lang w:val="en"/>
              </w:rPr>
            </w:pPr>
            <w:r>
              <w:rPr>
                <w:rFonts w:hint="eastAsia" w:eastAsia="方正仿宋_GBK" w:cs="方正仿宋_GBK"/>
                <w:sz w:val="21"/>
                <w:szCs w:val="21"/>
                <w:lang w:val="en"/>
              </w:rPr>
              <w:t>担保物集中度</w:t>
            </w:r>
            <w:r>
              <w:rPr>
                <w:rFonts w:hint="eastAsia" w:eastAsia="方正仿宋_GBK" w:cs="方正仿宋_GBK"/>
                <w:sz w:val="21"/>
                <w:szCs w:val="21"/>
              </w:rPr>
              <w:t>库</w:t>
            </w:r>
          </w:p>
        </w:tc>
        <w:tc>
          <w:tcPr>
            <w:tcW w:w="1961"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lang w:val="en-US" w:eastAsia="zh-CN"/>
              </w:rPr>
              <w:t>10</w:t>
            </w:r>
            <w:r>
              <w:rPr>
                <w:rFonts w:hint="eastAsia" w:eastAsia="方正仿宋_GBK" w:cs="方正仿宋_GBK"/>
                <w:sz w:val="21"/>
                <w:szCs w:val="21"/>
              </w:rPr>
              <w:t>月1日18:00</w:t>
            </w:r>
          </w:p>
        </w:tc>
        <w:tc>
          <w:tcPr>
            <w:tcW w:w="110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FDEP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77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6</w:t>
            </w:r>
          </w:p>
        </w:tc>
        <w:tc>
          <w:tcPr>
            <w:tcW w:w="2678"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lang w:val="en"/>
              </w:rPr>
            </w:pPr>
            <w:r>
              <w:rPr>
                <w:rFonts w:hint="eastAsia" w:eastAsia="方正仿宋_GBK" w:cs="方正仿宋_GBK"/>
                <w:sz w:val="21"/>
                <w:szCs w:val="21"/>
                <w:lang w:val="en"/>
              </w:rPr>
              <w:t>NQXXYYYYMMDD.DBF</w:t>
            </w:r>
          </w:p>
        </w:tc>
        <w:tc>
          <w:tcPr>
            <w:tcW w:w="2122"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证券信息库</w:t>
            </w:r>
          </w:p>
        </w:tc>
        <w:tc>
          <w:tcPr>
            <w:tcW w:w="1961"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lang w:val="en-US" w:eastAsia="zh-CN"/>
              </w:rPr>
              <w:t>10</w:t>
            </w:r>
            <w:r>
              <w:rPr>
                <w:rFonts w:hint="eastAsia" w:eastAsia="方正仿宋_GBK" w:cs="方正仿宋_GBK"/>
                <w:sz w:val="21"/>
                <w:szCs w:val="21"/>
              </w:rPr>
              <w:t>月1日18:00</w:t>
            </w:r>
          </w:p>
        </w:tc>
        <w:tc>
          <w:tcPr>
            <w:tcW w:w="110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FDEP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7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lang w:val="en"/>
              </w:rPr>
            </w:pPr>
            <w:r>
              <w:rPr>
                <w:rFonts w:hint="eastAsia" w:eastAsia="方正仿宋_GBK" w:cs="方正仿宋_GBK"/>
                <w:sz w:val="21"/>
                <w:szCs w:val="21"/>
                <w:lang w:val="en"/>
              </w:rPr>
              <w:t>7</w:t>
            </w:r>
          </w:p>
        </w:tc>
        <w:tc>
          <w:tcPr>
            <w:tcW w:w="2678"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lang w:val="en"/>
              </w:rPr>
            </w:pPr>
            <w:r>
              <w:rPr>
                <w:rFonts w:hint="eastAsia" w:eastAsia="方正仿宋_GBK" w:cs="方正仿宋_GBK"/>
                <w:sz w:val="21"/>
                <w:szCs w:val="21"/>
                <w:lang w:val="en"/>
              </w:rPr>
              <w:t>NQHQYYYYMMDD.DBF</w:t>
            </w:r>
          </w:p>
        </w:tc>
        <w:tc>
          <w:tcPr>
            <w:tcW w:w="2122"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证券行情库</w:t>
            </w:r>
          </w:p>
        </w:tc>
        <w:tc>
          <w:tcPr>
            <w:tcW w:w="1961"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lang w:val="en-US" w:eastAsia="zh-CN"/>
              </w:rPr>
              <w:t>10</w:t>
            </w:r>
            <w:r>
              <w:rPr>
                <w:rFonts w:hint="eastAsia" w:eastAsia="方正仿宋_GBK" w:cs="方正仿宋_GBK"/>
                <w:sz w:val="21"/>
                <w:szCs w:val="21"/>
              </w:rPr>
              <w:t>月1日18:00</w:t>
            </w:r>
          </w:p>
        </w:tc>
        <w:tc>
          <w:tcPr>
            <w:tcW w:w="1106" w:type="dxa"/>
            <w:vAlign w:val="center"/>
          </w:tcPr>
          <w:p>
            <w:pPr>
              <w:pageBreakBefore w:val="0"/>
              <w:kinsoku/>
              <w:wordWrap/>
              <w:overflowPunct/>
              <w:topLinePunct w:val="0"/>
              <w:bidi w:val="0"/>
              <w:spacing w:line="560" w:lineRule="exact"/>
              <w:ind w:firstLine="0" w:firstLineChars="0"/>
              <w:jc w:val="center"/>
              <w:rPr>
                <w:rFonts w:eastAsia="方正仿宋_GBK" w:cs="方正仿宋_GBK"/>
                <w:sz w:val="21"/>
                <w:szCs w:val="21"/>
              </w:rPr>
            </w:pPr>
            <w:r>
              <w:rPr>
                <w:rFonts w:hint="eastAsia" w:eastAsia="方正仿宋_GBK" w:cs="方正仿宋_GBK"/>
                <w:sz w:val="21"/>
                <w:szCs w:val="21"/>
              </w:rPr>
              <w:t>FDEP</w:t>
            </w:r>
          </w:p>
        </w:tc>
      </w:tr>
    </w:tbl>
    <w:p>
      <w:pPr>
        <w:pStyle w:val="2"/>
        <w:pageBreakBefore w:val="0"/>
        <w:kinsoku/>
        <w:wordWrap/>
        <w:overflowPunct/>
        <w:topLinePunct w:val="0"/>
        <w:bidi w:val="0"/>
        <w:spacing w:line="560" w:lineRule="exact"/>
        <w:ind w:firstLine="720"/>
      </w:pPr>
    </w:p>
    <w:p>
      <w:pPr>
        <w:pStyle w:val="73"/>
        <w:pageBreakBefore w:val="0"/>
        <w:kinsoku/>
        <w:wordWrap/>
        <w:overflowPunct/>
        <w:topLinePunct w:val="0"/>
        <w:bidi w:val="0"/>
        <w:spacing w:before="163" w:after="163" w:line="560" w:lineRule="exact"/>
        <w:ind w:firstLine="600"/>
      </w:pPr>
      <w:bookmarkStart w:id="31" w:name="_Toc376597522"/>
      <w:bookmarkStart w:id="32" w:name="_Toc1455581406"/>
      <w:bookmarkStart w:id="33" w:name="_Toc338658512"/>
      <w:r>
        <w:rPr>
          <w:rFonts w:hint="eastAsia"/>
        </w:rPr>
        <w:t>五、通关测试</w:t>
      </w:r>
      <w:r>
        <w:t>内容</w:t>
      </w:r>
      <w:bookmarkEnd w:id="31"/>
      <w:bookmarkEnd w:id="32"/>
      <w:bookmarkEnd w:id="33"/>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验证各参测机构技术系统已完成代码切换，达到上线要求。</w:t>
      </w:r>
    </w:p>
    <w:p>
      <w:pPr>
        <w:pageBreakBefore w:val="0"/>
        <w:numPr>
          <w:ilvl w:val="0"/>
          <w:numId w:val="6"/>
        </w:numPr>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北交所交易支持平台能正确完成代码切换并向市场发送新代码的业务数据。代码切换完成后，北交所能正确对北交所各类业务申报进行检查并返回检查确认结果。能够正确对北交所各类业务有效委托进行撮合处理，发送成交回报。能够正确生成北交所各类行情。能够正确与参测上下游机构传输、处理接口数据。</w:t>
      </w:r>
    </w:p>
    <w:p>
      <w:pPr>
        <w:pageBreakBefore w:val="0"/>
        <w:numPr>
          <w:ilvl w:val="0"/>
          <w:numId w:val="6"/>
        </w:numPr>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验证中国结算北京</w:t>
      </w:r>
      <w:r>
        <w:rPr>
          <w:rFonts w:cs="Times New Roman"/>
          <w:color w:val="000000" w:themeColor="text1"/>
          <w:sz w:val="30"/>
          <w:szCs w:val="30"/>
          <w14:textFill>
            <w14:solidFill>
              <w14:schemeClr w14:val="tx1"/>
            </w14:solidFill>
          </w14:textFill>
        </w:rPr>
        <w:t>市场证券结算系统能够</w:t>
      </w:r>
      <w:r>
        <w:rPr>
          <w:rFonts w:hint="eastAsia" w:cs="Times New Roman"/>
          <w:color w:val="000000" w:themeColor="text1"/>
          <w:sz w:val="30"/>
          <w:szCs w:val="30"/>
          <w14:textFill>
            <w14:solidFill>
              <w14:schemeClr w14:val="tx1"/>
            </w14:solidFill>
          </w14:textFill>
        </w:rPr>
        <w:t>正确完成持仓等代码切换。代码切换完成后，</w:t>
      </w:r>
      <w:r>
        <w:rPr>
          <w:rFonts w:cs="Times New Roman"/>
          <w:color w:val="000000" w:themeColor="text1"/>
          <w:sz w:val="30"/>
          <w:szCs w:val="30"/>
          <w14:textFill>
            <w14:solidFill>
              <w14:schemeClr w14:val="tx1"/>
            </w14:solidFill>
          </w14:textFill>
        </w:rPr>
        <w:t>能够</w:t>
      </w:r>
      <w:r>
        <w:rPr>
          <w:rFonts w:hint="eastAsia" w:cs="Times New Roman"/>
          <w:color w:val="000000" w:themeColor="text1"/>
          <w:sz w:val="30"/>
          <w:szCs w:val="30"/>
          <w14:textFill>
            <w14:solidFill>
              <w14:schemeClr w14:val="tx1"/>
            </w14:solidFill>
          </w14:textFill>
        </w:rPr>
        <w:t>正确</w:t>
      </w:r>
      <w:r>
        <w:rPr>
          <w:rFonts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14:textFill>
            <w14:solidFill>
              <w14:schemeClr w14:val="tx1"/>
            </w14:solidFill>
          </w14:textFill>
        </w:rPr>
        <w:t>日终处理，</w:t>
      </w:r>
      <w:r>
        <w:rPr>
          <w:rFonts w:cs="Times New Roman"/>
          <w:color w:val="000000" w:themeColor="text1"/>
          <w:sz w:val="30"/>
          <w:szCs w:val="30"/>
          <w14:textFill>
            <w14:solidFill>
              <w14:schemeClr w14:val="tx1"/>
            </w14:solidFill>
          </w14:textFill>
        </w:rPr>
        <w:t>生成</w:t>
      </w:r>
      <w:r>
        <w:rPr>
          <w:rFonts w:hint="eastAsia" w:cs="Times New Roman"/>
          <w:color w:val="000000" w:themeColor="text1"/>
          <w:sz w:val="30"/>
          <w:szCs w:val="30"/>
          <w14:textFill>
            <w14:solidFill>
              <w14:schemeClr w14:val="tx1"/>
            </w14:solidFill>
          </w14:textFill>
        </w:rPr>
        <w:t>相关</w:t>
      </w:r>
      <w:r>
        <w:rPr>
          <w:rFonts w:cs="Times New Roman"/>
          <w:color w:val="000000" w:themeColor="text1"/>
          <w:sz w:val="30"/>
          <w:szCs w:val="30"/>
          <w14:textFill>
            <w14:solidFill>
              <w14:schemeClr w14:val="tx1"/>
            </w14:solidFill>
          </w14:textFill>
        </w:rPr>
        <w:t>数据并</w:t>
      </w:r>
      <w:r>
        <w:rPr>
          <w:rFonts w:hint="eastAsia" w:cs="Times New Roman"/>
          <w:color w:val="000000" w:themeColor="text1"/>
          <w:sz w:val="30"/>
          <w:szCs w:val="30"/>
          <w14:textFill>
            <w14:solidFill>
              <w14:schemeClr w14:val="tx1"/>
            </w14:solidFill>
          </w14:textFill>
        </w:rPr>
        <w:t>下发市场。</w:t>
      </w:r>
    </w:p>
    <w:p>
      <w:pPr>
        <w:pageBreakBefore w:val="0"/>
        <w:numPr>
          <w:ilvl w:val="0"/>
          <w:numId w:val="6"/>
        </w:numPr>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验证深证通通信系统能够正确转发证券公司的委托数据和北交所的回报和行情数据。</w:t>
      </w:r>
    </w:p>
    <w:p>
      <w:pPr>
        <w:pageBreakBefore w:val="0"/>
        <w:numPr>
          <w:ilvl w:val="0"/>
          <w:numId w:val="6"/>
        </w:numPr>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验证中证指数能够正确调整成份股代码并根据北交所行情正确生成指数数据。</w:t>
      </w:r>
    </w:p>
    <w:p>
      <w:pPr>
        <w:pageBreakBefore w:val="0"/>
        <w:numPr>
          <w:ilvl w:val="0"/>
          <w:numId w:val="6"/>
        </w:numPr>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验证沪深交易所等机构代码切换涉及系统调整后功能正常。</w:t>
      </w:r>
    </w:p>
    <w:p>
      <w:pPr>
        <w:pageBreakBefore w:val="0"/>
        <w:numPr>
          <w:ilvl w:val="0"/>
          <w:numId w:val="6"/>
        </w:numPr>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验证各证券公司</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基金公司能够按照《关于做好北京证券交易所存量上市公司证券代码切换准备工作的通知》（北证公告〔2024〕231号）要求完成代码切换。代码切换完成后，能够</w:t>
      </w:r>
      <w:r>
        <w:rPr>
          <w:rFonts w:cs="Times New Roman"/>
          <w:color w:val="000000" w:themeColor="text1"/>
          <w:sz w:val="30"/>
          <w:szCs w:val="30"/>
          <w14:textFill>
            <w14:solidFill>
              <w14:schemeClr w14:val="tx1"/>
            </w14:solidFill>
          </w14:textFill>
        </w:rPr>
        <w:t>正确发送</w:t>
      </w:r>
      <w:r>
        <w:rPr>
          <w:rFonts w:hint="eastAsia" w:cs="Times New Roman"/>
          <w:color w:val="000000" w:themeColor="text1"/>
          <w:sz w:val="30"/>
          <w:szCs w:val="30"/>
          <w14:textFill>
            <w14:solidFill>
              <w14:schemeClr w14:val="tx1"/>
            </w14:solidFill>
          </w14:textFill>
        </w:rPr>
        <w:t>各类</w:t>
      </w:r>
      <w:r>
        <w:rPr>
          <w:rFonts w:cs="Times New Roman"/>
          <w:color w:val="000000" w:themeColor="text1"/>
          <w:sz w:val="30"/>
          <w:szCs w:val="30"/>
          <w14:textFill>
            <w14:solidFill>
              <w14:schemeClr w14:val="tx1"/>
            </w14:solidFill>
          </w14:textFill>
        </w:rPr>
        <w:t>委托</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接</w:t>
      </w:r>
      <w:r>
        <w:rPr>
          <w:rFonts w:hint="eastAsia" w:cs="Times New Roman"/>
          <w:color w:val="000000" w:themeColor="text1"/>
          <w:sz w:val="30"/>
          <w:szCs w:val="30"/>
          <w14:textFill>
            <w14:solidFill>
              <w14:schemeClr w14:val="tx1"/>
            </w14:solidFill>
          </w14:textFill>
        </w:rPr>
        <w:t>收北交所</w:t>
      </w:r>
      <w:r>
        <w:rPr>
          <w:rFonts w:cs="Times New Roman"/>
          <w:color w:val="000000" w:themeColor="text1"/>
          <w:sz w:val="30"/>
          <w:szCs w:val="30"/>
          <w14:textFill>
            <w14:solidFill>
              <w14:schemeClr w14:val="tx1"/>
            </w14:solidFill>
          </w14:textFill>
        </w:rPr>
        <w:t>返回</w:t>
      </w:r>
      <w:r>
        <w:rPr>
          <w:rFonts w:hint="eastAsia" w:cs="Times New Roman"/>
          <w:color w:val="000000" w:themeColor="text1"/>
          <w:sz w:val="30"/>
          <w:szCs w:val="30"/>
          <w14:textFill>
            <w14:solidFill>
              <w14:schemeClr w14:val="tx1"/>
            </w14:solidFill>
          </w14:textFill>
        </w:rPr>
        <w:t>的回报和行情数据</w:t>
      </w:r>
      <w:r>
        <w:rPr>
          <w:rFonts w:cs="Times New Roman"/>
          <w:color w:val="000000" w:themeColor="text1"/>
          <w:sz w:val="30"/>
          <w:szCs w:val="30"/>
          <w14:textFill>
            <w14:solidFill>
              <w14:schemeClr w14:val="tx1"/>
            </w14:solidFill>
          </w14:textFill>
        </w:rPr>
        <w:t>并进行实时处理</w:t>
      </w:r>
      <w:r>
        <w:rPr>
          <w:rFonts w:hint="eastAsia" w:cs="Times New Roman"/>
          <w:color w:val="000000" w:themeColor="text1"/>
          <w:sz w:val="30"/>
          <w:szCs w:val="30"/>
          <w14:textFill>
            <w14:solidFill>
              <w14:schemeClr w14:val="tx1"/>
            </w14:solidFill>
          </w14:textFill>
        </w:rPr>
        <w:t>，所有已开展的业务功能均可正常处理。</w:t>
      </w:r>
    </w:p>
    <w:p>
      <w:pPr>
        <w:pageBreakBefore w:val="0"/>
        <w:numPr>
          <w:ilvl w:val="0"/>
          <w:numId w:val="6"/>
        </w:numPr>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验证各提供北交所行情服务的信息商能够完成代码切换并按照《关于做好北京证券交易所存量上市公司证券代码切换准备工作的通知》（北证公告〔2024〕231号）行情展示相关要求进行代码切换后行情展示等。</w:t>
      </w:r>
      <w:bookmarkStart w:id="34" w:name="_Toc1037702227"/>
    </w:p>
    <w:p>
      <w:pPr>
        <w:pStyle w:val="73"/>
        <w:pageBreakBefore w:val="0"/>
        <w:kinsoku/>
        <w:wordWrap/>
        <w:overflowPunct/>
        <w:topLinePunct w:val="0"/>
        <w:bidi w:val="0"/>
        <w:spacing w:before="163" w:after="163" w:line="560" w:lineRule="exact"/>
        <w:ind w:firstLine="600"/>
      </w:pPr>
      <w:bookmarkStart w:id="35" w:name="_Toc92586365"/>
      <w:r>
        <w:rPr>
          <w:rFonts w:hint="eastAsia"/>
        </w:rPr>
        <w:t>六、测试场景及相关说明</w:t>
      </w:r>
      <w:bookmarkEnd w:id="34"/>
      <w:bookmarkEnd w:id="35"/>
    </w:p>
    <w:p>
      <w:pPr>
        <w:pStyle w:val="73"/>
        <w:keepNext/>
        <w:keepLines/>
        <w:pageBreakBefore w:val="0"/>
        <w:widowControl w:val="0"/>
        <w:kinsoku/>
        <w:wordWrap/>
        <w:overflowPunct/>
        <w:topLinePunct w:val="0"/>
        <w:autoSpaceDE/>
        <w:autoSpaceDN/>
        <w:bidi w:val="0"/>
        <w:adjustRightInd w:val="0"/>
        <w:snapToGrid w:val="0"/>
        <w:spacing w:beforeLines="0" w:afterLines="0" w:line="560" w:lineRule="exact"/>
        <w:ind w:firstLine="600"/>
        <w:textAlignment w:val="auto"/>
        <w:rPr>
          <w:rFonts w:hint="eastAsia" w:ascii="楷体" w:hAnsi="楷体" w:eastAsia="楷体"/>
          <w:szCs w:val="30"/>
        </w:rPr>
      </w:pPr>
      <w:bookmarkStart w:id="36" w:name="_Toc99441752"/>
      <w:bookmarkStart w:id="37" w:name="_Toc221508924"/>
      <w:r>
        <w:rPr>
          <w:rFonts w:hint="eastAsia" w:ascii="楷体" w:hAnsi="楷体" w:eastAsia="楷体"/>
          <w:szCs w:val="30"/>
          <w:lang w:eastAsia="zh-CN"/>
        </w:rPr>
        <w:t>（一）</w:t>
      </w:r>
      <w:r>
        <w:rPr>
          <w:rFonts w:hint="eastAsia" w:ascii="楷体" w:hAnsi="楷体" w:eastAsia="楷体"/>
          <w:szCs w:val="30"/>
        </w:rPr>
        <w:t>拟切换股票新旧代码对照</w:t>
      </w:r>
      <w:bookmarkEnd w:id="36"/>
      <w:bookmarkEnd w:id="37"/>
    </w:p>
    <w:p>
      <w:pPr>
        <w:spacing w:line="560" w:lineRule="exact"/>
        <w:ind w:firstLine="600"/>
        <w:jc w:val="both"/>
        <w:rPr>
          <w:sz w:val="30"/>
          <w:szCs w:val="30"/>
        </w:rPr>
      </w:pPr>
      <w:bookmarkStart w:id="38" w:name="_Toc400279752"/>
      <w:r>
        <w:rPr>
          <w:rFonts w:hint="eastAsia" w:cs="Times New Roman"/>
          <w:color w:val="000000" w:themeColor="text1"/>
          <w:sz w:val="30"/>
          <w:szCs w:val="30"/>
          <w14:textFill>
            <w14:solidFill>
              <w14:schemeClr w14:val="tx1"/>
            </w14:solidFill>
          </w14:textFill>
        </w:rPr>
        <w:t>本次测试拟切换股票为北交所官网“服务—新旧代码对照表”栏目中除切换试点股票</w:t>
      </w:r>
      <w:r>
        <w:rPr>
          <w:rStyle w:val="46"/>
          <w:rFonts w:hint="eastAsia" w:cs="Times New Roman"/>
          <w:color w:val="000000" w:themeColor="text1"/>
          <w:sz w:val="30"/>
          <w:szCs w:val="30"/>
          <w14:textFill>
            <w14:solidFill>
              <w14:schemeClr w14:val="tx1"/>
            </w14:solidFill>
          </w14:textFill>
        </w:rPr>
        <w:footnoteReference w:id="0"/>
      </w:r>
      <w:r>
        <w:rPr>
          <w:rFonts w:hint="eastAsia" w:cs="Times New Roman"/>
          <w:color w:val="000000" w:themeColor="text1"/>
          <w:sz w:val="30"/>
          <w:szCs w:val="30"/>
          <w14:textFill>
            <w14:solidFill>
              <w14:schemeClr w14:val="tx1"/>
            </w14:solidFill>
          </w14:textFill>
        </w:rPr>
        <w:t>外的全部股票。拟切换股票名单如有调整，将另行通知。</w:t>
      </w:r>
    </w:p>
    <w:p>
      <w:pPr>
        <w:pStyle w:val="73"/>
        <w:keepNext/>
        <w:keepLines/>
        <w:pageBreakBefore w:val="0"/>
        <w:widowControl w:val="0"/>
        <w:kinsoku/>
        <w:wordWrap/>
        <w:overflowPunct/>
        <w:topLinePunct w:val="0"/>
        <w:autoSpaceDE/>
        <w:autoSpaceDN/>
        <w:bidi w:val="0"/>
        <w:adjustRightInd w:val="0"/>
        <w:snapToGrid w:val="0"/>
        <w:spacing w:beforeLines="0" w:afterLines="0" w:line="560" w:lineRule="exact"/>
        <w:ind w:firstLine="600"/>
        <w:textAlignment w:val="auto"/>
        <w:rPr>
          <w:rFonts w:hint="eastAsia" w:ascii="楷体" w:hAnsi="楷体" w:eastAsia="楷体"/>
          <w:szCs w:val="30"/>
          <w:lang w:eastAsia="zh-CN"/>
        </w:rPr>
      </w:pPr>
      <w:r>
        <w:rPr>
          <w:rFonts w:hint="eastAsia" w:ascii="楷体" w:hAnsi="楷体" w:eastAsia="楷体"/>
          <w:szCs w:val="30"/>
          <w:lang w:eastAsia="zh-CN"/>
        </w:rPr>
        <w:t>（二）日常业务测试场景及测试时间安排</w:t>
      </w:r>
      <w:bookmarkEnd w:id="38"/>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本次</w:t>
      </w:r>
      <w:r>
        <w:rPr>
          <w:rFonts w:cs="Times New Roman"/>
          <w:color w:val="000000" w:themeColor="text1"/>
          <w:sz w:val="30"/>
          <w:szCs w:val="30"/>
          <w14:textFill>
            <w14:solidFill>
              <w14:schemeClr w14:val="tx1"/>
            </w14:solidFill>
          </w14:textFill>
        </w:rPr>
        <w:t>测试不单独设置测试场景</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所有场景以</w:t>
      </w: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02</w:t>
      </w: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lang w:val="en-US" w:eastAsia="zh-CN"/>
          <w14:textFill>
            <w14:solidFill>
              <w14:schemeClr w14:val="tx1"/>
            </w14:solidFill>
          </w14:textFill>
        </w:rPr>
        <w:t>10</w:t>
      </w:r>
      <w:r>
        <w:rPr>
          <w:rFonts w:hint="eastAsia" w:cs="Times New Roman"/>
          <w:color w:val="000000" w:themeColor="text1"/>
          <w:sz w:val="30"/>
          <w:szCs w:val="30"/>
          <w14:textFill>
            <w14:solidFill>
              <w14:schemeClr w14:val="tx1"/>
            </w14:solidFill>
          </w14:textFill>
        </w:rPr>
        <w:t>月</w:t>
      </w:r>
      <w:r>
        <w:rPr>
          <w:rFonts w:hint="eastAsia" w:cs="Times New Roman"/>
          <w:color w:val="000000" w:themeColor="text1"/>
          <w:sz w:val="30"/>
          <w:szCs w:val="30"/>
          <w:lang w:val="en-US" w:eastAsia="zh-CN"/>
          <w14:textFill>
            <w14:solidFill>
              <w14:schemeClr w14:val="tx1"/>
            </w14:solidFill>
          </w14:textFill>
        </w:rPr>
        <w:t>9</w:t>
      </w:r>
      <w:r>
        <w:rPr>
          <w:rFonts w:hint="eastAsia" w:cs="Times New Roman"/>
          <w:color w:val="000000" w:themeColor="text1"/>
          <w:sz w:val="30"/>
          <w:szCs w:val="30"/>
          <w14:textFill>
            <w14:solidFill>
              <w14:schemeClr w14:val="tx1"/>
            </w14:solidFill>
          </w14:textFill>
        </w:rPr>
        <w:t>日（周</w:t>
      </w:r>
      <w:r>
        <w:rPr>
          <w:rFonts w:hint="eastAsia" w:cs="Times New Roman"/>
          <w:color w:val="000000" w:themeColor="text1"/>
          <w:sz w:val="30"/>
          <w:szCs w:val="30"/>
          <w:lang w:eastAsia="zh-CN"/>
          <w14:textFill>
            <w14:solidFill>
              <w14:schemeClr w14:val="tx1"/>
            </w14:solidFill>
          </w14:textFill>
        </w:rPr>
        <w:t>四</w:t>
      </w:r>
      <w:r>
        <w:rPr>
          <w:rFonts w:hint="eastAsia" w:cs="Times New Roman"/>
          <w:color w:val="000000" w:themeColor="text1"/>
          <w:sz w:val="30"/>
          <w:szCs w:val="30"/>
          <w14:textFill>
            <w14:solidFill>
              <w14:schemeClr w14:val="tx1"/>
            </w14:solidFill>
          </w14:textFill>
        </w:rPr>
        <w:t>）生效的业务场景为准</w:t>
      </w:r>
      <w:r>
        <w:rPr>
          <w:rFonts w:cs="Times New Roman"/>
          <w:color w:val="000000" w:themeColor="text1"/>
          <w:sz w:val="30"/>
          <w:szCs w:val="30"/>
          <w14:textFill>
            <w14:solidFill>
              <w14:schemeClr w14:val="tx1"/>
            </w14:solidFill>
          </w14:textFill>
        </w:rPr>
        <w:t>。</w:t>
      </w:r>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请已开通融资融券业务的参测机构在测试期间（2025年</w:t>
      </w:r>
      <w:r>
        <w:rPr>
          <w:rFonts w:hint="eastAsia" w:cs="Times New Roman"/>
          <w:color w:val="000000" w:themeColor="text1"/>
          <w:sz w:val="30"/>
          <w:szCs w:val="30"/>
          <w:lang w:val="en-US" w:eastAsia="zh-CN"/>
          <w14:textFill>
            <w14:solidFill>
              <w14:schemeClr w14:val="tx1"/>
            </w14:solidFill>
          </w14:textFill>
        </w:rPr>
        <w:t>10</w:t>
      </w:r>
      <w:r>
        <w:rPr>
          <w:rFonts w:hint="eastAsia" w:cs="Times New Roman"/>
          <w:color w:val="000000" w:themeColor="text1"/>
          <w:sz w:val="30"/>
          <w:szCs w:val="30"/>
          <w14:textFill>
            <w14:solidFill>
              <w14:schemeClr w14:val="tx1"/>
            </w14:solidFill>
          </w14:textFill>
        </w:rPr>
        <w:t>月3日）19：00点前报送两融余额测试数据。</w:t>
      </w:r>
    </w:p>
    <w:p>
      <w:pPr>
        <w:pStyle w:val="73"/>
        <w:keepNext/>
        <w:keepLines/>
        <w:pageBreakBefore w:val="0"/>
        <w:widowControl w:val="0"/>
        <w:kinsoku/>
        <w:wordWrap/>
        <w:overflowPunct/>
        <w:topLinePunct w:val="0"/>
        <w:autoSpaceDE/>
        <w:autoSpaceDN/>
        <w:bidi w:val="0"/>
        <w:adjustRightInd w:val="0"/>
        <w:snapToGrid w:val="0"/>
        <w:spacing w:beforeLines="0" w:afterLines="0" w:line="560" w:lineRule="exact"/>
        <w:ind w:firstLine="600"/>
        <w:textAlignment w:val="auto"/>
        <w:rPr>
          <w:rFonts w:hint="eastAsia" w:ascii="楷体" w:hAnsi="楷体" w:eastAsia="楷体"/>
          <w:szCs w:val="30"/>
          <w:lang w:eastAsia="zh-CN"/>
        </w:rPr>
      </w:pPr>
      <w:bookmarkStart w:id="39" w:name="_Toc836006634"/>
      <w:bookmarkStart w:id="40" w:name="_Toc1709487988"/>
      <w:r>
        <w:rPr>
          <w:rFonts w:hint="eastAsia" w:ascii="楷体" w:hAnsi="楷体" w:eastAsia="楷体"/>
          <w:szCs w:val="30"/>
          <w:lang w:eastAsia="zh-CN"/>
        </w:rPr>
        <w:t>（三）测试要求和说明</w:t>
      </w:r>
      <w:bookmarkEnd w:id="39"/>
      <w:bookmarkEnd w:id="40"/>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代码切换后，上市公司主体身份的连续性、投资者权益及相关业务办理的连续性不受影响。</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代码切换后，上市公司股票在北交所上市以来的行情信息按照新代码连续展示；全国中小企业股份转让系统（以下简称全国股转系统）原精选层平移至北交所的公司，行情自其进入精选层挂牌时起连续展示。上市公司股票在全国股转系统基础层和创新层挂牌期间的行情不再与北交所上市期间的行情连续展示。代码切换后首个交易日，股票前收盘价以其前一交易日原代码收盘价为其前收盘价。</w:t>
      </w:r>
    </w:p>
    <w:p>
      <w:pPr>
        <w:spacing w:line="560" w:lineRule="exact"/>
        <w:ind w:firstLine="600"/>
        <w:jc w:val="both"/>
        <w:rPr>
          <w:sz w:val="30"/>
          <w:szCs w:val="30"/>
        </w:rPr>
      </w:pPr>
      <w:r>
        <w:rPr>
          <w:rFonts w:hint="eastAsia" w:cs="Times New Roman"/>
          <w:color w:val="000000" w:themeColor="text1"/>
          <w:sz w:val="30"/>
          <w:szCs w:val="30"/>
          <w14:textFill>
            <w14:solidFill>
              <w14:schemeClr w14:val="tx1"/>
            </w14:solidFill>
          </w14:textFill>
        </w:rPr>
        <w:t>代码切换完成后，APP、客户端等周边系统如支持搜索栏搜索</w:t>
      </w:r>
      <w:r>
        <w:rPr>
          <w:rFonts w:hint="eastAsia" w:cs="Times New Roman"/>
          <w:color w:val="000000" w:themeColor="text1"/>
          <w:sz w:val="30"/>
          <w:szCs w:val="30"/>
          <w:lang w:eastAsia="zh-CN"/>
          <w14:textFill>
            <w14:solidFill>
              <w14:schemeClr w14:val="tx1"/>
            </w14:solidFill>
          </w14:textFill>
        </w:rPr>
        <w:t>原</w:t>
      </w:r>
      <w:r>
        <w:rPr>
          <w:rFonts w:hint="eastAsia" w:cs="Times New Roman"/>
          <w:color w:val="000000" w:themeColor="text1"/>
          <w:sz w:val="30"/>
          <w:szCs w:val="30"/>
          <w14:textFill>
            <w14:solidFill>
              <w14:schemeClr w14:val="tx1"/>
            </w14:solidFill>
          </w14:textFill>
        </w:rPr>
        <w:t>代码或展示</w:t>
      </w:r>
      <w:r>
        <w:rPr>
          <w:rFonts w:hint="eastAsia" w:cs="Times New Roman"/>
          <w:color w:val="000000" w:themeColor="text1"/>
          <w:sz w:val="30"/>
          <w:szCs w:val="30"/>
          <w:lang w:eastAsia="zh-CN"/>
          <w14:textFill>
            <w14:solidFill>
              <w14:schemeClr w14:val="tx1"/>
            </w14:solidFill>
          </w14:textFill>
        </w:rPr>
        <w:t>原</w:t>
      </w:r>
      <w:r>
        <w:rPr>
          <w:rFonts w:hint="eastAsia" w:cs="Times New Roman"/>
          <w:color w:val="000000" w:themeColor="text1"/>
          <w:sz w:val="30"/>
          <w:szCs w:val="30"/>
          <w14:textFill>
            <w14:solidFill>
              <w14:schemeClr w14:val="tx1"/>
            </w14:solidFill>
          </w14:textFill>
        </w:rPr>
        <w:t>代码行情信息，相应</w:t>
      </w:r>
      <w:r>
        <w:rPr>
          <w:rFonts w:hint="eastAsia" w:cs="Times New Roman"/>
          <w:color w:val="000000" w:themeColor="text1"/>
          <w:sz w:val="30"/>
          <w:szCs w:val="30"/>
          <w:lang w:eastAsia="zh-CN"/>
          <w14:textFill>
            <w14:solidFill>
              <w14:schemeClr w14:val="tx1"/>
            </w14:solidFill>
          </w14:textFill>
        </w:rPr>
        <w:t>原</w:t>
      </w:r>
      <w:r>
        <w:rPr>
          <w:rFonts w:hint="eastAsia" w:cs="Times New Roman"/>
          <w:color w:val="000000" w:themeColor="text1"/>
          <w:sz w:val="30"/>
          <w:szCs w:val="30"/>
          <w14:textFill>
            <w14:solidFill>
              <w14:schemeClr w14:val="tx1"/>
            </w14:solidFill>
          </w14:textFill>
        </w:rPr>
        <w:t>代码的交易状态提示信息显示“已切换”或“已切换代码”。</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投资者所持原代码下的证券持仓，自切换日起变更为新代码，切换前后投资者持股相关信息除证券代码外均保持不变，持股时间连续计算。</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代码切换完成后，按原代码产生的融资融券未了结合约按照新代码继续有效，办理展期、保证金余额计算、维保比例计算等投资者权益不受代码切换影响。对大股东、董事、监事（如有）、高级管理人员、持有原始股的股东等的融资融券交易限制应当按照新代码进行控制。券商融资融券余额数据应使用新代码报送。</w:t>
      </w:r>
    </w:p>
    <w:p>
      <w:pPr>
        <w:spacing w:line="560" w:lineRule="exact"/>
        <w:ind w:firstLine="600"/>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北交所做市权限将由</w:t>
      </w:r>
      <w:r>
        <w:rPr>
          <w:rFonts w:hint="eastAsia" w:cs="Times New Roman"/>
          <w:color w:val="000000" w:themeColor="text1"/>
          <w:sz w:val="30"/>
          <w:szCs w:val="30"/>
          <w:lang w:eastAsia="zh-CN"/>
          <w14:textFill>
            <w14:solidFill>
              <w14:schemeClr w14:val="tx1"/>
            </w14:solidFill>
          </w14:textFill>
        </w:rPr>
        <w:t>原</w:t>
      </w:r>
      <w:bookmarkStart w:id="134" w:name="_GoBack"/>
      <w:bookmarkEnd w:id="134"/>
      <w:r>
        <w:rPr>
          <w:rFonts w:hint="eastAsia" w:cs="Times New Roman"/>
          <w:color w:val="000000" w:themeColor="text1"/>
          <w:sz w:val="30"/>
          <w:szCs w:val="30"/>
          <w14:textFill>
            <w14:solidFill>
              <w14:schemeClr w14:val="tx1"/>
            </w14:solidFill>
          </w14:textFill>
        </w:rPr>
        <w:t>代码切换至新代码。</w:t>
      </w:r>
    </w:p>
    <w:p>
      <w:pPr>
        <w:pStyle w:val="2"/>
        <w:spacing w:line="560" w:lineRule="exact"/>
        <w:ind w:firstLine="600"/>
        <w:rPr>
          <w:rFonts w:ascii="Times New Roman" w:hAnsi="Times New Roman" w:eastAsia="仿宋"/>
          <w:color w:val="000000" w:themeColor="text1"/>
          <w:sz w:val="30"/>
          <w:szCs w:val="30"/>
          <w14:textFill>
            <w14:solidFill>
              <w14:schemeClr w14:val="tx1"/>
            </w14:solidFill>
          </w14:textFill>
        </w:rPr>
      </w:pPr>
      <w:r>
        <w:rPr>
          <w:rFonts w:hint="eastAsia" w:ascii="Times New Roman" w:hAnsi="Times New Roman" w:eastAsia="仿宋"/>
          <w:color w:val="000000" w:themeColor="text1"/>
          <w:sz w:val="30"/>
          <w:szCs w:val="30"/>
          <w14:textFill>
            <w14:solidFill>
              <w14:schemeClr w14:val="tx1"/>
            </w14:solidFill>
          </w14:textFill>
        </w:rPr>
        <w:t>代码切换完成后，参测机构需保证所有已开展业务的功能正确。</w:t>
      </w:r>
    </w:p>
    <w:p>
      <w:pPr>
        <w:spacing w:line="560" w:lineRule="exact"/>
        <w:ind w:firstLine="600"/>
        <w:rPr>
          <w:sz w:val="30"/>
          <w:szCs w:val="30"/>
        </w:rPr>
      </w:pPr>
      <w:r>
        <w:rPr>
          <w:rFonts w:hint="eastAsia" w:cs="Times New Roman"/>
          <w:color w:val="000000" w:themeColor="text1"/>
          <w:sz w:val="30"/>
          <w:szCs w:val="30"/>
          <w14:textFill>
            <w14:solidFill>
              <w14:schemeClr w14:val="tx1"/>
            </w14:solidFill>
          </w14:textFill>
        </w:rPr>
        <w:t>中国结算相关业务测试要求以中国结算测试方案为准。</w:t>
      </w:r>
    </w:p>
    <w:p>
      <w:pPr>
        <w:pStyle w:val="73"/>
        <w:pageBreakBefore w:val="0"/>
        <w:kinsoku/>
        <w:wordWrap/>
        <w:overflowPunct/>
        <w:topLinePunct w:val="0"/>
        <w:bidi w:val="0"/>
        <w:spacing w:before="163" w:after="163" w:line="560" w:lineRule="exact"/>
        <w:ind w:firstLine="600"/>
        <w:rPr>
          <w:szCs w:val="30"/>
        </w:rPr>
      </w:pPr>
      <w:bookmarkStart w:id="41" w:name="_Toc652945123"/>
      <w:bookmarkStart w:id="42" w:name="_Toc1410016687"/>
      <w:r>
        <w:rPr>
          <w:rFonts w:hint="eastAsia"/>
          <w:szCs w:val="30"/>
        </w:rPr>
        <w:t>七、通关测试</w:t>
      </w:r>
      <w:r>
        <w:rPr>
          <w:szCs w:val="30"/>
        </w:rPr>
        <w:t>数据准备</w:t>
      </w:r>
      <w:bookmarkEnd w:id="41"/>
      <w:bookmarkEnd w:id="42"/>
    </w:p>
    <w:p>
      <w:pPr>
        <w:pStyle w:val="73"/>
        <w:keepNext/>
        <w:keepLines/>
        <w:pageBreakBefore w:val="0"/>
        <w:widowControl w:val="0"/>
        <w:kinsoku/>
        <w:wordWrap/>
        <w:overflowPunct/>
        <w:topLinePunct w:val="0"/>
        <w:autoSpaceDE/>
        <w:autoSpaceDN/>
        <w:bidi w:val="0"/>
        <w:adjustRightInd w:val="0"/>
        <w:snapToGrid w:val="0"/>
        <w:spacing w:beforeLines="0" w:afterLines="0" w:line="560" w:lineRule="exact"/>
        <w:ind w:firstLine="600"/>
        <w:textAlignment w:val="auto"/>
        <w:rPr>
          <w:rFonts w:ascii="楷体" w:hAnsi="楷体" w:eastAsia="楷体"/>
          <w:szCs w:val="30"/>
        </w:rPr>
      </w:pPr>
      <w:bookmarkStart w:id="43" w:name="_Toc244309874"/>
      <w:bookmarkStart w:id="44" w:name="_Toc1191708739"/>
      <w:bookmarkStart w:id="45" w:name="_Toc12033606"/>
      <w:bookmarkStart w:id="46" w:name="_Toc25940495"/>
      <w:bookmarkStart w:id="47" w:name="_Toc2132387384"/>
      <w:bookmarkStart w:id="48" w:name="_Toc1763740745"/>
      <w:bookmarkStart w:id="49" w:name="_Toc1160428971"/>
      <w:bookmarkStart w:id="50" w:name="_Toc502216522"/>
      <w:bookmarkStart w:id="51" w:name="_Toc90935432"/>
      <w:bookmarkStart w:id="52" w:name="_Toc583442579"/>
      <w:bookmarkStart w:id="53" w:name="_Toc502217616"/>
      <w:bookmarkStart w:id="54" w:name="_Toc375070738"/>
      <w:bookmarkStart w:id="55" w:name="_Toc374381862"/>
      <w:bookmarkStart w:id="56" w:name="_Toc376285233"/>
      <w:bookmarkStart w:id="57" w:name="_Toc1386646997"/>
      <w:bookmarkStart w:id="58" w:name="_Toc374381928"/>
      <w:bookmarkStart w:id="59" w:name="_Toc376597526"/>
      <w:bookmarkStart w:id="60" w:name="_Toc375557974"/>
      <w:bookmarkStart w:id="61" w:name="_Toc374957920"/>
      <w:r>
        <w:rPr>
          <w:rFonts w:hint="eastAsia" w:ascii="楷体" w:hAnsi="楷体" w:eastAsia="楷体"/>
          <w:szCs w:val="30"/>
        </w:rPr>
        <w:t>（一）</w:t>
      </w:r>
      <w:r>
        <w:rPr>
          <w:rFonts w:ascii="楷体" w:hAnsi="楷体" w:eastAsia="楷体"/>
          <w:szCs w:val="30"/>
        </w:rPr>
        <w:t>证券行情信息和证券信息</w:t>
      </w:r>
      <w:bookmarkEnd w:id="43"/>
      <w:bookmarkEnd w:id="44"/>
      <w:bookmarkEnd w:id="45"/>
      <w:bookmarkEnd w:id="46"/>
      <w:bookmarkEnd w:id="47"/>
      <w:bookmarkEnd w:id="48"/>
      <w:bookmarkEnd w:id="49"/>
      <w:bookmarkEnd w:id="50"/>
      <w:bookmarkEnd w:id="51"/>
      <w:bookmarkEnd w:id="52"/>
      <w:bookmarkEnd w:id="53"/>
    </w:p>
    <w:p>
      <w:pPr>
        <w:pageBreakBefore w:val="0"/>
        <w:widowControl w:val="0"/>
        <w:kinsoku/>
        <w:wordWrap/>
        <w:overflowPunct/>
        <w:topLinePunct w:val="0"/>
        <w:bidi w:val="0"/>
        <w:spacing w:line="560" w:lineRule="exact"/>
        <w:ind w:firstLine="600"/>
        <w:jc w:val="both"/>
        <w:rPr>
          <w:rFonts w:cs="Times New Roman"/>
          <w:sz w:val="30"/>
          <w:szCs w:val="30"/>
        </w:rPr>
      </w:pPr>
      <w:r>
        <w:rPr>
          <w:rFonts w:cs="Times New Roman"/>
          <w:sz w:val="30"/>
          <w:szCs w:val="30"/>
        </w:rPr>
        <w:t>证券初始行情信息和初始信息</w:t>
      </w:r>
      <w:r>
        <w:rPr>
          <w:rFonts w:hint="eastAsia" w:cs="Times New Roman"/>
          <w:sz w:val="30"/>
          <w:szCs w:val="30"/>
        </w:rPr>
        <w:t>基于</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（2025年</w:t>
      </w:r>
      <w:r>
        <w:rPr>
          <w:rFonts w:hint="eastAsia" w:cs="Times New Roman"/>
          <w:color w:val="000000" w:themeColor="text1"/>
          <w:sz w:val="30"/>
          <w:szCs w:val="30"/>
          <w:lang w:val="en-US" w:eastAsia="zh-CN"/>
          <w14:textFill>
            <w14:solidFill>
              <w14:schemeClr w14:val="tx1"/>
            </w14:solidFill>
          </w14:textFill>
        </w:rPr>
        <w:t>9</w:t>
      </w:r>
      <w:r>
        <w:rPr>
          <w:rFonts w:hint="eastAsia" w:cs="Times New Roman"/>
          <w:color w:val="000000" w:themeColor="text1"/>
          <w:sz w:val="30"/>
          <w:szCs w:val="30"/>
          <w14:textFill>
            <w14:solidFill>
              <w14:schemeClr w14:val="tx1"/>
            </w14:solidFill>
          </w14:textFill>
        </w:rPr>
        <w:t>月30日）</w:t>
      </w:r>
      <w:r>
        <w:rPr>
          <w:rFonts w:hint="eastAsia" w:cs="Times New Roman"/>
          <w:sz w:val="30"/>
          <w:szCs w:val="30"/>
        </w:rPr>
        <w:t>交易支持平台生产</w:t>
      </w:r>
      <w:r>
        <w:rPr>
          <w:rFonts w:cs="Times New Roman"/>
          <w:sz w:val="30"/>
          <w:szCs w:val="30"/>
        </w:rPr>
        <w:t>环境收盘行情（NQHQ.DBF）和证券信息（NQXX.DBF）</w:t>
      </w:r>
      <w:r>
        <w:rPr>
          <w:rFonts w:hint="eastAsia" w:cs="Times New Roman"/>
          <w:sz w:val="30"/>
          <w:szCs w:val="30"/>
        </w:rPr>
        <w:t>，以完成证券代码切换后的数据</w:t>
      </w:r>
      <w:r>
        <w:rPr>
          <w:rFonts w:cs="Times New Roman"/>
          <w:sz w:val="30"/>
          <w:szCs w:val="30"/>
        </w:rPr>
        <w:t>为准。</w:t>
      </w:r>
    </w:p>
    <w:p>
      <w:pPr>
        <w:pStyle w:val="73"/>
        <w:keepNext/>
        <w:keepLines/>
        <w:pageBreakBefore w:val="0"/>
        <w:widowControl w:val="0"/>
        <w:kinsoku/>
        <w:wordWrap/>
        <w:overflowPunct/>
        <w:topLinePunct w:val="0"/>
        <w:autoSpaceDE/>
        <w:autoSpaceDN/>
        <w:bidi w:val="0"/>
        <w:adjustRightInd w:val="0"/>
        <w:snapToGrid w:val="0"/>
        <w:spacing w:beforeLines="0" w:afterLines="0" w:line="560" w:lineRule="exact"/>
        <w:ind w:firstLine="600"/>
        <w:textAlignment w:val="auto"/>
        <w:rPr>
          <w:rFonts w:hint="eastAsia" w:ascii="楷体" w:hAnsi="楷体" w:eastAsia="楷体"/>
          <w:szCs w:val="30"/>
        </w:rPr>
      </w:pPr>
      <w:bookmarkStart w:id="62" w:name="_Toc686767262"/>
      <w:bookmarkStart w:id="63" w:name="_Toc2090309685"/>
      <w:bookmarkStart w:id="64" w:name="_Toc1255984761"/>
      <w:bookmarkStart w:id="65" w:name="_Toc569342026"/>
      <w:bookmarkStart w:id="66" w:name="_Toc659676107"/>
      <w:bookmarkStart w:id="67" w:name="_Toc1239533139"/>
      <w:bookmarkStart w:id="68" w:name="_Toc439689166"/>
      <w:bookmarkStart w:id="69" w:name="_Toc565712442"/>
      <w:bookmarkStart w:id="70" w:name="_Toc502216523"/>
      <w:bookmarkStart w:id="71" w:name="_Toc996045584"/>
      <w:bookmarkStart w:id="72" w:name="_Toc502217617"/>
      <w:r>
        <w:rPr>
          <w:rFonts w:hint="eastAsia" w:ascii="楷体" w:hAnsi="楷体" w:eastAsia="楷体"/>
          <w:szCs w:val="30"/>
        </w:rPr>
        <w:t>（二）证券账户、交易单元、托管单元及持仓</w:t>
      </w:r>
      <w:bookmarkEnd w:id="62"/>
      <w:bookmarkEnd w:id="63"/>
      <w:bookmarkEnd w:id="64"/>
      <w:bookmarkEnd w:id="65"/>
      <w:bookmarkEnd w:id="66"/>
      <w:bookmarkEnd w:id="67"/>
      <w:bookmarkEnd w:id="68"/>
      <w:bookmarkEnd w:id="69"/>
      <w:bookmarkEnd w:id="70"/>
      <w:bookmarkEnd w:id="71"/>
      <w:bookmarkEnd w:id="72"/>
    </w:p>
    <w:p>
      <w:pPr>
        <w:pageBreakBefore w:val="0"/>
        <w:widowControl w:val="0"/>
        <w:kinsoku/>
        <w:wordWrap/>
        <w:overflowPunct/>
        <w:topLinePunct w:val="0"/>
        <w:bidi w:val="0"/>
        <w:spacing w:line="560" w:lineRule="exact"/>
        <w:ind w:firstLine="600"/>
        <w:jc w:val="both"/>
        <w:rPr>
          <w:rFonts w:cs="Times New Roman"/>
          <w:sz w:val="30"/>
          <w:szCs w:val="30"/>
        </w:rPr>
      </w:pPr>
      <w:r>
        <w:rPr>
          <w:rFonts w:cs="Times New Roman"/>
          <w:sz w:val="30"/>
          <w:szCs w:val="30"/>
        </w:rPr>
        <w:t>证券账户及持仓的初始信息</w:t>
      </w:r>
      <w:r>
        <w:rPr>
          <w:rFonts w:hint="eastAsia" w:cs="Times New Roman"/>
          <w:sz w:val="30"/>
          <w:szCs w:val="30"/>
        </w:rPr>
        <w:t>基于</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（2025年</w:t>
      </w:r>
      <w:r>
        <w:rPr>
          <w:rFonts w:hint="eastAsia" w:cs="Times New Roman"/>
          <w:color w:val="000000" w:themeColor="text1"/>
          <w:sz w:val="30"/>
          <w:szCs w:val="30"/>
          <w:lang w:val="en-US" w:eastAsia="zh-CN"/>
          <w14:textFill>
            <w14:solidFill>
              <w14:schemeClr w14:val="tx1"/>
            </w14:solidFill>
          </w14:textFill>
        </w:rPr>
        <w:t>9</w:t>
      </w:r>
      <w:r>
        <w:rPr>
          <w:rFonts w:hint="eastAsia" w:cs="Times New Roman"/>
          <w:color w:val="000000" w:themeColor="text1"/>
          <w:sz w:val="30"/>
          <w:szCs w:val="30"/>
          <w14:textFill>
            <w14:solidFill>
              <w14:schemeClr w14:val="tx1"/>
            </w14:solidFill>
          </w14:textFill>
        </w:rPr>
        <w:t>月30日）</w:t>
      </w:r>
      <w:r>
        <w:rPr>
          <w:rFonts w:cs="Times New Roman"/>
          <w:sz w:val="30"/>
          <w:szCs w:val="30"/>
        </w:rPr>
        <w:t>中国结算</w:t>
      </w:r>
      <w:r>
        <w:rPr>
          <w:rFonts w:hint="eastAsia" w:cs="Times New Roman"/>
          <w:sz w:val="30"/>
          <w:szCs w:val="30"/>
        </w:rPr>
        <w:t>生产</w:t>
      </w:r>
      <w:r>
        <w:rPr>
          <w:rFonts w:cs="Times New Roman"/>
          <w:sz w:val="30"/>
          <w:szCs w:val="30"/>
        </w:rPr>
        <w:t>环境日终数据</w:t>
      </w:r>
      <w:r>
        <w:rPr>
          <w:rFonts w:hint="eastAsia" w:cs="Times New Roman"/>
          <w:sz w:val="30"/>
          <w:szCs w:val="30"/>
        </w:rPr>
        <w:t>，以完成证券代码切换后的数据</w:t>
      </w:r>
      <w:r>
        <w:rPr>
          <w:rFonts w:cs="Times New Roman"/>
          <w:sz w:val="30"/>
          <w:szCs w:val="30"/>
        </w:rPr>
        <w:t>为准。</w:t>
      </w:r>
    </w:p>
    <w:p>
      <w:pPr>
        <w:pStyle w:val="73"/>
        <w:keepNext/>
        <w:keepLines/>
        <w:pageBreakBefore w:val="0"/>
        <w:widowControl w:val="0"/>
        <w:kinsoku/>
        <w:wordWrap/>
        <w:overflowPunct/>
        <w:topLinePunct w:val="0"/>
        <w:autoSpaceDE/>
        <w:autoSpaceDN/>
        <w:bidi w:val="0"/>
        <w:adjustRightInd w:val="0"/>
        <w:snapToGrid w:val="0"/>
        <w:spacing w:beforeLines="0" w:afterLines="0" w:line="560" w:lineRule="exact"/>
        <w:ind w:firstLine="600"/>
        <w:textAlignment w:val="auto"/>
        <w:rPr>
          <w:rFonts w:hint="eastAsia" w:ascii="楷体" w:hAnsi="楷体" w:eastAsia="楷体"/>
          <w:szCs w:val="30"/>
        </w:rPr>
      </w:pPr>
      <w:bookmarkStart w:id="73" w:name="_Toc168334757"/>
      <w:bookmarkStart w:id="74" w:name="_Toc502216528"/>
      <w:bookmarkStart w:id="75" w:name="_Toc120990873"/>
      <w:bookmarkStart w:id="76" w:name="_Toc712580437"/>
      <w:bookmarkStart w:id="77" w:name="_Toc1638636822"/>
      <w:bookmarkStart w:id="78" w:name="_Toc1620748154"/>
      <w:bookmarkStart w:id="79" w:name="_Toc1262494566"/>
      <w:bookmarkStart w:id="80" w:name="_Toc1399553035"/>
      <w:bookmarkStart w:id="81" w:name="_Toc886147810"/>
      <w:bookmarkStart w:id="82" w:name="_Toc960123003"/>
      <w:bookmarkStart w:id="83" w:name="_Toc502217622"/>
      <w:r>
        <w:rPr>
          <w:rFonts w:hint="eastAsia" w:ascii="楷体" w:hAnsi="楷体" w:eastAsia="楷体"/>
          <w:szCs w:val="30"/>
        </w:rPr>
        <w:t>（三）交易网关、行情网关和结算网关</w:t>
      </w:r>
      <w:bookmarkEnd w:id="73"/>
      <w:bookmarkEnd w:id="74"/>
      <w:bookmarkEnd w:id="75"/>
      <w:bookmarkEnd w:id="76"/>
      <w:bookmarkEnd w:id="77"/>
      <w:bookmarkEnd w:id="78"/>
      <w:bookmarkEnd w:id="79"/>
      <w:bookmarkEnd w:id="80"/>
      <w:bookmarkEnd w:id="81"/>
      <w:bookmarkEnd w:id="82"/>
      <w:bookmarkEnd w:id="83"/>
    </w:p>
    <w:p>
      <w:pPr>
        <w:pageBreakBefore w:val="0"/>
        <w:widowControl w:val="0"/>
        <w:kinsoku/>
        <w:wordWrap/>
        <w:overflowPunct/>
        <w:topLinePunct w:val="0"/>
        <w:bidi w:val="0"/>
        <w:spacing w:line="560" w:lineRule="exact"/>
        <w:ind w:firstLine="600"/>
        <w:jc w:val="both"/>
        <w:rPr>
          <w:rFonts w:cs="Times New Roman"/>
          <w:sz w:val="30"/>
          <w:szCs w:val="30"/>
        </w:rPr>
      </w:pPr>
      <w:r>
        <w:rPr>
          <w:rFonts w:cs="Times New Roman"/>
          <w:sz w:val="30"/>
          <w:szCs w:val="30"/>
        </w:rPr>
        <w:t>交易网关、行情网关、结算网关的初始用户与密码以</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（2025年</w:t>
      </w:r>
      <w:r>
        <w:rPr>
          <w:rFonts w:hint="eastAsia" w:cs="Times New Roman"/>
          <w:color w:val="000000" w:themeColor="text1"/>
          <w:sz w:val="30"/>
          <w:szCs w:val="30"/>
          <w:lang w:val="en-US" w:eastAsia="zh-CN"/>
          <w14:textFill>
            <w14:solidFill>
              <w14:schemeClr w14:val="tx1"/>
            </w14:solidFill>
          </w14:textFill>
        </w:rPr>
        <w:t>9</w:t>
      </w:r>
      <w:r>
        <w:rPr>
          <w:rFonts w:hint="eastAsia" w:cs="Times New Roman"/>
          <w:color w:val="000000" w:themeColor="text1"/>
          <w:sz w:val="30"/>
          <w:szCs w:val="30"/>
          <w14:textFill>
            <w14:solidFill>
              <w14:schemeClr w14:val="tx1"/>
            </w14:solidFill>
          </w14:textFill>
        </w:rPr>
        <w:t>月30日）</w:t>
      </w:r>
      <w:r>
        <w:rPr>
          <w:rFonts w:cs="Times New Roman"/>
          <w:sz w:val="30"/>
          <w:szCs w:val="30"/>
        </w:rPr>
        <w:t>深证通</w:t>
      </w:r>
      <w:r>
        <w:rPr>
          <w:rFonts w:hint="eastAsia" w:cs="Times New Roman"/>
          <w:sz w:val="30"/>
          <w:szCs w:val="30"/>
        </w:rPr>
        <w:t>生产</w:t>
      </w:r>
      <w:r>
        <w:rPr>
          <w:rFonts w:cs="Times New Roman"/>
          <w:sz w:val="30"/>
          <w:szCs w:val="30"/>
        </w:rPr>
        <w:t>环境闭市时数据为准。</w:t>
      </w:r>
    </w:p>
    <w:p>
      <w:pPr>
        <w:pStyle w:val="73"/>
        <w:keepNext/>
        <w:keepLines/>
        <w:pageBreakBefore w:val="0"/>
        <w:widowControl w:val="0"/>
        <w:kinsoku/>
        <w:wordWrap/>
        <w:overflowPunct/>
        <w:topLinePunct w:val="0"/>
        <w:autoSpaceDE/>
        <w:autoSpaceDN/>
        <w:bidi w:val="0"/>
        <w:adjustRightInd w:val="0"/>
        <w:snapToGrid w:val="0"/>
        <w:spacing w:beforeLines="0" w:afterLines="0" w:line="560" w:lineRule="exact"/>
        <w:ind w:firstLine="600"/>
        <w:textAlignment w:val="auto"/>
        <w:rPr>
          <w:rFonts w:hint="eastAsia" w:ascii="楷体" w:hAnsi="楷体" w:eastAsia="楷体"/>
          <w:szCs w:val="30"/>
        </w:rPr>
      </w:pPr>
      <w:bookmarkStart w:id="84" w:name="_Toc938010188"/>
      <w:bookmarkStart w:id="85" w:name="_Toc976962490"/>
      <w:bookmarkStart w:id="86" w:name="_Toc484947395"/>
      <w:bookmarkStart w:id="87" w:name="_Toc676088891"/>
      <w:bookmarkStart w:id="88" w:name="_Toc1313986375"/>
      <w:bookmarkStart w:id="89" w:name="_Toc386055763"/>
      <w:bookmarkStart w:id="90" w:name="_Toc1913828385"/>
      <w:bookmarkStart w:id="91" w:name="_Toc233371306"/>
      <w:bookmarkStart w:id="92" w:name="_Toc640317283"/>
      <w:r>
        <w:rPr>
          <w:rFonts w:hint="eastAsia" w:ascii="楷体" w:hAnsi="楷体" w:eastAsia="楷体"/>
          <w:szCs w:val="30"/>
        </w:rPr>
        <w:t>（四）FDEP小站</w:t>
      </w:r>
      <w:bookmarkEnd w:id="84"/>
      <w:bookmarkEnd w:id="85"/>
      <w:bookmarkEnd w:id="86"/>
      <w:bookmarkEnd w:id="87"/>
      <w:bookmarkEnd w:id="88"/>
      <w:bookmarkEnd w:id="89"/>
      <w:bookmarkEnd w:id="90"/>
      <w:bookmarkEnd w:id="91"/>
      <w:bookmarkEnd w:id="92"/>
    </w:p>
    <w:p>
      <w:pPr>
        <w:pageBreakBefore w:val="0"/>
        <w:widowControl w:val="0"/>
        <w:kinsoku/>
        <w:wordWrap/>
        <w:overflowPunct/>
        <w:topLinePunct w:val="0"/>
        <w:bidi w:val="0"/>
        <w:spacing w:line="560" w:lineRule="exact"/>
        <w:ind w:firstLine="600"/>
        <w:jc w:val="both"/>
        <w:rPr>
          <w:rFonts w:cs="Times New Roman"/>
          <w:sz w:val="30"/>
          <w:szCs w:val="30"/>
        </w:rPr>
      </w:pPr>
      <w:r>
        <w:rPr>
          <w:rFonts w:hint="eastAsia" w:cs="Times New Roman"/>
          <w:sz w:val="30"/>
          <w:szCs w:val="30"/>
        </w:rPr>
        <w:t>证券公司用于接收交易支持平台下发文件的FDEP小站号</w:t>
      </w:r>
      <w:r>
        <w:rPr>
          <w:rFonts w:cs="Times New Roman"/>
          <w:sz w:val="30"/>
          <w:szCs w:val="30"/>
        </w:rPr>
        <w:t>以</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（2025年</w:t>
      </w:r>
      <w:r>
        <w:rPr>
          <w:rFonts w:hint="eastAsia" w:cs="Times New Roman"/>
          <w:color w:val="000000" w:themeColor="text1"/>
          <w:sz w:val="30"/>
          <w:szCs w:val="30"/>
          <w:lang w:val="en-US" w:eastAsia="zh-CN"/>
          <w14:textFill>
            <w14:solidFill>
              <w14:schemeClr w14:val="tx1"/>
            </w14:solidFill>
          </w14:textFill>
        </w:rPr>
        <w:t>9</w:t>
      </w:r>
      <w:r>
        <w:rPr>
          <w:rFonts w:hint="eastAsia" w:cs="Times New Roman"/>
          <w:color w:val="000000" w:themeColor="text1"/>
          <w:sz w:val="30"/>
          <w:szCs w:val="30"/>
          <w14:textFill>
            <w14:solidFill>
              <w14:schemeClr w14:val="tx1"/>
            </w14:solidFill>
          </w14:textFill>
        </w:rPr>
        <w:t>月30日）</w:t>
      </w:r>
      <w:r>
        <w:rPr>
          <w:rFonts w:hint="eastAsia" w:cs="Times New Roman"/>
          <w:sz w:val="30"/>
          <w:szCs w:val="30"/>
        </w:rPr>
        <w:t>深证通生产</w:t>
      </w:r>
      <w:r>
        <w:rPr>
          <w:rFonts w:cs="Times New Roman"/>
          <w:sz w:val="30"/>
          <w:szCs w:val="30"/>
        </w:rPr>
        <w:t>环境闭市时数据为准</w:t>
      </w:r>
      <w:r>
        <w:rPr>
          <w:rFonts w:hint="eastAsia" w:cs="Times New Roman"/>
          <w:sz w:val="30"/>
          <w:szCs w:val="30"/>
        </w:rPr>
        <w:t>。全国股转公司北交所FDEP小站号为k</w:t>
      </w:r>
      <w:r>
        <w:rPr>
          <w:rFonts w:cs="Times New Roman"/>
          <w:sz w:val="30"/>
          <w:szCs w:val="30"/>
        </w:rPr>
        <w:t>0903</w:t>
      </w:r>
      <w:r>
        <w:rPr>
          <w:rFonts w:hint="eastAsia" w:cs="Times New Roman"/>
          <w:sz w:val="30"/>
          <w:szCs w:val="30"/>
        </w:rPr>
        <w:t>。</w:t>
      </w:r>
    </w:p>
    <w:p>
      <w:pPr>
        <w:pStyle w:val="73"/>
        <w:pageBreakBefore w:val="0"/>
        <w:kinsoku/>
        <w:wordWrap/>
        <w:overflowPunct/>
        <w:topLinePunct w:val="0"/>
        <w:bidi w:val="0"/>
        <w:spacing w:before="163" w:after="163" w:line="560" w:lineRule="exact"/>
        <w:ind w:firstLine="600"/>
        <w:rPr>
          <w:szCs w:val="30"/>
        </w:rPr>
      </w:pPr>
      <w:bookmarkStart w:id="93" w:name="_Toc1068473497"/>
      <w:r>
        <w:rPr>
          <w:rFonts w:hint="eastAsia"/>
          <w:szCs w:val="30"/>
        </w:rPr>
        <w:t>八、通关测试</w:t>
      </w:r>
      <w:r>
        <w:rPr>
          <w:szCs w:val="30"/>
        </w:rPr>
        <w:t>系统接入方式</w:t>
      </w:r>
      <w:bookmarkEnd w:id="54"/>
      <w:bookmarkEnd w:id="55"/>
      <w:bookmarkEnd w:id="56"/>
      <w:bookmarkEnd w:id="57"/>
      <w:bookmarkEnd w:id="58"/>
      <w:bookmarkEnd w:id="59"/>
      <w:bookmarkEnd w:id="60"/>
      <w:bookmarkEnd w:id="61"/>
      <w:bookmarkEnd w:id="93"/>
    </w:p>
    <w:p>
      <w:pPr>
        <w:pStyle w:val="73"/>
        <w:keepNext/>
        <w:keepLines/>
        <w:pageBreakBefore w:val="0"/>
        <w:widowControl w:val="0"/>
        <w:kinsoku/>
        <w:wordWrap/>
        <w:overflowPunct/>
        <w:topLinePunct w:val="0"/>
        <w:autoSpaceDE/>
        <w:autoSpaceDN/>
        <w:bidi w:val="0"/>
        <w:adjustRightInd w:val="0"/>
        <w:snapToGrid w:val="0"/>
        <w:spacing w:beforeLines="0" w:afterLines="0" w:line="560" w:lineRule="exact"/>
        <w:ind w:firstLine="600"/>
        <w:textAlignment w:val="auto"/>
        <w:rPr>
          <w:rFonts w:hint="eastAsia" w:ascii="楷体" w:hAnsi="楷体" w:eastAsia="楷体"/>
          <w:szCs w:val="30"/>
          <w:lang w:eastAsia="zh-CN"/>
        </w:rPr>
      </w:pPr>
      <w:bookmarkStart w:id="94" w:name="_Toc157623432"/>
      <w:bookmarkStart w:id="95" w:name="_Toc416422123"/>
      <w:bookmarkStart w:id="96" w:name="_Toc1978379314"/>
      <w:bookmarkStart w:id="97" w:name="_Toc502850310"/>
      <w:bookmarkStart w:id="98" w:name="_Toc2059987332"/>
      <w:bookmarkStart w:id="99" w:name="_Toc376597528"/>
      <w:bookmarkStart w:id="100" w:name="_Toc375557976"/>
      <w:bookmarkStart w:id="101" w:name="_Toc374957922"/>
      <w:bookmarkStart w:id="102" w:name="_Toc375070740"/>
      <w:bookmarkStart w:id="103" w:name="_Toc374381864"/>
      <w:bookmarkStart w:id="104" w:name="_Toc376285235"/>
      <w:bookmarkStart w:id="105" w:name="_Toc374381930"/>
      <w:bookmarkStart w:id="106" w:name="_Toc376597530"/>
      <w:bookmarkStart w:id="107" w:name="_Toc375070742"/>
      <w:bookmarkStart w:id="108" w:name="_Toc375557978"/>
      <w:bookmarkStart w:id="109" w:name="_Toc376285237"/>
      <w:bookmarkStart w:id="110" w:name="_Toc374957924"/>
      <w:bookmarkStart w:id="111" w:name="_Toc1509349101"/>
      <w:bookmarkStart w:id="112" w:name="_Toc374381866"/>
      <w:bookmarkStart w:id="113" w:name="_Toc374381932"/>
      <w:r>
        <w:rPr>
          <w:rFonts w:hint="eastAsia" w:ascii="楷体" w:hAnsi="楷体" w:eastAsia="楷体"/>
          <w:szCs w:val="30"/>
          <w:lang w:eastAsia="zh-CN"/>
        </w:rPr>
        <w:t>（一）参测机构接入深证通</w:t>
      </w:r>
      <w:bookmarkEnd w:id="94"/>
      <w:bookmarkEnd w:id="95"/>
      <w:bookmarkEnd w:id="96"/>
      <w:bookmarkEnd w:id="97"/>
      <w:bookmarkEnd w:id="98"/>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参测机构通过</w:t>
      </w:r>
      <w:r>
        <w:rPr>
          <w:rFonts w:hint="eastAsia" w:ascii="仿宋" w:hAnsi="仿宋" w:cs="Times New Roman"/>
          <w:color w:val="000000" w:themeColor="text1"/>
          <w:sz w:val="30"/>
          <w:szCs w:val="30"/>
          <w14:textFill>
            <w14:solidFill>
              <w14:schemeClr w14:val="tx1"/>
            </w14:solidFill>
          </w14:textFill>
        </w:rPr>
        <w:t>生产</w:t>
      </w:r>
      <w:r>
        <w:rPr>
          <w:rFonts w:ascii="仿宋" w:hAnsi="仿宋" w:cs="Times New Roman"/>
          <w:color w:val="000000" w:themeColor="text1"/>
          <w:sz w:val="30"/>
          <w:szCs w:val="30"/>
          <w14:textFill>
            <w14:solidFill>
              <w14:schemeClr w14:val="tx1"/>
            </w14:solidFill>
          </w14:textFill>
        </w:rPr>
        <w:t>环境线路接入深证通提供的</w:t>
      </w:r>
      <w:r>
        <w:rPr>
          <w:rFonts w:hint="eastAsia" w:ascii="仿宋" w:hAnsi="仿宋" w:cs="Times New Roman"/>
          <w:color w:val="000000" w:themeColor="text1"/>
          <w:sz w:val="30"/>
          <w:szCs w:val="30"/>
          <w14:textFill>
            <w14:solidFill>
              <w14:schemeClr w14:val="tx1"/>
            </w14:solidFill>
          </w14:textFill>
        </w:rPr>
        <w:t>通关测试</w:t>
      </w:r>
      <w:r>
        <w:rPr>
          <w:rFonts w:ascii="仿宋" w:hAnsi="仿宋" w:cs="Times New Roman"/>
          <w:color w:val="000000" w:themeColor="text1"/>
          <w:sz w:val="30"/>
          <w:szCs w:val="30"/>
          <w14:textFill>
            <w14:solidFill>
              <w14:schemeClr w14:val="tx1"/>
            </w14:solidFill>
          </w14:textFill>
        </w:rPr>
        <w:t>环境，如有问题，及时联系深证通。</w:t>
      </w:r>
    </w:p>
    <w:p>
      <w:pPr>
        <w:pStyle w:val="73"/>
        <w:keepNext/>
        <w:keepLines/>
        <w:pageBreakBefore w:val="0"/>
        <w:widowControl w:val="0"/>
        <w:kinsoku/>
        <w:wordWrap/>
        <w:overflowPunct/>
        <w:topLinePunct w:val="0"/>
        <w:autoSpaceDE/>
        <w:autoSpaceDN/>
        <w:bidi w:val="0"/>
        <w:adjustRightInd w:val="0"/>
        <w:snapToGrid w:val="0"/>
        <w:spacing w:beforeLines="0" w:afterLines="0" w:line="560" w:lineRule="exact"/>
        <w:ind w:firstLine="600"/>
        <w:textAlignment w:val="auto"/>
        <w:rPr>
          <w:rFonts w:hint="eastAsia" w:ascii="楷体" w:hAnsi="楷体" w:eastAsia="楷体"/>
          <w:szCs w:val="30"/>
          <w:lang w:eastAsia="zh-CN"/>
        </w:rPr>
      </w:pPr>
      <w:bookmarkStart w:id="114" w:name="_Toc1377912424"/>
      <w:bookmarkStart w:id="115" w:name="_Toc1923823863"/>
      <w:bookmarkStart w:id="116" w:name="_Toc157623433"/>
      <w:bookmarkStart w:id="117" w:name="_Toc695861923"/>
      <w:bookmarkStart w:id="118" w:name="_Toc386964499"/>
      <w:bookmarkStart w:id="119" w:name="_Toc416422124"/>
      <w:r>
        <w:rPr>
          <w:rFonts w:hint="eastAsia" w:ascii="楷体" w:hAnsi="楷体" w:eastAsia="楷体"/>
          <w:szCs w:val="30"/>
          <w:lang w:eastAsia="zh-CN"/>
        </w:rPr>
        <w:t>（二）参测机构接入中国结算</w:t>
      </w:r>
      <w:bookmarkEnd w:id="114"/>
      <w:bookmarkEnd w:id="115"/>
      <w:bookmarkEnd w:id="116"/>
      <w:bookmarkEnd w:id="117"/>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结算参与人通过生产地面线路接入通关测试环境，相关接入方式、配置内容与生产环境一致。CCNET可从深证通官方网站下载，地址为：https://biz.sscc.com/download.html，“交易结算业务”—&gt;“程序下载”—&gt;“股转结算通信系统（CCNET）”。</w:t>
      </w:r>
    </w:p>
    <w:p>
      <w:pPr>
        <w:pStyle w:val="73"/>
        <w:keepNext/>
        <w:keepLines/>
        <w:pageBreakBefore w:val="0"/>
        <w:widowControl w:val="0"/>
        <w:kinsoku/>
        <w:wordWrap/>
        <w:overflowPunct/>
        <w:topLinePunct w:val="0"/>
        <w:autoSpaceDE/>
        <w:autoSpaceDN/>
        <w:bidi w:val="0"/>
        <w:adjustRightInd w:val="0"/>
        <w:snapToGrid w:val="0"/>
        <w:spacing w:beforeLines="0" w:afterLines="0" w:line="560" w:lineRule="exact"/>
        <w:ind w:firstLine="600"/>
        <w:textAlignment w:val="auto"/>
        <w:rPr>
          <w:rFonts w:hint="eastAsia" w:ascii="楷体" w:hAnsi="楷体" w:eastAsia="楷体"/>
          <w:szCs w:val="30"/>
          <w:lang w:eastAsia="zh-CN"/>
        </w:rPr>
      </w:pPr>
      <w:bookmarkStart w:id="120" w:name="_Toc716568656"/>
      <w:bookmarkStart w:id="121" w:name="_Toc1383017056"/>
      <w:bookmarkStart w:id="122" w:name="_Toc157623434"/>
      <w:bookmarkStart w:id="123" w:name="_Toc939498377"/>
      <w:r>
        <w:rPr>
          <w:rFonts w:hint="eastAsia" w:ascii="楷体" w:hAnsi="楷体" w:eastAsia="楷体"/>
          <w:szCs w:val="30"/>
          <w:lang w:eastAsia="zh-CN"/>
        </w:rPr>
        <w:t>（三）测试相关软件下载</w:t>
      </w:r>
      <w:bookmarkEnd w:id="118"/>
      <w:bookmarkEnd w:id="119"/>
      <w:bookmarkEnd w:id="120"/>
      <w:bookmarkEnd w:id="121"/>
      <w:bookmarkEnd w:id="122"/>
      <w:bookmarkEnd w:id="123"/>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本次测试所需</w:t>
      </w:r>
      <w:r>
        <w:rPr>
          <w:rFonts w:hint="eastAsia" w:cs="Times New Roman"/>
          <w:color w:val="000000" w:themeColor="text1"/>
          <w:sz w:val="30"/>
          <w:szCs w:val="30"/>
          <w14:textFill>
            <w14:solidFill>
              <w14:schemeClr w14:val="tx1"/>
            </w14:solidFill>
          </w14:textFill>
        </w:rPr>
        <w:t>的</w:t>
      </w:r>
      <w:r>
        <w:rPr>
          <w:rFonts w:cs="Times New Roman"/>
          <w:color w:val="000000" w:themeColor="text1"/>
          <w:sz w:val="30"/>
          <w:szCs w:val="30"/>
          <w14:textFill>
            <w14:solidFill>
              <w14:schemeClr w14:val="tx1"/>
            </w14:solidFill>
          </w14:textFill>
        </w:rPr>
        <w:t>交易网关</w:t>
      </w:r>
      <w:r>
        <w:rPr>
          <w:rFonts w:hint="eastAsia" w:cs="Times New Roman"/>
          <w:color w:val="000000" w:themeColor="text1"/>
          <w:sz w:val="30"/>
          <w:szCs w:val="30"/>
          <w14:textFill>
            <w14:solidFill>
              <w14:schemeClr w14:val="tx1"/>
            </w14:solidFill>
          </w14:textFill>
        </w:rPr>
        <w:t>、行情网关均为现有生产</w:t>
      </w:r>
      <w:r>
        <w:rPr>
          <w:rFonts w:cs="Times New Roman"/>
          <w:color w:val="000000" w:themeColor="text1"/>
          <w:sz w:val="30"/>
          <w:szCs w:val="30"/>
          <w14:textFill>
            <w14:solidFill>
              <w14:schemeClr w14:val="tx1"/>
            </w14:solidFill>
          </w14:textFill>
        </w:rPr>
        <w:t>版本，</w:t>
      </w:r>
      <w:r>
        <w:rPr>
          <w:rFonts w:hint="eastAsia" w:cs="Times New Roman"/>
          <w:color w:val="000000" w:themeColor="text1"/>
          <w:sz w:val="30"/>
          <w:szCs w:val="30"/>
          <w14:textFill>
            <w14:solidFill>
              <w14:schemeClr w14:val="tx1"/>
            </w14:solidFill>
          </w14:textFill>
        </w:rPr>
        <w:t>可通过深证通官网（http://biz.sscc.com/download.html）页面下载。</w:t>
      </w:r>
    </w:p>
    <w:bookmarkEnd w:id="99"/>
    <w:bookmarkEnd w:id="100"/>
    <w:bookmarkEnd w:id="101"/>
    <w:bookmarkEnd w:id="102"/>
    <w:bookmarkEnd w:id="103"/>
    <w:bookmarkEnd w:id="104"/>
    <w:bookmarkEnd w:id="105"/>
    <w:p>
      <w:pPr>
        <w:pStyle w:val="73"/>
        <w:pageBreakBefore w:val="0"/>
        <w:kinsoku/>
        <w:wordWrap/>
        <w:overflowPunct/>
        <w:topLinePunct w:val="0"/>
        <w:bidi w:val="0"/>
        <w:spacing w:before="163" w:after="163" w:line="560" w:lineRule="exact"/>
        <w:ind w:firstLine="600"/>
        <w:rPr>
          <w:szCs w:val="30"/>
        </w:rPr>
      </w:pPr>
      <w:bookmarkStart w:id="124" w:name="_Toc574735005"/>
      <w:r>
        <w:rPr>
          <w:rFonts w:hint="eastAsia"/>
          <w:szCs w:val="30"/>
        </w:rPr>
        <w:t>九、</w:t>
      </w:r>
      <w:r>
        <w:rPr>
          <w:szCs w:val="30"/>
        </w:rPr>
        <w:t>测试要求及注意事项</w:t>
      </w:r>
      <w:bookmarkEnd w:id="106"/>
      <w:bookmarkEnd w:id="107"/>
      <w:bookmarkEnd w:id="108"/>
      <w:bookmarkEnd w:id="109"/>
      <w:bookmarkEnd w:id="110"/>
      <w:bookmarkEnd w:id="111"/>
      <w:bookmarkEnd w:id="112"/>
      <w:bookmarkEnd w:id="113"/>
      <w:bookmarkEnd w:id="124"/>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1.各市场机构应按照《实施指南》于</w:t>
      </w:r>
      <w:r>
        <w:rPr>
          <w:rFonts w:hint="eastAsia" w:cs="Times New Roman"/>
          <w:color w:val="000000" w:themeColor="text1"/>
          <w:sz w:val="30"/>
          <w:szCs w:val="30"/>
          <w:lang w:val="en-US" w:eastAsia="zh-CN"/>
          <w14:textFill>
            <w14:solidFill>
              <w14:schemeClr w14:val="tx1"/>
            </w14:solidFill>
          </w14:textFill>
        </w:rPr>
        <w:t>10</w:t>
      </w:r>
      <w:r>
        <w:rPr>
          <w:rFonts w:hint="eastAsia" w:cs="Times New Roman"/>
          <w:color w:val="000000" w:themeColor="text1"/>
          <w:sz w:val="30"/>
          <w:szCs w:val="30"/>
          <w14:textFill>
            <w14:solidFill>
              <w14:schemeClr w14:val="tx1"/>
            </w14:solidFill>
          </w14:textFill>
        </w:rPr>
        <w:t>月</w:t>
      </w:r>
      <w:r>
        <w:rPr>
          <w:rFonts w:hint="eastAsia" w:cs="Times New Roman"/>
          <w:color w:val="000000" w:themeColor="text1"/>
          <w:sz w:val="30"/>
          <w:szCs w:val="30"/>
          <w:lang w:val="en-US" w:eastAsia="zh-CN"/>
          <w14:textFill>
            <w14:solidFill>
              <w14:schemeClr w14:val="tx1"/>
            </w14:solidFill>
          </w14:textFill>
        </w:rPr>
        <w:t>1</w:t>
      </w:r>
      <w:r>
        <w:rPr>
          <w:rFonts w:hint="eastAsia" w:cs="Times New Roman"/>
          <w:color w:val="000000" w:themeColor="text1"/>
          <w:sz w:val="30"/>
          <w:szCs w:val="30"/>
          <w14:textFill>
            <w14:solidFill>
              <w14:schemeClr w14:val="tx1"/>
            </w14:solidFill>
          </w14:textFill>
        </w:rPr>
        <w:t>日开展技术系统代码切换工作，于</w:t>
      </w:r>
      <w:r>
        <w:rPr>
          <w:rFonts w:hint="eastAsia" w:cs="Times New Roman"/>
          <w:color w:val="000000" w:themeColor="text1"/>
          <w:sz w:val="30"/>
          <w:szCs w:val="30"/>
          <w:lang w:val="en-US" w:eastAsia="zh-CN"/>
          <w14:textFill>
            <w14:solidFill>
              <w14:schemeClr w14:val="tx1"/>
            </w14:solidFill>
          </w14:textFill>
        </w:rPr>
        <w:t>10</w:t>
      </w:r>
      <w:r>
        <w:rPr>
          <w:rFonts w:hint="eastAsia" w:cs="Times New Roman"/>
          <w:color w:val="000000" w:themeColor="text1"/>
          <w:sz w:val="30"/>
          <w:szCs w:val="30"/>
          <w14:textFill>
            <w14:solidFill>
              <w14:schemeClr w14:val="tx1"/>
            </w14:solidFill>
          </w14:textFill>
        </w:rPr>
        <w:t>月2日完成代码切换后数据核对工作，通过电子邮件将切换</w:t>
      </w:r>
      <w:r>
        <w:rPr>
          <w:rFonts w:hint="eastAsia" w:cs="Times New Roman"/>
          <w:color w:val="000000" w:themeColor="text1"/>
          <w:sz w:val="30"/>
          <w:szCs w:val="30"/>
          <w:lang w:eastAsia="zh-CN"/>
          <w14:textFill>
            <w14:solidFill>
              <w14:schemeClr w14:val="tx1"/>
            </w14:solidFill>
          </w14:textFill>
        </w:rPr>
        <w:t>和稽核</w:t>
      </w:r>
      <w:r>
        <w:rPr>
          <w:rFonts w:hint="eastAsia" w:cs="Times New Roman"/>
          <w:color w:val="000000" w:themeColor="text1"/>
          <w:sz w:val="30"/>
          <w:szCs w:val="30"/>
          <w14:textFill>
            <w14:solidFill>
              <w14:schemeClr w14:val="tx1"/>
            </w14:solidFill>
          </w14:textFill>
        </w:rPr>
        <w:t>情况（具体反馈项参考反馈报告）</w:t>
      </w:r>
      <w:r>
        <w:rPr>
          <w:rFonts w:hint="eastAsia" w:cs="Times New Roman"/>
          <w:color w:val="000000" w:themeColor="text1"/>
          <w:sz w:val="30"/>
          <w:szCs w:val="30"/>
          <w:lang w:eastAsia="zh-CN"/>
          <w14:textFill>
            <w14:solidFill>
              <w14:schemeClr w14:val="tx1"/>
            </w14:solidFill>
          </w14:textFill>
        </w:rPr>
        <w:t>于</w:t>
      </w:r>
      <w:r>
        <w:rPr>
          <w:rFonts w:hint="eastAsia" w:cs="Times New Roman"/>
          <w:color w:val="000000" w:themeColor="text1"/>
          <w:sz w:val="30"/>
          <w:szCs w:val="30"/>
          <w14:textFill>
            <w14:solidFill>
              <w14:schemeClr w14:val="tx1"/>
            </w14:solidFill>
          </w14:textFill>
        </w:rPr>
        <w:t>2025年</w:t>
      </w:r>
      <w:r>
        <w:rPr>
          <w:rFonts w:hint="eastAsia" w:cs="Times New Roman"/>
          <w:color w:val="000000" w:themeColor="text1"/>
          <w:sz w:val="30"/>
          <w:szCs w:val="30"/>
          <w:lang w:val="en-US" w:eastAsia="zh-CN"/>
          <w14:textFill>
            <w14:solidFill>
              <w14:schemeClr w14:val="tx1"/>
            </w14:solidFill>
          </w14:textFill>
        </w:rPr>
        <w:t>10</w:t>
      </w:r>
      <w:r>
        <w:rPr>
          <w:rFonts w:hint="eastAsia" w:cs="Times New Roman"/>
          <w:color w:val="000000" w:themeColor="text1"/>
          <w:sz w:val="30"/>
          <w:szCs w:val="30"/>
          <w14:textFill>
            <w14:solidFill>
              <w14:schemeClr w14:val="tx1"/>
            </w14:solidFill>
          </w14:textFill>
        </w:rPr>
        <w:t>月</w:t>
      </w:r>
      <w:r>
        <w:rPr>
          <w:rFonts w:hint="eastAsia" w:cs="Times New Roman"/>
          <w:color w:val="000000" w:themeColor="text1"/>
          <w:sz w:val="30"/>
          <w:szCs w:val="30"/>
          <w:lang w:val="en-US" w:eastAsia="zh-CN"/>
          <w14:textFill>
            <w14:solidFill>
              <w14:schemeClr w14:val="tx1"/>
            </w14:solidFill>
          </w14:textFill>
        </w:rPr>
        <w:t>2</w:t>
      </w:r>
      <w:r>
        <w:rPr>
          <w:rFonts w:hint="eastAsia" w:cs="Times New Roman"/>
          <w:color w:val="000000" w:themeColor="text1"/>
          <w:sz w:val="30"/>
          <w:szCs w:val="30"/>
          <w14:textFill>
            <w14:solidFill>
              <w14:schemeClr w14:val="tx1"/>
            </w14:solidFill>
          </w14:textFill>
        </w:rPr>
        <w:t>日21：00前反馈至北交所，邮件主题和附件名称均为：机构名称+</w:t>
      </w:r>
      <w:r>
        <w:rPr>
          <w:rFonts w:hint="eastAsia" w:cs="Times New Roman"/>
          <w:color w:val="000000" w:themeColor="text1"/>
          <w:sz w:val="30"/>
          <w:szCs w:val="30"/>
          <w:lang w:eastAsia="zh-CN"/>
          <w14:textFill>
            <w14:solidFill>
              <w14:schemeClr w14:val="tx1"/>
            </w14:solidFill>
          </w14:textFill>
        </w:rPr>
        <w:t>北</w:t>
      </w:r>
      <w:r>
        <w:rPr>
          <w:rFonts w:hint="eastAsia" w:cs="Times New Roman"/>
          <w:color w:val="000000" w:themeColor="text1"/>
          <w:sz w:val="30"/>
          <w:szCs w:val="30"/>
          <w14:textFill>
            <w14:solidFill>
              <w14:schemeClr w14:val="tx1"/>
            </w14:solidFill>
          </w14:textFill>
        </w:rPr>
        <w:t>交所存量上市公司代码</w:t>
      </w:r>
      <w:r>
        <w:rPr>
          <w:rFonts w:hint="eastAsia" w:cs="Times New Roman"/>
          <w:color w:val="000000" w:themeColor="text1"/>
          <w:sz w:val="30"/>
          <w:szCs w:val="30"/>
          <w:lang w:eastAsia="zh-CN"/>
          <w14:textFill>
            <w14:solidFill>
              <w14:schemeClr w14:val="tx1"/>
            </w14:solidFill>
          </w14:textFill>
        </w:rPr>
        <w:t>批量</w:t>
      </w:r>
      <w:r>
        <w:rPr>
          <w:rFonts w:hint="eastAsia" w:cs="Times New Roman"/>
          <w:color w:val="000000" w:themeColor="text1"/>
          <w:sz w:val="30"/>
          <w:szCs w:val="30"/>
          <w14:textFill>
            <w14:solidFill>
              <w14:schemeClr w14:val="tx1"/>
            </w14:solidFill>
          </w14:textFill>
        </w:rPr>
        <w:t>切换</w:t>
      </w:r>
      <w:r>
        <w:rPr>
          <w:rFonts w:hint="eastAsia" w:cs="Times New Roman"/>
          <w:color w:val="000000" w:themeColor="text1"/>
          <w:sz w:val="30"/>
          <w:szCs w:val="30"/>
          <w:lang w:eastAsia="zh-CN"/>
          <w14:textFill>
            <w14:solidFill>
              <w14:schemeClr w14:val="tx1"/>
            </w14:solidFill>
          </w14:textFill>
        </w:rPr>
        <w:t>和稽核</w:t>
      </w:r>
      <w:r>
        <w:rPr>
          <w:rFonts w:hint="eastAsia" w:cs="Times New Roman"/>
          <w:color w:val="000000" w:themeColor="text1"/>
          <w:sz w:val="30"/>
          <w:szCs w:val="30"/>
          <w14:textFill>
            <w14:solidFill>
              <w14:schemeClr w14:val="tx1"/>
            </w14:solidFill>
          </w14:textFill>
        </w:rPr>
        <w:t>情况报告，收件邮箱为：</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2</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各参测机构应认真做好技术准备和测试环境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w:t>
      </w:r>
      <w:r>
        <w:rPr>
          <w:rFonts w:hint="eastAsia" w:cs="Times New Roman"/>
          <w:color w:val="000000" w:themeColor="text1"/>
          <w:sz w:val="30"/>
          <w:szCs w:val="30"/>
          <w14:textFill>
            <w14:solidFill>
              <w14:schemeClr w14:val="tx1"/>
            </w14:solidFill>
          </w14:textFill>
        </w:rPr>
        <w:t>代码切换方案和</w:t>
      </w:r>
      <w:r>
        <w:rPr>
          <w:rFonts w:cs="Times New Roman"/>
          <w:color w:val="000000" w:themeColor="text1"/>
          <w:sz w:val="30"/>
          <w:szCs w:val="30"/>
          <w14:textFill>
            <w14:solidFill>
              <w14:schemeClr w14:val="tx1"/>
            </w14:solidFill>
          </w14:textFill>
        </w:rPr>
        <w:t>测试计划，并指定专人负责本次</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工作。</w:t>
      </w:r>
    </w:p>
    <w:p>
      <w:pPr>
        <w:pageBreakBefore w:val="0"/>
        <w:kinsoku/>
        <w:wordWrap/>
        <w:overflowPunct/>
        <w:topLinePunct w:val="0"/>
        <w:bidi w:val="0"/>
        <w:spacing w:line="560" w:lineRule="exact"/>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3</w:t>
      </w:r>
      <w:r>
        <w:rPr>
          <w:rFonts w:hint="eastAsia" w:cs="Times New Roman"/>
          <w:color w:val="000000" w:themeColor="text1"/>
          <w:sz w:val="30"/>
          <w:szCs w:val="30"/>
          <w14:textFill>
            <w14:solidFill>
              <w14:schemeClr w14:val="tx1"/>
            </w14:solidFill>
          </w14:textFill>
        </w:rPr>
        <w:t>.开展北交所业务的全体证券公司</w:t>
      </w:r>
      <w:r>
        <w:rPr>
          <w:rFonts w:hint="eastAsia" w:cs="Times New Roman"/>
          <w:color w:val="000000" w:themeColor="text1"/>
          <w:sz w:val="30"/>
          <w:szCs w:val="30"/>
          <w:lang w:val="en"/>
          <w14:textFill>
            <w14:solidFill>
              <w14:schemeClr w14:val="tx1"/>
            </w14:solidFill>
          </w14:textFill>
        </w:rPr>
        <w:t>应参加测试，已开展融资融券或北交所做市交易业务的证券公司应安排参测相关业务场景。证券公司应安排开展北交所交易业务的全部经纪业务营业部参加测试，同时通知</w:t>
      </w:r>
      <w:r>
        <w:rPr>
          <w:rFonts w:hint="eastAsia" w:cs="Times New Roman"/>
          <w:sz w:val="30"/>
          <w:szCs w:val="30"/>
          <w:lang w:val="en"/>
        </w:rPr>
        <w:t>租用其交易单元的基金公司参加</w:t>
      </w:r>
      <w:r>
        <w:rPr>
          <w:rFonts w:hint="eastAsia" w:cs="Times New Roman"/>
          <w:color w:val="000000" w:themeColor="text1"/>
          <w:sz w:val="30"/>
          <w:szCs w:val="30"/>
          <w:lang w:val="en"/>
          <w14:textFill>
            <w14:solidFill>
              <w14:schemeClr w14:val="tx1"/>
            </w14:solidFill>
          </w14:textFill>
        </w:rPr>
        <w:t>测试。</w:t>
      </w:r>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4</w:t>
      </w:r>
      <w:r>
        <w:rPr>
          <w:rFonts w:hint="eastAsia" w:cs="Times New Roman"/>
          <w:color w:val="000000" w:themeColor="text1"/>
          <w:sz w:val="30"/>
          <w:szCs w:val="30"/>
          <w14:textFill>
            <w14:solidFill>
              <w14:schemeClr w14:val="tx1"/>
            </w14:solidFill>
          </w14:textFill>
        </w:rPr>
        <w:t>.开展北交所业务的基金公司和提供北交所行情服务的信息商应参加测试。</w:t>
      </w:r>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5</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在测试过程中，各参测机构应</w:t>
      </w:r>
      <w:r>
        <w:rPr>
          <w:rFonts w:hint="eastAsia" w:cs="Times New Roman"/>
          <w:color w:val="000000" w:themeColor="text1"/>
          <w:sz w:val="30"/>
          <w:szCs w:val="30"/>
          <w14:textFill>
            <w14:solidFill>
              <w14:schemeClr w14:val="tx1"/>
            </w14:solidFill>
          </w14:textFill>
        </w:rPr>
        <w:t>按要求达到测试用例数量，并</w:t>
      </w:r>
      <w:r>
        <w:rPr>
          <w:rFonts w:cs="Times New Roman"/>
          <w:color w:val="000000" w:themeColor="text1"/>
          <w:sz w:val="30"/>
          <w:szCs w:val="30"/>
          <w14:textFill>
            <w14:solidFill>
              <w14:schemeClr w14:val="tx1"/>
            </w14:solidFill>
          </w14:textFill>
        </w:rPr>
        <w:t>详细记载测试现象与结果，检查其正确性。如发现异常现象，请及时通过电话或QQ群与</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沟通联系。</w:t>
      </w:r>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6</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测试结束后，</w:t>
      </w:r>
      <w:r>
        <w:rPr>
          <w:rFonts w:cs="Times New Roman"/>
          <w:sz w:val="30"/>
          <w:szCs w:val="30"/>
        </w:rPr>
        <w:t>各</w:t>
      </w:r>
      <w:r>
        <w:rPr>
          <w:rFonts w:hint="eastAsia" w:cs="Times New Roman"/>
          <w:sz w:val="30"/>
          <w:szCs w:val="30"/>
        </w:rPr>
        <w:t>证券公司应收集各自</w:t>
      </w:r>
      <w:r>
        <w:rPr>
          <w:rFonts w:cs="Times New Roman"/>
          <w:sz w:val="30"/>
          <w:szCs w:val="30"/>
        </w:rPr>
        <w:t>技术系统的测试情况，</w:t>
      </w:r>
      <w:r>
        <w:rPr>
          <w:rFonts w:hint="eastAsia" w:cs="Times New Roman"/>
          <w:color w:val="000000" w:themeColor="text1"/>
          <w:sz w:val="30"/>
          <w:szCs w:val="30"/>
          <w14:textFill>
            <w14:solidFill>
              <w14:schemeClr w14:val="tx1"/>
            </w14:solidFill>
          </w14:textFill>
        </w:rPr>
        <w:t>并于2025年</w:t>
      </w:r>
      <w:r>
        <w:rPr>
          <w:rFonts w:hint="eastAsia" w:cs="Times New Roman"/>
          <w:color w:val="000000" w:themeColor="text1"/>
          <w:sz w:val="30"/>
          <w:szCs w:val="30"/>
          <w:lang w:val="en-US" w:eastAsia="zh-CN"/>
          <w14:textFill>
            <w14:solidFill>
              <w14:schemeClr w14:val="tx1"/>
            </w14:solidFill>
          </w14:textFill>
        </w:rPr>
        <w:t>10</w:t>
      </w:r>
      <w:r>
        <w:rPr>
          <w:rFonts w:hint="eastAsia" w:cs="Times New Roman"/>
          <w:color w:val="000000" w:themeColor="text1"/>
          <w:sz w:val="30"/>
          <w:szCs w:val="30"/>
          <w14:textFill>
            <w14:solidFill>
              <w14:schemeClr w14:val="tx1"/>
            </w14:solidFill>
          </w14:textFill>
        </w:rPr>
        <w:t>月3日19:3</w:t>
      </w:r>
      <w:r>
        <w:rPr>
          <w:rFonts w:cs="Times New Roman"/>
          <w:color w:val="000000" w:themeColor="text1"/>
          <w:sz w:val="30"/>
          <w:szCs w:val="30"/>
          <w14:textFill>
            <w14:solidFill>
              <w14:schemeClr w14:val="tx1"/>
            </w14:solidFill>
          </w14:textFill>
        </w:rPr>
        <w:t>0</w:t>
      </w:r>
      <w:r>
        <w:rPr>
          <w:rFonts w:hint="eastAsia" w:cs="Times New Roman"/>
          <w:color w:val="000000" w:themeColor="text1"/>
          <w:sz w:val="30"/>
          <w:szCs w:val="30"/>
          <w14:textFill>
            <w14:solidFill>
              <w14:schemeClr w14:val="tx1"/>
            </w14:solidFill>
          </w14:textFill>
        </w:rPr>
        <w:t>之前</w:t>
      </w:r>
      <w:r>
        <w:rPr>
          <w:rFonts w:cs="Times New Roman"/>
          <w:color w:val="000000" w:themeColor="text1"/>
          <w:sz w:val="30"/>
          <w:szCs w:val="30"/>
          <w14:textFill>
            <w14:solidFill>
              <w14:schemeClr w14:val="tx1"/>
            </w14:solidFill>
          </w14:textFill>
        </w:rPr>
        <w:t>通过BPM提交测试报告（</w:t>
      </w:r>
      <w:r>
        <w:rPr>
          <w:rFonts w:hint="eastAsia" w:cs="Times New Roman"/>
          <w:color w:val="000000" w:themeColor="text1"/>
          <w:sz w:val="30"/>
          <w:szCs w:val="30"/>
          <w14:textFill>
            <w14:solidFill>
              <w14:schemeClr w14:val="tx1"/>
            </w14:solidFill>
          </w14:textFill>
        </w:rPr>
        <w:t>无需盖章</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。参测基金公司和信息商应按</w:t>
      </w:r>
      <w:r>
        <w:rPr>
          <w:rFonts w:cs="Times New Roman"/>
          <w:color w:val="000000" w:themeColor="text1"/>
          <w:sz w:val="30"/>
          <w:szCs w:val="30"/>
          <w14:textFill>
            <w14:solidFill>
              <w14:schemeClr w14:val="tx1"/>
            </w14:solidFill>
          </w14:textFill>
        </w:rPr>
        <w:t>上述时间要求通过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w:t>
      </w:r>
      <w:r>
        <w:rPr>
          <w:rFonts w:ascii="仿宋" w:hAnsi="仿宋" w:cs="Times New Roman"/>
          <w:color w:val="000000" w:themeColor="text1"/>
          <w:sz w:val="30"/>
          <w:szCs w:val="30"/>
          <w14:textFill>
            <w14:solidFill>
              <w14:schemeClr w14:val="tx1"/>
            </w14:solidFill>
          </w14:textFill>
        </w:rPr>
        <w:t>告（</w:t>
      </w:r>
      <w:r>
        <w:rPr>
          <w:rFonts w:hint="eastAsia" w:ascii="仿宋" w:hAnsi="仿宋" w:cs="Times New Roman"/>
          <w:color w:val="000000" w:themeColor="text1"/>
          <w:sz w:val="30"/>
          <w:szCs w:val="30"/>
          <w14:textFill>
            <w14:solidFill>
              <w14:schemeClr w14:val="tx1"/>
            </w14:solidFill>
          </w14:textFill>
        </w:rPr>
        <w:t>无需盖章</w:t>
      </w:r>
      <w:r>
        <w:rPr>
          <w:rFonts w:ascii="仿宋" w:hAnsi="仿宋" w:cs="Times New Roman"/>
          <w:color w:val="000000" w:themeColor="text1"/>
          <w:sz w:val="30"/>
          <w:szCs w:val="30"/>
          <w14:textFill>
            <w14:solidFill>
              <w14:schemeClr w14:val="tx1"/>
            </w14:solidFill>
          </w14:textFill>
        </w:rPr>
        <w:t>）</w:t>
      </w:r>
      <w:r>
        <w:rPr>
          <w:rFonts w:hint="eastAsia" w:ascii="仿宋" w:hAnsi="仿宋" w:cs="Times New Roman"/>
          <w:color w:val="000000" w:themeColor="text1"/>
          <w:sz w:val="30"/>
          <w:szCs w:val="30"/>
          <w14:textFill>
            <w14:solidFill>
              <w14:schemeClr w14:val="tx1"/>
            </w14:solidFill>
          </w14:textFill>
        </w:rPr>
        <w:t>，</w:t>
      </w:r>
      <w:r>
        <w:rPr>
          <w:rFonts w:ascii="仿宋" w:hAnsi="仿宋" w:cs="Times New Roman"/>
          <w:color w:val="000000" w:themeColor="text1"/>
          <w:sz w:val="30"/>
          <w:szCs w:val="30"/>
          <w14:textFill>
            <w14:solidFill>
              <w14:schemeClr w14:val="tx1"/>
            </w14:solidFill>
          </w14:textFill>
        </w:rPr>
        <w:t>邮件主题</w:t>
      </w:r>
      <w:r>
        <w:rPr>
          <w:rFonts w:hint="eastAsia" w:ascii="仿宋" w:hAnsi="仿宋" w:cs="Times New Roman"/>
          <w:color w:val="000000" w:themeColor="text1"/>
          <w:sz w:val="30"/>
          <w:szCs w:val="30"/>
          <w14:textFill>
            <w14:solidFill>
              <w14:schemeClr w14:val="tx1"/>
            </w14:solidFill>
          </w14:textFill>
        </w:rPr>
        <w:t>和附件名称</w:t>
      </w:r>
      <w:r>
        <w:rPr>
          <w:rFonts w:ascii="仿宋" w:hAnsi="仿宋" w:cs="Times New Roman"/>
          <w:color w:val="000000" w:themeColor="text1"/>
          <w:sz w:val="30"/>
          <w:szCs w:val="30"/>
          <w14:textFill>
            <w14:solidFill>
              <w14:schemeClr w14:val="tx1"/>
            </w14:solidFill>
          </w14:textFill>
        </w:rPr>
        <w:t>均为：</w:t>
      </w:r>
      <w:r>
        <w:rPr>
          <w:rFonts w:hint="eastAsia" w:cs="Times New Roman"/>
          <w:color w:val="000000" w:themeColor="text1"/>
          <w:sz w:val="30"/>
          <w:szCs w:val="30"/>
          <w14:textFill>
            <w14:solidFill>
              <w14:schemeClr w14:val="tx1"/>
            </w14:solidFill>
          </w14:textFill>
        </w:rPr>
        <w:t>机构</w:t>
      </w:r>
      <w:r>
        <w:rPr>
          <w:rFonts w:cs="Times New Roman"/>
          <w:color w:val="000000" w:themeColor="text1"/>
          <w:sz w:val="30"/>
          <w:szCs w:val="30"/>
          <w14:textFill>
            <w14:solidFill>
              <w14:schemeClr w14:val="tx1"/>
            </w14:solidFill>
          </w14:textFill>
        </w:rPr>
        <w:t>名称+</w:t>
      </w:r>
      <w:r>
        <w:rPr>
          <w:rFonts w:hint="eastAsia" w:cs="Times New Roman"/>
          <w:color w:val="000000" w:themeColor="text1"/>
          <w:sz w:val="30"/>
          <w:szCs w:val="30"/>
          <w14:textFill>
            <w14:solidFill>
              <w14:schemeClr w14:val="tx1"/>
            </w14:solidFill>
          </w14:textFill>
        </w:rPr>
        <w:t>北交所存量上市公司代码</w:t>
      </w:r>
      <w:r>
        <w:rPr>
          <w:rFonts w:hint="eastAsia" w:cs="Times New Roman"/>
          <w:color w:val="000000" w:themeColor="text1"/>
          <w:sz w:val="30"/>
          <w:szCs w:val="30"/>
          <w:lang w:eastAsia="zh-CN"/>
          <w14:textFill>
            <w14:solidFill>
              <w14:schemeClr w14:val="tx1"/>
            </w14:solidFill>
          </w14:textFill>
        </w:rPr>
        <w:t>批量</w:t>
      </w:r>
      <w:r>
        <w:rPr>
          <w:rFonts w:hint="eastAsia" w:cs="Times New Roman"/>
          <w:color w:val="000000" w:themeColor="text1"/>
          <w:sz w:val="30"/>
          <w:szCs w:val="30"/>
          <w14:textFill>
            <w14:solidFill>
              <w14:schemeClr w14:val="tx1"/>
            </w14:solidFill>
          </w14:textFill>
        </w:rPr>
        <w:t>切换</w:t>
      </w:r>
      <w:r>
        <w:rPr>
          <w:rFonts w:hint="eastAsia" w:cs="Times New Roman"/>
          <w:color w:val="000000" w:themeColor="text1"/>
          <w:sz w:val="30"/>
          <w:szCs w:val="30"/>
          <w:lang w:eastAsia="zh-CN"/>
          <w14:textFill>
            <w14:solidFill>
              <w14:schemeClr w14:val="tx1"/>
            </w14:solidFill>
          </w14:textFill>
        </w:rPr>
        <w:t>等业务</w:t>
      </w:r>
      <w:r>
        <w:rPr>
          <w:rFonts w:hint="eastAsia" w:cs="Times New Roman"/>
          <w:color w:val="000000" w:themeColor="text1"/>
          <w:sz w:val="30"/>
          <w:szCs w:val="30"/>
          <w:lang w:val="en"/>
          <w14:textFill>
            <w14:solidFill>
              <w14:schemeClr w14:val="tx1"/>
            </w14:solidFill>
          </w14:textFill>
        </w:rPr>
        <w:t>通关</w:t>
      </w:r>
      <w:r>
        <w:rPr>
          <w:rFonts w:hint="eastAsia" w:cs="Times New Roman"/>
          <w:color w:val="000000" w:themeColor="text1"/>
          <w:sz w:val="30"/>
          <w:szCs w:val="30"/>
          <w14:textFill>
            <w14:solidFill>
              <w14:schemeClr w14:val="tx1"/>
            </w14:solidFill>
          </w14:textFill>
        </w:rPr>
        <w:t>测试报告，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hint="eastAsia" w:cs="Times New Roman"/>
          <w:color w:val="000000" w:themeColor="text1"/>
          <w:sz w:val="30"/>
          <w:szCs w:val="30"/>
          <w14:textFill>
            <w14:solidFill>
              <w14:schemeClr w14:val="tx1"/>
            </w14:solidFill>
          </w14:textFill>
        </w:rPr>
        <w:t>。本次反馈测试报告需填写反馈报告中涉及的全部条项</w:t>
      </w:r>
      <w:r>
        <w:rPr>
          <w:rFonts w:cs="Times New Roman"/>
          <w:color w:val="000000" w:themeColor="text1"/>
          <w:sz w:val="30"/>
          <w:szCs w:val="30"/>
          <w14:textFill>
            <w14:solidFill>
              <w14:schemeClr w14:val="tx1"/>
            </w14:solidFill>
          </w14:textFill>
        </w:rPr>
        <w:t>。</w:t>
      </w:r>
    </w:p>
    <w:p>
      <w:pPr>
        <w:pageBreakBefore w:val="0"/>
        <w:widowControl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7</w:t>
      </w:r>
      <w:r>
        <w:rPr>
          <w:rFonts w:hint="eastAsia" w:cs="Times New Roman"/>
          <w:color w:val="000000" w:themeColor="text1"/>
          <w:sz w:val="30"/>
          <w:szCs w:val="30"/>
          <w14:textFill>
            <w14:solidFill>
              <w14:schemeClr w14:val="tx1"/>
            </w14:solidFill>
          </w14:textFill>
        </w:rPr>
        <w:t>.北交所、全国股转公司履行上线决策后，请各参测机构根据通关测试结果做好技术系统数据恢复和验证工作，并于2025年</w:t>
      </w:r>
      <w:r>
        <w:rPr>
          <w:rFonts w:hint="eastAsia" w:cs="Times New Roman"/>
          <w:color w:val="000000" w:themeColor="text1"/>
          <w:sz w:val="30"/>
          <w:szCs w:val="30"/>
          <w:lang w:val="en-US" w:eastAsia="zh-CN"/>
          <w14:textFill>
            <w14:solidFill>
              <w14:schemeClr w14:val="tx1"/>
            </w14:solidFill>
          </w14:textFill>
        </w:rPr>
        <w:t>10</w:t>
      </w:r>
      <w:r>
        <w:rPr>
          <w:rFonts w:hint="eastAsia" w:cs="Times New Roman"/>
          <w:color w:val="000000" w:themeColor="text1"/>
          <w:sz w:val="30"/>
          <w:szCs w:val="30"/>
          <w14:textFill>
            <w14:solidFill>
              <w14:schemeClr w14:val="tx1"/>
            </w14:solidFill>
          </w14:textFill>
        </w:rPr>
        <w:t>月4日12:00前反馈技术系统恢复情况报告。各证券公司通过BPM反馈，其它</w:t>
      </w:r>
      <w:r>
        <w:rPr>
          <w:rFonts w:cs="Times New Roman"/>
          <w:color w:val="000000" w:themeColor="text1"/>
          <w:sz w:val="30"/>
          <w:szCs w:val="30"/>
          <w14:textFill>
            <w14:solidFill>
              <w14:schemeClr w14:val="tx1"/>
            </w14:solidFill>
          </w14:textFill>
        </w:rPr>
        <w:t>机构</w:t>
      </w:r>
      <w:r>
        <w:rPr>
          <w:rFonts w:hint="eastAsia" w:cs="Times New Roman"/>
          <w:color w:val="000000" w:themeColor="text1"/>
          <w:sz w:val="30"/>
          <w:szCs w:val="30"/>
          <w14:textFill>
            <w14:solidFill>
              <w14:schemeClr w14:val="tx1"/>
            </w14:solidFill>
          </w14:textFill>
        </w:rPr>
        <w:t>通过电子邮件反馈至techservice@neeq.com.cn。</w:t>
      </w:r>
    </w:p>
    <w:p>
      <w:pPr>
        <w:pageBreakBefore w:val="0"/>
        <w:widowControl w:val="0"/>
        <w:kinsoku/>
        <w:wordWrap/>
        <w:overflowPunct/>
        <w:topLinePunct w:val="0"/>
        <w:bidi w:val="0"/>
        <w:spacing w:line="560" w:lineRule="exact"/>
        <w:ind w:firstLine="600"/>
        <w:jc w:val="both"/>
        <w:rPr>
          <w:sz w:val="30"/>
          <w:szCs w:val="30"/>
        </w:rPr>
      </w:pPr>
      <w:r>
        <w:rPr>
          <w:rFonts w:hint="eastAsia" w:cs="Times New Roman"/>
          <w:color w:val="000000" w:themeColor="text1"/>
          <w:sz w:val="30"/>
          <w:szCs w:val="30"/>
          <w:lang w:val="en-US" w:eastAsia="zh-CN"/>
          <w14:textFill>
            <w14:solidFill>
              <w14:schemeClr w14:val="tx1"/>
            </w14:solidFill>
          </w14:textFill>
        </w:rPr>
        <w:t>8</w:t>
      </w:r>
      <w:r>
        <w:rPr>
          <w:rFonts w:hint="eastAsia" w:cs="Times New Roman"/>
          <w:color w:val="000000" w:themeColor="text1"/>
          <w:sz w:val="30"/>
          <w:szCs w:val="30"/>
          <w14:textFill>
            <w14:solidFill>
              <w14:schemeClr w14:val="tx1"/>
            </w14:solidFill>
          </w14:textFill>
        </w:rPr>
        <w:t>.根据《实施指南》，对于所有机构的非交易结算类系统，要求在交易通关成功后的次一日（</w:t>
      </w:r>
      <w:r>
        <w:rPr>
          <w:rFonts w:hint="eastAsia" w:cs="Times New Roman"/>
          <w:color w:val="000000" w:themeColor="text1"/>
          <w:sz w:val="30"/>
          <w:szCs w:val="30"/>
          <w:lang w:val="en-US" w:eastAsia="zh-CN"/>
          <w14:textFill>
            <w14:solidFill>
              <w14:schemeClr w14:val="tx1"/>
            </w14:solidFill>
          </w14:textFill>
        </w:rPr>
        <w:t>10</w:t>
      </w:r>
      <w:r>
        <w:rPr>
          <w:rFonts w:hint="eastAsia" w:cs="Times New Roman"/>
          <w:color w:val="000000" w:themeColor="text1"/>
          <w:sz w:val="30"/>
          <w:szCs w:val="30"/>
          <w14:textFill>
            <w14:solidFill>
              <w14:schemeClr w14:val="tx1"/>
            </w14:solidFill>
          </w14:textFill>
        </w:rPr>
        <w:t>月4日）内完成</w:t>
      </w:r>
      <w:r>
        <w:rPr>
          <w:rFonts w:hint="eastAsia" w:cs="Times New Roman"/>
          <w:color w:val="000000" w:themeColor="text1"/>
          <w:sz w:val="30"/>
          <w:szCs w:val="30"/>
          <w:lang w:eastAsia="zh-CN"/>
          <w14:textFill>
            <w14:solidFill>
              <w14:schemeClr w14:val="tx1"/>
            </w14:solidFill>
          </w14:textFill>
        </w:rPr>
        <w:t>代码切换</w:t>
      </w:r>
      <w:r>
        <w:rPr>
          <w:rFonts w:hint="eastAsia" w:cs="Times New Roman"/>
          <w:color w:val="000000" w:themeColor="text1"/>
          <w:sz w:val="30"/>
          <w:szCs w:val="30"/>
          <w14:textFill>
            <w14:solidFill>
              <w14:schemeClr w14:val="tx1"/>
            </w14:solidFill>
          </w14:textFill>
        </w:rPr>
        <w:t>，并于2025年</w:t>
      </w:r>
      <w:r>
        <w:rPr>
          <w:rFonts w:hint="eastAsia" w:cs="Times New Roman"/>
          <w:color w:val="000000" w:themeColor="text1"/>
          <w:sz w:val="30"/>
          <w:szCs w:val="30"/>
          <w:lang w:val="en-US" w:eastAsia="zh-CN"/>
          <w14:textFill>
            <w14:solidFill>
              <w14:schemeClr w14:val="tx1"/>
            </w14:solidFill>
          </w14:textFill>
        </w:rPr>
        <w:t>10</w:t>
      </w:r>
      <w:r>
        <w:rPr>
          <w:rFonts w:hint="eastAsia" w:cs="Times New Roman"/>
          <w:color w:val="000000" w:themeColor="text1"/>
          <w:sz w:val="30"/>
          <w:szCs w:val="30"/>
          <w14:textFill>
            <w14:solidFill>
              <w14:schemeClr w14:val="tx1"/>
            </w14:solidFill>
          </w14:textFill>
        </w:rPr>
        <w:t>月4日20:00前将系统</w:t>
      </w:r>
      <w:r>
        <w:rPr>
          <w:rFonts w:hint="eastAsia" w:cs="Times New Roman"/>
          <w:color w:val="000000" w:themeColor="text1"/>
          <w:sz w:val="30"/>
          <w:szCs w:val="30"/>
          <w:lang w:eastAsia="zh-CN"/>
          <w14:textFill>
            <w14:solidFill>
              <w14:schemeClr w14:val="tx1"/>
            </w14:solidFill>
          </w14:textFill>
        </w:rPr>
        <w:t>代码切换</w:t>
      </w:r>
      <w:r>
        <w:rPr>
          <w:rFonts w:hint="eastAsia" w:cs="Times New Roman"/>
          <w:color w:val="000000" w:themeColor="text1"/>
          <w:sz w:val="30"/>
          <w:szCs w:val="30"/>
          <w14:textFill>
            <w14:solidFill>
              <w14:schemeClr w14:val="tx1"/>
            </w14:solidFill>
          </w14:textFill>
        </w:rPr>
        <w:t>情况和涉及系统数量通过电子邮件反馈至techservice@neeq.com.cn</w:t>
      </w:r>
      <w:r>
        <w:rPr>
          <w:rFonts w:hint="eastAsia" w:ascii="仿宋" w:hAnsi="仿宋" w:cs="Times New Roman"/>
          <w:color w:val="000000" w:themeColor="text1"/>
          <w:sz w:val="30"/>
          <w:szCs w:val="30"/>
          <w14:textFill>
            <w14:solidFill>
              <w14:schemeClr w14:val="tx1"/>
            </w14:solidFill>
          </w14:textFill>
        </w:rPr>
        <w:t>，</w:t>
      </w:r>
      <w:r>
        <w:rPr>
          <w:rFonts w:ascii="仿宋" w:hAnsi="仿宋" w:cs="Times New Roman"/>
          <w:color w:val="000000" w:themeColor="text1"/>
          <w:sz w:val="30"/>
          <w:szCs w:val="30"/>
          <w14:textFill>
            <w14:solidFill>
              <w14:schemeClr w14:val="tx1"/>
            </w14:solidFill>
          </w14:textFill>
        </w:rPr>
        <w:t>邮件主题</w:t>
      </w:r>
      <w:r>
        <w:rPr>
          <w:rFonts w:hint="eastAsia" w:ascii="仿宋" w:hAnsi="仿宋" w:cs="Times New Roman"/>
          <w:color w:val="000000" w:themeColor="text1"/>
          <w:sz w:val="30"/>
          <w:szCs w:val="30"/>
          <w14:textFill>
            <w14:solidFill>
              <w14:schemeClr w14:val="tx1"/>
            </w14:solidFill>
          </w14:textFill>
        </w:rPr>
        <w:t>和附件名称</w:t>
      </w:r>
      <w:r>
        <w:rPr>
          <w:rFonts w:ascii="仿宋" w:hAnsi="仿宋" w:cs="Times New Roman"/>
          <w:color w:val="000000" w:themeColor="text1"/>
          <w:sz w:val="30"/>
          <w:szCs w:val="30"/>
          <w14:textFill>
            <w14:solidFill>
              <w14:schemeClr w14:val="tx1"/>
            </w14:solidFill>
          </w14:textFill>
        </w:rPr>
        <w:t>均为：</w:t>
      </w:r>
      <w:r>
        <w:rPr>
          <w:rFonts w:hint="eastAsia" w:cs="Times New Roman"/>
          <w:color w:val="000000" w:themeColor="text1"/>
          <w:sz w:val="30"/>
          <w:szCs w:val="30"/>
          <w14:textFill>
            <w14:solidFill>
              <w14:schemeClr w14:val="tx1"/>
            </w14:solidFill>
          </w14:textFill>
        </w:rPr>
        <w:t>机构</w:t>
      </w:r>
      <w:r>
        <w:rPr>
          <w:rFonts w:cs="Times New Roman"/>
          <w:color w:val="000000" w:themeColor="text1"/>
          <w:sz w:val="30"/>
          <w:szCs w:val="30"/>
          <w14:textFill>
            <w14:solidFill>
              <w14:schemeClr w14:val="tx1"/>
            </w14:solidFill>
          </w14:textFill>
        </w:rPr>
        <w:t>名称+</w:t>
      </w:r>
      <w:r>
        <w:rPr>
          <w:rFonts w:hint="eastAsia" w:cs="Times New Roman"/>
          <w:color w:val="000000" w:themeColor="text1"/>
          <w:sz w:val="30"/>
          <w:szCs w:val="30"/>
          <w14:textFill>
            <w14:solidFill>
              <w14:schemeClr w14:val="tx1"/>
            </w14:solidFill>
          </w14:textFill>
        </w:rPr>
        <w:t>北交所存量上市公司代码</w:t>
      </w:r>
      <w:r>
        <w:rPr>
          <w:rFonts w:hint="eastAsia" w:cs="Times New Roman"/>
          <w:color w:val="000000" w:themeColor="text1"/>
          <w:sz w:val="30"/>
          <w:szCs w:val="30"/>
          <w:lang w:eastAsia="zh-CN"/>
          <w14:textFill>
            <w14:solidFill>
              <w14:schemeClr w14:val="tx1"/>
            </w14:solidFill>
          </w14:textFill>
        </w:rPr>
        <w:t>批量</w:t>
      </w:r>
      <w:r>
        <w:rPr>
          <w:rFonts w:hint="eastAsia" w:cs="Times New Roman"/>
          <w:color w:val="000000" w:themeColor="text1"/>
          <w:sz w:val="30"/>
          <w:szCs w:val="30"/>
          <w14:textFill>
            <w14:solidFill>
              <w14:schemeClr w14:val="tx1"/>
            </w14:solidFill>
          </w14:textFill>
        </w:rPr>
        <w:t>切换</w:t>
      </w:r>
      <w:r>
        <w:rPr>
          <w:rFonts w:hint="eastAsia" w:cs="Times New Roman"/>
          <w:color w:val="000000" w:themeColor="text1"/>
          <w:sz w:val="30"/>
          <w:szCs w:val="30"/>
          <w:lang w:eastAsia="zh-CN"/>
          <w14:textFill>
            <w14:solidFill>
              <w14:schemeClr w14:val="tx1"/>
            </w14:solidFill>
          </w14:textFill>
        </w:rPr>
        <w:t>等业务</w:t>
      </w:r>
      <w:r>
        <w:rPr>
          <w:rFonts w:hint="eastAsia"/>
          <w:sz w:val="30"/>
          <w:szCs w:val="30"/>
        </w:rPr>
        <w:t>非交易结算类系统</w:t>
      </w:r>
      <w:r>
        <w:rPr>
          <w:rFonts w:hint="eastAsia"/>
          <w:sz w:val="30"/>
          <w:szCs w:val="30"/>
          <w:lang w:eastAsia="zh-CN"/>
        </w:rPr>
        <w:t>代码切换</w:t>
      </w:r>
      <w:r>
        <w:rPr>
          <w:rFonts w:hint="eastAsia"/>
          <w:sz w:val="30"/>
          <w:szCs w:val="30"/>
        </w:rPr>
        <w:t>情况报告。</w:t>
      </w:r>
    </w:p>
    <w:p>
      <w:pPr>
        <w:pageBreakBefore w:val="0"/>
        <w:kinsoku/>
        <w:wordWrap/>
        <w:overflowPunct/>
        <w:topLinePunct w:val="0"/>
        <w:bidi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9</w:t>
      </w:r>
      <w:r>
        <w:rPr>
          <w:rFonts w:hint="eastAsia" w:cs="Times New Roman"/>
          <w:color w:val="000000" w:themeColor="text1"/>
          <w:sz w:val="30"/>
          <w:szCs w:val="30"/>
          <w14:textFill>
            <w14:solidFill>
              <w14:schemeClr w14:val="tx1"/>
            </w14:solidFill>
          </w14:textFill>
        </w:rPr>
        <w:t>.通关测试期间数据仅为模拟测试使用，不能作为生产环境任何交易、非交易及开户等业务的依据。</w:t>
      </w:r>
    </w:p>
    <w:p>
      <w:pPr>
        <w:pageBreakBefore w:val="0"/>
        <w:kinsoku/>
        <w:wordWrap/>
        <w:overflowPunct/>
        <w:topLinePunct w:val="0"/>
        <w:bidi w:val="0"/>
        <w:spacing w:line="560" w:lineRule="exact"/>
        <w:ind w:firstLine="600"/>
        <w:jc w:val="both"/>
        <w:rPr>
          <w:sz w:val="30"/>
          <w:szCs w:val="30"/>
        </w:rPr>
      </w:pPr>
      <w:r>
        <w:rPr>
          <w:rFonts w:hint="eastAsia" w:cs="Times New Roman"/>
          <w:color w:val="000000" w:themeColor="text1"/>
          <w:sz w:val="30"/>
          <w:szCs w:val="30"/>
          <w14:textFill>
            <w14:solidFill>
              <w14:schemeClr w14:val="tx1"/>
            </w14:solidFill>
          </w14:textFill>
        </w:rPr>
        <w:t>1</w:t>
      </w:r>
      <w:r>
        <w:rPr>
          <w:rFonts w:hint="eastAsia" w:cs="Times New Roman"/>
          <w:color w:val="000000" w:themeColor="text1"/>
          <w:sz w:val="30"/>
          <w:szCs w:val="30"/>
          <w:lang w:val="en-US" w:eastAsia="zh-CN"/>
          <w14:textFill>
            <w14:solidFill>
              <w14:schemeClr w14:val="tx1"/>
            </w14:solidFill>
          </w14:textFill>
        </w:rPr>
        <w:t>0</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各参测机构应在测试完毕后，做好环境恢复和验证工作，确保下一交易日生产系统正常。</w:t>
      </w:r>
    </w:p>
    <w:p>
      <w:pPr>
        <w:pStyle w:val="73"/>
        <w:pageBreakBefore w:val="0"/>
        <w:kinsoku/>
        <w:wordWrap/>
        <w:overflowPunct/>
        <w:topLinePunct w:val="0"/>
        <w:bidi w:val="0"/>
        <w:spacing w:before="163" w:after="163" w:line="560" w:lineRule="exact"/>
        <w:ind w:firstLine="600"/>
      </w:pPr>
      <w:bookmarkStart w:id="125" w:name="_Toc376285240"/>
      <w:bookmarkStart w:id="126" w:name="_Toc374957927"/>
      <w:bookmarkStart w:id="127" w:name="_Toc328548947"/>
      <w:bookmarkStart w:id="128" w:name="_Toc375070745"/>
      <w:bookmarkStart w:id="129" w:name="_Toc375557981"/>
      <w:bookmarkStart w:id="130" w:name="_Toc374381935"/>
      <w:bookmarkStart w:id="131" w:name="_Toc374381869"/>
      <w:bookmarkStart w:id="132" w:name="_Toc376597533"/>
      <w:bookmarkStart w:id="133" w:name="_Toc2062526509"/>
      <w:r>
        <w:t>十</w:t>
      </w:r>
      <w:r>
        <w:rPr>
          <w:rFonts w:hint="eastAsia"/>
        </w:rPr>
        <w:t>、</w:t>
      </w:r>
      <w:r>
        <w:t>联系方式</w:t>
      </w:r>
      <w:bookmarkEnd w:id="125"/>
      <w:bookmarkEnd w:id="126"/>
      <w:bookmarkEnd w:id="127"/>
      <w:bookmarkEnd w:id="128"/>
      <w:bookmarkEnd w:id="129"/>
      <w:bookmarkEnd w:id="130"/>
      <w:bookmarkEnd w:id="131"/>
      <w:bookmarkEnd w:id="132"/>
      <w:bookmarkEnd w:id="133"/>
    </w:p>
    <w:tbl>
      <w:tblPr>
        <w:tblStyle w:val="37"/>
        <w:tblW w:w="47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5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ageBreakBefore w:val="0"/>
              <w:kinsoku/>
              <w:wordWrap/>
              <w:overflowPunct/>
              <w:topLinePunct w:val="0"/>
              <w:bidi w:val="0"/>
              <w:spacing w:line="560" w:lineRule="exact"/>
              <w:ind w:firstLine="0" w:firstLineChars="0"/>
              <w:jc w:val="center"/>
              <w:rPr>
                <w:rFonts w:eastAsia="楷体" w:cs="Times New Roman"/>
                <w:b/>
                <w:color w:val="000000" w:themeColor="text1"/>
                <w:szCs w:val="24"/>
                <w14:textFill>
                  <w14:solidFill>
                    <w14:schemeClr w14:val="tx1"/>
                  </w14:solidFill>
                </w14:textFill>
              </w:rPr>
            </w:pPr>
            <w:r>
              <w:rPr>
                <w:rFonts w:hint="eastAsia" w:eastAsia="楷体" w:cs="Times New Roman"/>
                <w:b/>
                <w:color w:val="000000" w:themeColor="text1"/>
                <w:szCs w:val="24"/>
                <w14:textFill>
                  <w14:solidFill>
                    <w14:schemeClr w14:val="tx1"/>
                  </w14:solidFill>
                </w14:textFill>
              </w:rPr>
              <w:t>通关测试</w:t>
            </w:r>
            <w:r>
              <w:rPr>
                <w:rFonts w:eastAsia="楷体" w:cs="Times New Roman"/>
                <w:b/>
                <w:color w:val="000000" w:themeColor="text1"/>
                <w:szCs w:val="24"/>
                <w14:textFill>
                  <w14:solidFill>
                    <w14:schemeClr w14:val="tx1"/>
                  </w14:solidFill>
                </w14:textFill>
              </w:rPr>
              <w:t>联系单位（人）</w:t>
            </w:r>
          </w:p>
        </w:tc>
        <w:tc>
          <w:tcPr>
            <w:tcW w:w="306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ageBreakBefore w:val="0"/>
              <w:kinsoku/>
              <w:wordWrap/>
              <w:overflowPunct/>
              <w:topLinePunct w:val="0"/>
              <w:bidi w:val="0"/>
              <w:spacing w:line="560" w:lineRule="exact"/>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北交所/</w:t>
            </w:r>
            <w:r>
              <w:rPr>
                <w:rFonts w:cs="Times New Roman"/>
                <w:color w:val="000000" w:themeColor="text1"/>
                <w:szCs w:val="24"/>
                <w14:textFill>
                  <w14:solidFill>
                    <w14:schemeClr w14:val="tx1"/>
                  </w14:solidFill>
                </w14:textFill>
              </w:rPr>
              <w:t>全国股转</w:t>
            </w:r>
            <w:r>
              <w:rPr>
                <w:rFonts w:hint="eastAsia" w:cs="Times New Roman"/>
                <w:color w:val="000000" w:themeColor="text1"/>
                <w:szCs w:val="24"/>
                <w14:textFill>
                  <w14:solidFill>
                    <w14:schemeClr w14:val="tx1"/>
                  </w14:solidFill>
                </w14:textFill>
              </w:rPr>
              <w:t>公司</w:t>
            </w:r>
          </w:p>
          <w:p>
            <w:pPr>
              <w:pageBreakBefore w:val="0"/>
              <w:kinsoku/>
              <w:wordWrap/>
              <w:overflowPunct/>
              <w:topLinePunct w:val="0"/>
              <w:bidi w:val="0"/>
              <w:spacing w:line="56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306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w:t>
            </w:r>
            <w:r>
              <w:rPr>
                <w:rFonts w:hint="eastAsia" w:cs="Times New Roman"/>
                <w:color w:val="000000" w:themeColor="text1"/>
                <w:szCs w:val="24"/>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深圳证券通信公司</w:t>
            </w:r>
          </w:p>
        </w:tc>
        <w:tc>
          <w:tcPr>
            <w:tcW w:w="306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0755-83182222（运行咨询）</w:t>
            </w:r>
          </w:p>
          <w:p>
            <w:pPr>
              <w:pageBreakBefore w:val="0"/>
              <w:kinsoku/>
              <w:wordWrap/>
              <w:overflowPunct/>
              <w:topLinePunct w:val="0"/>
              <w:bidi w:val="0"/>
              <w:spacing w:line="56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0755-88666462（专线、VPN接入）</w:t>
            </w:r>
          </w:p>
          <w:p>
            <w:pPr>
              <w:pageBreakBefore w:val="0"/>
              <w:kinsoku/>
              <w:wordWrap/>
              <w:overflowPunct/>
              <w:topLinePunct w:val="0"/>
              <w:bidi w:val="0"/>
              <w:spacing w:line="56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0755-88666464（交易、行情）</w:t>
            </w:r>
          </w:p>
          <w:p>
            <w:pPr>
              <w:pageBreakBefore w:val="0"/>
              <w:kinsoku/>
              <w:wordWrap/>
              <w:overflowPunct/>
              <w:topLinePunct w:val="0"/>
              <w:bidi w:val="0"/>
              <w:spacing w:line="56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306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全国股转公司交易运行维护群：</w:t>
            </w:r>
            <w:r>
              <w:rPr>
                <w:rFonts w:cs="Times New Roman"/>
                <w:color w:val="000000" w:themeColor="text1"/>
                <w:szCs w:val="24"/>
                <w14:textFill>
                  <w14:solidFill>
                    <w14:schemeClr w14:val="tx1"/>
                  </w14:solidFill>
                </w14:textFill>
              </w:rPr>
              <w:t>338167838</w:t>
            </w:r>
          </w:p>
          <w:p>
            <w:pPr>
              <w:pageBreakBefore w:val="0"/>
              <w:kinsoku/>
              <w:wordWrap/>
              <w:overflowPunct/>
              <w:topLinePunct w:val="0"/>
              <w:bidi w:val="0"/>
              <w:spacing w:line="560" w:lineRule="exact"/>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全国股转北交所技术通知群：536137764</w:t>
            </w:r>
          </w:p>
          <w:p>
            <w:pPr>
              <w:pStyle w:val="2"/>
              <w:pageBreakBefore w:val="0"/>
              <w:kinsoku/>
              <w:wordWrap/>
              <w:overflowPunct/>
              <w:topLinePunct w:val="0"/>
              <w:bidi w:val="0"/>
              <w:spacing w:line="560" w:lineRule="exact"/>
              <w:ind w:firstLine="0" w:firstLineChars="0"/>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全国股转北交所交易运行维护一群：682283623</w:t>
            </w:r>
          </w:p>
          <w:p>
            <w:pPr>
              <w:pageBreakBefore w:val="0"/>
              <w:kinsoku/>
              <w:wordWrap/>
              <w:overflowPunct/>
              <w:topLinePunct w:val="0"/>
              <w:bidi w:val="0"/>
              <w:spacing w:line="560" w:lineRule="exact"/>
              <w:ind w:firstLine="0" w:firstLineChars="0"/>
              <w:jc w:val="both"/>
              <w:rPr>
                <w:rFonts w:cs="Times New Roman"/>
                <w:color w:val="000000" w:themeColor="text1"/>
                <w:szCs w:val="24"/>
                <w:lang w:val="en"/>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全国股转北交所交易运行维护二群：362089063</w:t>
            </w:r>
          </w:p>
        </w:tc>
      </w:tr>
    </w:tbl>
    <w:p>
      <w:pPr>
        <w:pageBreakBefore w:val="0"/>
        <w:kinsoku/>
        <w:wordWrap/>
        <w:overflowPunct/>
        <w:topLinePunct w:val="0"/>
        <w:bidi w:val="0"/>
        <w:spacing w:line="560" w:lineRule="exact"/>
        <w:ind w:firstLine="0" w:firstLineChars="0"/>
        <w:jc w:val="both"/>
        <w:rPr>
          <w:rFonts w:ascii="仿宋" w:hAnsi="仿宋" w:cs="Times New Roman"/>
          <w:color w:val="000000" w:themeColor="text1"/>
          <w:sz w:val="30"/>
          <w:szCs w:val="30"/>
          <w14:textFill>
            <w14:solidFill>
              <w14:schemeClr w14:val="tx1"/>
            </w14:solidFill>
          </w14:textFill>
        </w:rPr>
      </w:pPr>
    </w:p>
    <w:p>
      <w:pPr>
        <w:pageBreakBefore w:val="0"/>
        <w:kinsoku/>
        <w:wordWrap/>
        <w:overflowPunct/>
        <w:topLinePunct w:val="0"/>
        <w:bidi w:val="0"/>
        <w:spacing w:line="560" w:lineRule="exact"/>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北京证券交易所</w:t>
      </w:r>
    </w:p>
    <w:p>
      <w:pPr>
        <w:pageBreakBefore w:val="0"/>
        <w:kinsoku/>
        <w:wordWrap/>
        <w:overflowPunct/>
        <w:topLinePunct w:val="0"/>
        <w:bidi w:val="0"/>
        <w:spacing w:line="560" w:lineRule="exact"/>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pageBreakBefore w:val="0"/>
        <w:kinsoku/>
        <w:wordWrap/>
        <w:overflowPunct/>
        <w:topLinePunct w:val="0"/>
        <w:bidi w:val="0"/>
        <w:spacing w:line="560" w:lineRule="exact"/>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pageBreakBefore w:val="0"/>
        <w:kinsoku/>
        <w:wordWrap/>
        <w:overflowPunct/>
        <w:topLinePunct w:val="0"/>
        <w:bidi w:val="0"/>
        <w:spacing w:line="560" w:lineRule="exact"/>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r>
        <w:rPr>
          <w:rFonts w:hint="eastAsia" w:ascii="仿宋" w:hAnsi="仿宋" w:cs="Times New Roman"/>
          <w:color w:val="000000" w:themeColor="text1"/>
          <w:sz w:val="30"/>
          <w:szCs w:val="30"/>
          <w14:textFill>
            <w14:solidFill>
              <w14:schemeClr w14:val="tx1"/>
            </w14:solidFill>
          </w14:textFill>
        </w:rPr>
        <w:t>五</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lang w:eastAsia="zh-CN"/>
          <w14:textFill>
            <w14:solidFill>
              <w14:schemeClr w14:val="tx1"/>
            </w14:solidFill>
          </w14:textFill>
        </w:rPr>
        <w:t>九</w:t>
      </w:r>
      <w:r>
        <w:rPr>
          <w:rFonts w:ascii="仿宋" w:hAnsi="仿宋" w:cs="Times New Roman"/>
          <w:color w:val="000000" w:themeColor="text1"/>
          <w:sz w:val="30"/>
          <w:szCs w:val="30"/>
          <w14:textFill>
            <w14:solidFill>
              <w14:schemeClr w14:val="tx1"/>
            </w14:solidFill>
          </w14:textFill>
        </w:rPr>
        <w:t>月</w:t>
      </w:r>
      <w:bookmarkEnd w:id="10"/>
    </w:p>
    <w:sectPr>
      <w:footerReference r:id="rId11" w:type="default"/>
      <w:footerReference r:id="rId12" w:type="even"/>
      <w:pgSz w:w="11906" w:h="16838"/>
      <w:pgMar w:top="1588" w:right="1701" w:bottom="1588" w:left="1701" w:header="907" w:footer="907" w:gutter="0"/>
      <w:pgNumType w:fmt="numberInDash"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CG Times">
    <w:altName w:val="DejaVu Sans"/>
    <w:panose1 w:val="00000000000000000000"/>
    <w:charset w:val="00"/>
    <w:family w:val="roman"/>
    <w:pitch w:val="default"/>
    <w:sig w:usb0="00000000" w:usb1="00000000" w:usb2="00000000" w:usb3="00000000" w:csb0="00000001"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TimesNewRomanPSMT">
    <w:altName w:val="DejaVu Sans"/>
    <w:panose1 w:val="00000000000000000000"/>
    <w:charset w:val="00"/>
    <w:family w:val="roman"/>
    <w:pitch w:val="default"/>
    <w:sig w:usb0="00000000" w:usb1="00000000" w:usb2="00000000" w:usb3="00000000" w:csb0="00000000" w:csb1="00000000"/>
  </w:font>
  <w:font w:name="方正大标宋简体">
    <w:altName w:val="方正书宋_GBK"/>
    <w:panose1 w:val="02010601030101010101"/>
    <w:charset w:val="86"/>
    <w:family w:val="auto"/>
    <w:pitch w:val="default"/>
    <w:sig w:usb0="00000000" w:usb1="00000000" w:usb2="0000001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rPr>
        <w:rFonts w:asciiTheme="minorEastAsia" w:hAnsiTheme="minorEastAsia" w:eastAsia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084978"/>
    </w:sdtPr>
    <w:sdtEndPr>
      <w:rPr>
        <w:rFonts w:asciiTheme="minorEastAsia" w:hAnsiTheme="minorEastAsia" w:eastAsiaTheme="minorEastAsia"/>
        <w:sz w:val="28"/>
        <w:szCs w:val="28"/>
      </w:rPr>
    </w:sdtEndPr>
    <w:sdtContent>
      <w:p>
        <w:pPr>
          <w:pStyle w:val="24"/>
          <w:ind w:left="2400" w:firstLine="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15 -</w:t>
        </w:r>
        <w:r>
          <w:rPr>
            <w:rFonts w:asciiTheme="minorEastAsia" w:hAnsiTheme="minorEastAsia" w:eastAsia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
    </w:sdtPr>
    <w:sdtEndPr>
      <w:rPr>
        <w:rFonts w:asciiTheme="minorEastAsia" w:hAnsiTheme="minorEastAsia" w:eastAsiaTheme="minorEastAsia"/>
        <w:sz w:val="28"/>
        <w:szCs w:val="28"/>
      </w:rPr>
    </w:sdtEndPr>
    <w:sdtContent>
      <w:p>
        <w:pPr>
          <w:pStyle w:val="24"/>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480"/>
      </w:pPr>
      <w:r>
        <w:separator/>
      </w:r>
    </w:p>
  </w:footnote>
  <w:footnote w:type="continuationSeparator" w:id="3">
    <w:p>
      <w:pPr>
        <w:spacing w:line="240" w:lineRule="auto"/>
        <w:ind w:firstLine="480"/>
      </w:pPr>
      <w:r>
        <w:continuationSeparator/>
      </w:r>
    </w:p>
  </w:footnote>
  <w:footnote w:id="0">
    <w:p>
      <w:pPr>
        <w:pStyle w:val="28"/>
        <w:ind w:firstLine="360"/>
      </w:pPr>
      <w:r>
        <w:rPr>
          <w:rStyle w:val="46"/>
        </w:rPr>
        <w:footnoteRef/>
      </w:r>
      <w:r>
        <w:t xml:space="preserve"> </w:t>
      </w:r>
      <w:r>
        <w:rPr>
          <w:rFonts w:hint="eastAsia"/>
        </w:rPr>
        <w:t>切换试点股票参考北交所官网发布的《关于发布北交所存量上市公司代码切换试点股票名单并实施配套业务安排的公告》（北证公告〔2025〕13号）附件《试点股票新旧代码对照表》。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通关测试方案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通关测试方案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3C694"/>
    <w:multiLevelType w:val="singleLevel"/>
    <w:tmpl w:val="D6B3C694"/>
    <w:lvl w:ilvl="0" w:tentative="0">
      <w:start w:val="1"/>
      <w:numFmt w:val="decimal"/>
      <w:suff w:val="nothing"/>
      <w:lvlText w:val="%1．"/>
      <w:lvlJc w:val="left"/>
    </w:lvl>
  </w:abstractNum>
  <w:abstractNum w:abstractNumId="1">
    <w:nsid w:val="09AA602B"/>
    <w:multiLevelType w:val="multilevel"/>
    <w:tmpl w:val="09AA602B"/>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2">
    <w:nsid w:val="0D57684F"/>
    <w:multiLevelType w:val="multilevel"/>
    <w:tmpl w:val="0D57684F"/>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3">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9"/>
      <w:lvlText w:val="（%3）"/>
      <w:lvlJc w:val="left"/>
      <w:pPr>
        <w:ind w:left="1200" w:hanging="1200"/>
      </w:pPr>
      <w:rPr>
        <w:rFonts w:hint="default"/>
      </w:rPr>
    </w:lvl>
    <w:lvl w:ilvl="3" w:tentative="0">
      <w:start w:val="1"/>
      <w:numFmt w:val="decimal"/>
      <w:pStyle w:val="70"/>
      <w:lvlText w:val="%1.%2.%3.%4"/>
      <w:lvlJc w:val="left"/>
      <w:pPr>
        <w:ind w:left="0" w:firstLine="0"/>
      </w:pPr>
      <w:rPr>
        <w:rFonts w:hint="eastAsia"/>
      </w:rPr>
    </w:lvl>
    <w:lvl w:ilvl="4" w:tentative="0">
      <w:start w:val="1"/>
      <w:numFmt w:val="decimal"/>
      <w:pStyle w:val="7"/>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58184730"/>
    <w:multiLevelType w:val="multilevel"/>
    <w:tmpl w:val="58184730"/>
    <w:lvl w:ilvl="0" w:tentative="0">
      <w:start w:val="1"/>
      <w:numFmt w:val="chineseCountingThousand"/>
      <w:pStyle w:val="77"/>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7BC86D68"/>
    <w:multiLevelType w:val="multilevel"/>
    <w:tmpl w:val="7BC86D68"/>
    <w:lvl w:ilvl="0" w:tentative="0">
      <w:start w:val="1"/>
      <w:numFmt w:val="chineseCountingThousand"/>
      <w:pStyle w:val="88"/>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evenAndOddHeaders w:val="true"/>
  <w:drawingGridHorizontalSpacing w:val="120"/>
  <w:drawingGridVerticalSpacing w:val="163"/>
  <w:noPunctuationKerning w:val="true"/>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03D4"/>
    <w:rsid w:val="000008CD"/>
    <w:rsid w:val="000021F2"/>
    <w:rsid w:val="000042CA"/>
    <w:rsid w:val="000079A1"/>
    <w:rsid w:val="00012061"/>
    <w:rsid w:val="00014FCB"/>
    <w:rsid w:val="00015F0D"/>
    <w:rsid w:val="0001604C"/>
    <w:rsid w:val="000170DD"/>
    <w:rsid w:val="00022265"/>
    <w:rsid w:val="00023DC3"/>
    <w:rsid w:val="00025609"/>
    <w:rsid w:val="0003224B"/>
    <w:rsid w:val="000340E9"/>
    <w:rsid w:val="000356E8"/>
    <w:rsid w:val="0004235A"/>
    <w:rsid w:val="00044E9E"/>
    <w:rsid w:val="00046C0A"/>
    <w:rsid w:val="00052298"/>
    <w:rsid w:val="00060E86"/>
    <w:rsid w:val="000634E3"/>
    <w:rsid w:val="00072489"/>
    <w:rsid w:val="00074A7E"/>
    <w:rsid w:val="000804B5"/>
    <w:rsid w:val="00080895"/>
    <w:rsid w:val="00080B96"/>
    <w:rsid w:val="00081010"/>
    <w:rsid w:val="00091A09"/>
    <w:rsid w:val="000A2740"/>
    <w:rsid w:val="000A4D6D"/>
    <w:rsid w:val="000A5065"/>
    <w:rsid w:val="000A666E"/>
    <w:rsid w:val="000B0B0C"/>
    <w:rsid w:val="000B0C3E"/>
    <w:rsid w:val="000B1376"/>
    <w:rsid w:val="000C05E3"/>
    <w:rsid w:val="000C1477"/>
    <w:rsid w:val="000C3BFD"/>
    <w:rsid w:val="000C7A4B"/>
    <w:rsid w:val="000C7BA4"/>
    <w:rsid w:val="000D0227"/>
    <w:rsid w:val="000D6685"/>
    <w:rsid w:val="000D75C2"/>
    <w:rsid w:val="000E2A65"/>
    <w:rsid w:val="000E3E52"/>
    <w:rsid w:val="000E4A53"/>
    <w:rsid w:val="000E6435"/>
    <w:rsid w:val="000F1908"/>
    <w:rsid w:val="000F6857"/>
    <w:rsid w:val="00100FBF"/>
    <w:rsid w:val="00101373"/>
    <w:rsid w:val="00107BA4"/>
    <w:rsid w:val="00113FBF"/>
    <w:rsid w:val="00115F86"/>
    <w:rsid w:val="00127BC9"/>
    <w:rsid w:val="00130333"/>
    <w:rsid w:val="00131398"/>
    <w:rsid w:val="0013179F"/>
    <w:rsid w:val="001340A3"/>
    <w:rsid w:val="00141196"/>
    <w:rsid w:val="00143D54"/>
    <w:rsid w:val="001450C4"/>
    <w:rsid w:val="0014549F"/>
    <w:rsid w:val="00146350"/>
    <w:rsid w:val="0014719A"/>
    <w:rsid w:val="001538F9"/>
    <w:rsid w:val="00165CA6"/>
    <w:rsid w:val="00167234"/>
    <w:rsid w:val="001703D1"/>
    <w:rsid w:val="0018007C"/>
    <w:rsid w:val="00180255"/>
    <w:rsid w:val="00183028"/>
    <w:rsid w:val="00185284"/>
    <w:rsid w:val="00186457"/>
    <w:rsid w:val="001902F0"/>
    <w:rsid w:val="00190447"/>
    <w:rsid w:val="00193B89"/>
    <w:rsid w:val="00193EB0"/>
    <w:rsid w:val="00193ECC"/>
    <w:rsid w:val="001949B0"/>
    <w:rsid w:val="0019725F"/>
    <w:rsid w:val="001978C8"/>
    <w:rsid w:val="001A70B7"/>
    <w:rsid w:val="001A7EE0"/>
    <w:rsid w:val="001B173B"/>
    <w:rsid w:val="001B23EC"/>
    <w:rsid w:val="001B7F01"/>
    <w:rsid w:val="001C3443"/>
    <w:rsid w:val="001D0A01"/>
    <w:rsid w:val="001D2164"/>
    <w:rsid w:val="001D2BAE"/>
    <w:rsid w:val="001D7798"/>
    <w:rsid w:val="001E150F"/>
    <w:rsid w:val="001E1C28"/>
    <w:rsid w:val="001F3017"/>
    <w:rsid w:val="001F4C2E"/>
    <w:rsid w:val="001F77A6"/>
    <w:rsid w:val="00200581"/>
    <w:rsid w:val="00206259"/>
    <w:rsid w:val="00221E9F"/>
    <w:rsid w:val="0023258F"/>
    <w:rsid w:val="00234E19"/>
    <w:rsid w:val="002406AF"/>
    <w:rsid w:val="00240BAB"/>
    <w:rsid w:val="00241718"/>
    <w:rsid w:val="00242A49"/>
    <w:rsid w:val="002436A0"/>
    <w:rsid w:val="00247AC2"/>
    <w:rsid w:val="00252AF6"/>
    <w:rsid w:val="00253C9D"/>
    <w:rsid w:val="00256BE1"/>
    <w:rsid w:val="002579A2"/>
    <w:rsid w:val="0026430A"/>
    <w:rsid w:val="0026626B"/>
    <w:rsid w:val="00266A8F"/>
    <w:rsid w:val="00266E71"/>
    <w:rsid w:val="00273CD5"/>
    <w:rsid w:val="0027405D"/>
    <w:rsid w:val="00275424"/>
    <w:rsid w:val="002759F4"/>
    <w:rsid w:val="00277AEC"/>
    <w:rsid w:val="00277C7D"/>
    <w:rsid w:val="00280D3D"/>
    <w:rsid w:val="00282E3C"/>
    <w:rsid w:val="00284448"/>
    <w:rsid w:val="00297152"/>
    <w:rsid w:val="00297B1D"/>
    <w:rsid w:val="002A0254"/>
    <w:rsid w:val="002A3D4C"/>
    <w:rsid w:val="002A52EA"/>
    <w:rsid w:val="002A6D34"/>
    <w:rsid w:val="002C1D49"/>
    <w:rsid w:val="002C7089"/>
    <w:rsid w:val="002D3F71"/>
    <w:rsid w:val="002D41A0"/>
    <w:rsid w:val="002D797A"/>
    <w:rsid w:val="002E33C4"/>
    <w:rsid w:val="002E4041"/>
    <w:rsid w:val="002E578C"/>
    <w:rsid w:val="002E74FD"/>
    <w:rsid w:val="002E7548"/>
    <w:rsid w:val="002F0A5F"/>
    <w:rsid w:val="002F3286"/>
    <w:rsid w:val="002F7C80"/>
    <w:rsid w:val="00300C20"/>
    <w:rsid w:val="00306BDB"/>
    <w:rsid w:val="00307F45"/>
    <w:rsid w:val="00311CE6"/>
    <w:rsid w:val="00312884"/>
    <w:rsid w:val="003138C1"/>
    <w:rsid w:val="00320A48"/>
    <w:rsid w:val="00320EEE"/>
    <w:rsid w:val="00335E68"/>
    <w:rsid w:val="0033640B"/>
    <w:rsid w:val="00336769"/>
    <w:rsid w:val="003435C8"/>
    <w:rsid w:val="0034490A"/>
    <w:rsid w:val="00345A5A"/>
    <w:rsid w:val="00362F19"/>
    <w:rsid w:val="00363B70"/>
    <w:rsid w:val="003642E5"/>
    <w:rsid w:val="00370795"/>
    <w:rsid w:val="00373C01"/>
    <w:rsid w:val="00374DAD"/>
    <w:rsid w:val="00376C12"/>
    <w:rsid w:val="00385178"/>
    <w:rsid w:val="00387E17"/>
    <w:rsid w:val="003A18ED"/>
    <w:rsid w:val="003A3C96"/>
    <w:rsid w:val="003A3D7E"/>
    <w:rsid w:val="003B261C"/>
    <w:rsid w:val="003B5A65"/>
    <w:rsid w:val="003B644C"/>
    <w:rsid w:val="003B662E"/>
    <w:rsid w:val="003C1112"/>
    <w:rsid w:val="003C23AB"/>
    <w:rsid w:val="003C5E51"/>
    <w:rsid w:val="003C5F2F"/>
    <w:rsid w:val="003C7CCB"/>
    <w:rsid w:val="003E4A8B"/>
    <w:rsid w:val="003F01F0"/>
    <w:rsid w:val="003F2AA4"/>
    <w:rsid w:val="00401621"/>
    <w:rsid w:val="00407FF3"/>
    <w:rsid w:val="00414BA6"/>
    <w:rsid w:val="0042028F"/>
    <w:rsid w:val="004243EC"/>
    <w:rsid w:val="00425E28"/>
    <w:rsid w:val="00427365"/>
    <w:rsid w:val="0043256A"/>
    <w:rsid w:val="00436F29"/>
    <w:rsid w:val="00437D28"/>
    <w:rsid w:val="0044032D"/>
    <w:rsid w:val="004522B0"/>
    <w:rsid w:val="004568C9"/>
    <w:rsid w:val="00456985"/>
    <w:rsid w:val="004612E9"/>
    <w:rsid w:val="0046391E"/>
    <w:rsid w:val="00463E9C"/>
    <w:rsid w:val="00467A63"/>
    <w:rsid w:val="00472ED3"/>
    <w:rsid w:val="0047526B"/>
    <w:rsid w:val="004821DA"/>
    <w:rsid w:val="00484635"/>
    <w:rsid w:val="00487504"/>
    <w:rsid w:val="0049165A"/>
    <w:rsid w:val="004921BC"/>
    <w:rsid w:val="00492EA6"/>
    <w:rsid w:val="0049466C"/>
    <w:rsid w:val="00495886"/>
    <w:rsid w:val="00495945"/>
    <w:rsid w:val="00496D8F"/>
    <w:rsid w:val="00497D1B"/>
    <w:rsid w:val="004A4F42"/>
    <w:rsid w:val="004B07C1"/>
    <w:rsid w:val="004B0EA0"/>
    <w:rsid w:val="004B115B"/>
    <w:rsid w:val="004B2611"/>
    <w:rsid w:val="004B55CC"/>
    <w:rsid w:val="004C64A5"/>
    <w:rsid w:val="004D1909"/>
    <w:rsid w:val="004E21F8"/>
    <w:rsid w:val="004E3D4D"/>
    <w:rsid w:val="004E587F"/>
    <w:rsid w:val="004F1807"/>
    <w:rsid w:val="004F1AC3"/>
    <w:rsid w:val="005006A8"/>
    <w:rsid w:val="00512808"/>
    <w:rsid w:val="00526307"/>
    <w:rsid w:val="00530549"/>
    <w:rsid w:val="00533919"/>
    <w:rsid w:val="00533984"/>
    <w:rsid w:val="00534172"/>
    <w:rsid w:val="00534793"/>
    <w:rsid w:val="00543365"/>
    <w:rsid w:val="00545001"/>
    <w:rsid w:val="005466AD"/>
    <w:rsid w:val="00547616"/>
    <w:rsid w:val="00550DE4"/>
    <w:rsid w:val="00551324"/>
    <w:rsid w:val="0056297E"/>
    <w:rsid w:val="00564776"/>
    <w:rsid w:val="00564FEE"/>
    <w:rsid w:val="00566302"/>
    <w:rsid w:val="005670D6"/>
    <w:rsid w:val="00576139"/>
    <w:rsid w:val="00577876"/>
    <w:rsid w:val="00580C9D"/>
    <w:rsid w:val="00581FF8"/>
    <w:rsid w:val="00585660"/>
    <w:rsid w:val="0059060E"/>
    <w:rsid w:val="00591716"/>
    <w:rsid w:val="005A2515"/>
    <w:rsid w:val="005B076F"/>
    <w:rsid w:val="005C0530"/>
    <w:rsid w:val="005C0D5D"/>
    <w:rsid w:val="005D0387"/>
    <w:rsid w:val="005D2DAD"/>
    <w:rsid w:val="005D4749"/>
    <w:rsid w:val="005E1F19"/>
    <w:rsid w:val="005E2335"/>
    <w:rsid w:val="005E628B"/>
    <w:rsid w:val="005E6751"/>
    <w:rsid w:val="005F3660"/>
    <w:rsid w:val="005F6332"/>
    <w:rsid w:val="005F760C"/>
    <w:rsid w:val="00600CA6"/>
    <w:rsid w:val="00605FEB"/>
    <w:rsid w:val="006063DD"/>
    <w:rsid w:val="00607D03"/>
    <w:rsid w:val="006117DB"/>
    <w:rsid w:val="006157E1"/>
    <w:rsid w:val="00616628"/>
    <w:rsid w:val="006216FC"/>
    <w:rsid w:val="00624CC1"/>
    <w:rsid w:val="006263CC"/>
    <w:rsid w:val="00627371"/>
    <w:rsid w:val="006304E5"/>
    <w:rsid w:val="006338D2"/>
    <w:rsid w:val="00641376"/>
    <w:rsid w:val="00641D82"/>
    <w:rsid w:val="00643ECE"/>
    <w:rsid w:val="0065270F"/>
    <w:rsid w:val="00655003"/>
    <w:rsid w:val="0065516D"/>
    <w:rsid w:val="006572ED"/>
    <w:rsid w:val="00665C84"/>
    <w:rsid w:val="00665E3C"/>
    <w:rsid w:val="006722C2"/>
    <w:rsid w:val="00675AD2"/>
    <w:rsid w:val="00675C3D"/>
    <w:rsid w:val="00677BB3"/>
    <w:rsid w:val="00681A8C"/>
    <w:rsid w:val="00682A05"/>
    <w:rsid w:val="006830AC"/>
    <w:rsid w:val="00683D29"/>
    <w:rsid w:val="00684C30"/>
    <w:rsid w:val="00684DA1"/>
    <w:rsid w:val="00687ECD"/>
    <w:rsid w:val="00694B1E"/>
    <w:rsid w:val="006A0848"/>
    <w:rsid w:val="006A0E95"/>
    <w:rsid w:val="006A36DF"/>
    <w:rsid w:val="006A40A0"/>
    <w:rsid w:val="006B0241"/>
    <w:rsid w:val="006B241C"/>
    <w:rsid w:val="006B2B18"/>
    <w:rsid w:val="006C0B8B"/>
    <w:rsid w:val="006C5775"/>
    <w:rsid w:val="006D77B5"/>
    <w:rsid w:val="006E2D38"/>
    <w:rsid w:val="006E503C"/>
    <w:rsid w:val="006E6881"/>
    <w:rsid w:val="006E6D42"/>
    <w:rsid w:val="006E7BA5"/>
    <w:rsid w:val="006E7DCA"/>
    <w:rsid w:val="006F05A8"/>
    <w:rsid w:val="006F34CB"/>
    <w:rsid w:val="006F4E09"/>
    <w:rsid w:val="00701F1B"/>
    <w:rsid w:val="00703C11"/>
    <w:rsid w:val="00706ECF"/>
    <w:rsid w:val="00710392"/>
    <w:rsid w:val="00711EC8"/>
    <w:rsid w:val="00715EBB"/>
    <w:rsid w:val="007211EC"/>
    <w:rsid w:val="00721CCB"/>
    <w:rsid w:val="0072630D"/>
    <w:rsid w:val="007306AE"/>
    <w:rsid w:val="00733F21"/>
    <w:rsid w:val="00753120"/>
    <w:rsid w:val="007544C5"/>
    <w:rsid w:val="00755F4B"/>
    <w:rsid w:val="00756E54"/>
    <w:rsid w:val="00767E91"/>
    <w:rsid w:val="00767F1F"/>
    <w:rsid w:val="00774158"/>
    <w:rsid w:val="007835B6"/>
    <w:rsid w:val="00785FE5"/>
    <w:rsid w:val="00786A27"/>
    <w:rsid w:val="00786D46"/>
    <w:rsid w:val="00792C28"/>
    <w:rsid w:val="00793331"/>
    <w:rsid w:val="00794E83"/>
    <w:rsid w:val="00795E74"/>
    <w:rsid w:val="0079718C"/>
    <w:rsid w:val="007A083E"/>
    <w:rsid w:val="007A6CA5"/>
    <w:rsid w:val="007B0A94"/>
    <w:rsid w:val="007C007D"/>
    <w:rsid w:val="007C2325"/>
    <w:rsid w:val="007C6899"/>
    <w:rsid w:val="007C77E5"/>
    <w:rsid w:val="007D5B90"/>
    <w:rsid w:val="007D5E12"/>
    <w:rsid w:val="007D6CBD"/>
    <w:rsid w:val="007E783B"/>
    <w:rsid w:val="007F26C9"/>
    <w:rsid w:val="007F26FE"/>
    <w:rsid w:val="00803EB2"/>
    <w:rsid w:val="00806AD8"/>
    <w:rsid w:val="00810C54"/>
    <w:rsid w:val="0081304A"/>
    <w:rsid w:val="008166B5"/>
    <w:rsid w:val="0082095E"/>
    <w:rsid w:val="00820C3B"/>
    <w:rsid w:val="00821431"/>
    <w:rsid w:val="008244B7"/>
    <w:rsid w:val="0082472D"/>
    <w:rsid w:val="00824F21"/>
    <w:rsid w:val="00832685"/>
    <w:rsid w:val="00834071"/>
    <w:rsid w:val="00841245"/>
    <w:rsid w:val="00852DD5"/>
    <w:rsid w:val="0085463C"/>
    <w:rsid w:val="00855A28"/>
    <w:rsid w:val="00860ABB"/>
    <w:rsid w:val="0086111C"/>
    <w:rsid w:val="00864173"/>
    <w:rsid w:val="0086442D"/>
    <w:rsid w:val="008663D3"/>
    <w:rsid w:val="0087185D"/>
    <w:rsid w:val="00875B14"/>
    <w:rsid w:val="00884977"/>
    <w:rsid w:val="00885B06"/>
    <w:rsid w:val="00885D05"/>
    <w:rsid w:val="0089111C"/>
    <w:rsid w:val="00892181"/>
    <w:rsid w:val="008A2DA3"/>
    <w:rsid w:val="008B4B2F"/>
    <w:rsid w:val="008B78FE"/>
    <w:rsid w:val="008C02F4"/>
    <w:rsid w:val="008C098C"/>
    <w:rsid w:val="008C28DF"/>
    <w:rsid w:val="008C3622"/>
    <w:rsid w:val="008C5A31"/>
    <w:rsid w:val="008C702A"/>
    <w:rsid w:val="008D1EBB"/>
    <w:rsid w:val="008E0050"/>
    <w:rsid w:val="008E301B"/>
    <w:rsid w:val="008E4048"/>
    <w:rsid w:val="008F4B76"/>
    <w:rsid w:val="008F760D"/>
    <w:rsid w:val="008F7FB3"/>
    <w:rsid w:val="009003E1"/>
    <w:rsid w:val="0090041B"/>
    <w:rsid w:val="00901440"/>
    <w:rsid w:val="00902A1E"/>
    <w:rsid w:val="00903270"/>
    <w:rsid w:val="00906DBF"/>
    <w:rsid w:val="00906EA2"/>
    <w:rsid w:val="00912987"/>
    <w:rsid w:val="00913CCA"/>
    <w:rsid w:val="00922895"/>
    <w:rsid w:val="0092661C"/>
    <w:rsid w:val="00933037"/>
    <w:rsid w:val="0093438C"/>
    <w:rsid w:val="0094370A"/>
    <w:rsid w:val="009452AB"/>
    <w:rsid w:val="009504F6"/>
    <w:rsid w:val="00952067"/>
    <w:rsid w:val="009541FF"/>
    <w:rsid w:val="009546DB"/>
    <w:rsid w:val="0095511D"/>
    <w:rsid w:val="00956537"/>
    <w:rsid w:val="00956A92"/>
    <w:rsid w:val="009607D5"/>
    <w:rsid w:val="0096362F"/>
    <w:rsid w:val="00966241"/>
    <w:rsid w:val="00972A4B"/>
    <w:rsid w:val="00973478"/>
    <w:rsid w:val="00981237"/>
    <w:rsid w:val="00985647"/>
    <w:rsid w:val="00986D1E"/>
    <w:rsid w:val="00992D72"/>
    <w:rsid w:val="009A20F1"/>
    <w:rsid w:val="009A35A9"/>
    <w:rsid w:val="009A4E1B"/>
    <w:rsid w:val="009A5843"/>
    <w:rsid w:val="009B239A"/>
    <w:rsid w:val="009B3AAB"/>
    <w:rsid w:val="009C3AA0"/>
    <w:rsid w:val="009C572A"/>
    <w:rsid w:val="009D0A20"/>
    <w:rsid w:val="009D0C8F"/>
    <w:rsid w:val="009D0E44"/>
    <w:rsid w:val="009D1606"/>
    <w:rsid w:val="009D20B5"/>
    <w:rsid w:val="009D55D5"/>
    <w:rsid w:val="009D7358"/>
    <w:rsid w:val="009E5A45"/>
    <w:rsid w:val="009E7116"/>
    <w:rsid w:val="009F36F5"/>
    <w:rsid w:val="009F3C68"/>
    <w:rsid w:val="009F42A0"/>
    <w:rsid w:val="00A02141"/>
    <w:rsid w:val="00A03A05"/>
    <w:rsid w:val="00A0558B"/>
    <w:rsid w:val="00A05A5A"/>
    <w:rsid w:val="00A0767D"/>
    <w:rsid w:val="00A10ACB"/>
    <w:rsid w:val="00A115BA"/>
    <w:rsid w:val="00A14205"/>
    <w:rsid w:val="00A164E1"/>
    <w:rsid w:val="00A242BC"/>
    <w:rsid w:val="00A24C70"/>
    <w:rsid w:val="00A2501B"/>
    <w:rsid w:val="00A26646"/>
    <w:rsid w:val="00A318EA"/>
    <w:rsid w:val="00A35AB7"/>
    <w:rsid w:val="00A37FD5"/>
    <w:rsid w:val="00A400F2"/>
    <w:rsid w:val="00A4126F"/>
    <w:rsid w:val="00A41BAD"/>
    <w:rsid w:val="00A41F2B"/>
    <w:rsid w:val="00A51B86"/>
    <w:rsid w:val="00A51FA6"/>
    <w:rsid w:val="00A55A9E"/>
    <w:rsid w:val="00A61174"/>
    <w:rsid w:val="00A61FBC"/>
    <w:rsid w:val="00A67D57"/>
    <w:rsid w:val="00A74D88"/>
    <w:rsid w:val="00A760AA"/>
    <w:rsid w:val="00A826A8"/>
    <w:rsid w:val="00A9049D"/>
    <w:rsid w:val="00A94575"/>
    <w:rsid w:val="00A97679"/>
    <w:rsid w:val="00AA2208"/>
    <w:rsid w:val="00AB1922"/>
    <w:rsid w:val="00AB3B27"/>
    <w:rsid w:val="00AB71D0"/>
    <w:rsid w:val="00AB7CF8"/>
    <w:rsid w:val="00AD2201"/>
    <w:rsid w:val="00AD3E28"/>
    <w:rsid w:val="00AD44A1"/>
    <w:rsid w:val="00AD7FCE"/>
    <w:rsid w:val="00AE4E81"/>
    <w:rsid w:val="00AE5D76"/>
    <w:rsid w:val="00AF01DE"/>
    <w:rsid w:val="00AF37CC"/>
    <w:rsid w:val="00AF7D4C"/>
    <w:rsid w:val="00B018EC"/>
    <w:rsid w:val="00B04645"/>
    <w:rsid w:val="00B07BE6"/>
    <w:rsid w:val="00B102DC"/>
    <w:rsid w:val="00B10EA6"/>
    <w:rsid w:val="00B1162B"/>
    <w:rsid w:val="00B1277F"/>
    <w:rsid w:val="00B13611"/>
    <w:rsid w:val="00B143FA"/>
    <w:rsid w:val="00B17276"/>
    <w:rsid w:val="00B23131"/>
    <w:rsid w:val="00B232C4"/>
    <w:rsid w:val="00B24D7B"/>
    <w:rsid w:val="00B26090"/>
    <w:rsid w:val="00B30CC0"/>
    <w:rsid w:val="00B31BD0"/>
    <w:rsid w:val="00B3344A"/>
    <w:rsid w:val="00B37E3D"/>
    <w:rsid w:val="00B40308"/>
    <w:rsid w:val="00B44970"/>
    <w:rsid w:val="00B51370"/>
    <w:rsid w:val="00B54F2F"/>
    <w:rsid w:val="00B57D40"/>
    <w:rsid w:val="00B62B0E"/>
    <w:rsid w:val="00B84BBC"/>
    <w:rsid w:val="00B907D6"/>
    <w:rsid w:val="00B9585D"/>
    <w:rsid w:val="00BA01EB"/>
    <w:rsid w:val="00BA1E37"/>
    <w:rsid w:val="00BA268A"/>
    <w:rsid w:val="00BA3ADB"/>
    <w:rsid w:val="00BA59C2"/>
    <w:rsid w:val="00BB01EB"/>
    <w:rsid w:val="00BB11ED"/>
    <w:rsid w:val="00BC21BC"/>
    <w:rsid w:val="00BC2E4D"/>
    <w:rsid w:val="00BD128D"/>
    <w:rsid w:val="00BD4B36"/>
    <w:rsid w:val="00BD56EA"/>
    <w:rsid w:val="00BD6279"/>
    <w:rsid w:val="00BD6572"/>
    <w:rsid w:val="00BD7578"/>
    <w:rsid w:val="00BE1719"/>
    <w:rsid w:val="00BE522E"/>
    <w:rsid w:val="00C00622"/>
    <w:rsid w:val="00C03F91"/>
    <w:rsid w:val="00C05C47"/>
    <w:rsid w:val="00C11427"/>
    <w:rsid w:val="00C12207"/>
    <w:rsid w:val="00C14BE5"/>
    <w:rsid w:val="00C16ABA"/>
    <w:rsid w:val="00C21529"/>
    <w:rsid w:val="00C236DC"/>
    <w:rsid w:val="00C2520E"/>
    <w:rsid w:val="00C31A71"/>
    <w:rsid w:val="00C33ABB"/>
    <w:rsid w:val="00C33C06"/>
    <w:rsid w:val="00C33DC7"/>
    <w:rsid w:val="00C36DBA"/>
    <w:rsid w:val="00C37472"/>
    <w:rsid w:val="00C51B22"/>
    <w:rsid w:val="00C53A2D"/>
    <w:rsid w:val="00C5497C"/>
    <w:rsid w:val="00C5591D"/>
    <w:rsid w:val="00C60678"/>
    <w:rsid w:val="00C64131"/>
    <w:rsid w:val="00C64423"/>
    <w:rsid w:val="00C6502A"/>
    <w:rsid w:val="00C656F8"/>
    <w:rsid w:val="00C7138C"/>
    <w:rsid w:val="00C80CBE"/>
    <w:rsid w:val="00C81961"/>
    <w:rsid w:val="00C8479F"/>
    <w:rsid w:val="00C87C52"/>
    <w:rsid w:val="00C9188A"/>
    <w:rsid w:val="00C93829"/>
    <w:rsid w:val="00C94473"/>
    <w:rsid w:val="00C94C3D"/>
    <w:rsid w:val="00C9630C"/>
    <w:rsid w:val="00C9756F"/>
    <w:rsid w:val="00CA1A4B"/>
    <w:rsid w:val="00CA3BE1"/>
    <w:rsid w:val="00CA4BF4"/>
    <w:rsid w:val="00CA6EAB"/>
    <w:rsid w:val="00CB1A26"/>
    <w:rsid w:val="00CB3218"/>
    <w:rsid w:val="00CB7BA3"/>
    <w:rsid w:val="00CC0721"/>
    <w:rsid w:val="00CC390F"/>
    <w:rsid w:val="00CD004F"/>
    <w:rsid w:val="00CD0DA9"/>
    <w:rsid w:val="00CD3ADA"/>
    <w:rsid w:val="00CD3B46"/>
    <w:rsid w:val="00CD4258"/>
    <w:rsid w:val="00CD52C1"/>
    <w:rsid w:val="00CE621D"/>
    <w:rsid w:val="00CF54E4"/>
    <w:rsid w:val="00CF56B2"/>
    <w:rsid w:val="00D00542"/>
    <w:rsid w:val="00D00C9F"/>
    <w:rsid w:val="00D0254E"/>
    <w:rsid w:val="00D050DC"/>
    <w:rsid w:val="00D14351"/>
    <w:rsid w:val="00D14569"/>
    <w:rsid w:val="00D17350"/>
    <w:rsid w:val="00D32F2D"/>
    <w:rsid w:val="00D33719"/>
    <w:rsid w:val="00D36B25"/>
    <w:rsid w:val="00D37A4D"/>
    <w:rsid w:val="00D50B84"/>
    <w:rsid w:val="00D5553E"/>
    <w:rsid w:val="00D619FE"/>
    <w:rsid w:val="00D72715"/>
    <w:rsid w:val="00D731D7"/>
    <w:rsid w:val="00D73EC8"/>
    <w:rsid w:val="00D759AA"/>
    <w:rsid w:val="00D766E5"/>
    <w:rsid w:val="00D80DCA"/>
    <w:rsid w:val="00D83DE6"/>
    <w:rsid w:val="00D83EBC"/>
    <w:rsid w:val="00D8466F"/>
    <w:rsid w:val="00D85079"/>
    <w:rsid w:val="00D9068F"/>
    <w:rsid w:val="00D91228"/>
    <w:rsid w:val="00D91B1D"/>
    <w:rsid w:val="00D91F5D"/>
    <w:rsid w:val="00D929D0"/>
    <w:rsid w:val="00D959BA"/>
    <w:rsid w:val="00D967C6"/>
    <w:rsid w:val="00D9732B"/>
    <w:rsid w:val="00DA1317"/>
    <w:rsid w:val="00DA1F9D"/>
    <w:rsid w:val="00DA3F10"/>
    <w:rsid w:val="00DA3F36"/>
    <w:rsid w:val="00DA5075"/>
    <w:rsid w:val="00DA6588"/>
    <w:rsid w:val="00DA71AA"/>
    <w:rsid w:val="00DB3F07"/>
    <w:rsid w:val="00DB64C2"/>
    <w:rsid w:val="00DC2ACB"/>
    <w:rsid w:val="00DC3134"/>
    <w:rsid w:val="00DC4CD1"/>
    <w:rsid w:val="00DD0D50"/>
    <w:rsid w:val="00DD5E25"/>
    <w:rsid w:val="00DD6F4F"/>
    <w:rsid w:val="00DD727F"/>
    <w:rsid w:val="00DE1310"/>
    <w:rsid w:val="00DF28D8"/>
    <w:rsid w:val="00DF5FDC"/>
    <w:rsid w:val="00DF6C4C"/>
    <w:rsid w:val="00DF6D2F"/>
    <w:rsid w:val="00E0274E"/>
    <w:rsid w:val="00E077E0"/>
    <w:rsid w:val="00E14A59"/>
    <w:rsid w:val="00E1645A"/>
    <w:rsid w:val="00E24091"/>
    <w:rsid w:val="00E2539F"/>
    <w:rsid w:val="00E32C75"/>
    <w:rsid w:val="00E34257"/>
    <w:rsid w:val="00E4391B"/>
    <w:rsid w:val="00E43C32"/>
    <w:rsid w:val="00E52FAE"/>
    <w:rsid w:val="00E55448"/>
    <w:rsid w:val="00E557A5"/>
    <w:rsid w:val="00E638C1"/>
    <w:rsid w:val="00E70340"/>
    <w:rsid w:val="00E70452"/>
    <w:rsid w:val="00E81942"/>
    <w:rsid w:val="00E84189"/>
    <w:rsid w:val="00E85B5F"/>
    <w:rsid w:val="00E85E20"/>
    <w:rsid w:val="00E95E00"/>
    <w:rsid w:val="00EA0CD1"/>
    <w:rsid w:val="00EA5F8D"/>
    <w:rsid w:val="00EB08C3"/>
    <w:rsid w:val="00EB0A7E"/>
    <w:rsid w:val="00EB498D"/>
    <w:rsid w:val="00EC25C5"/>
    <w:rsid w:val="00EC3ACD"/>
    <w:rsid w:val="00ED1A6A"/>
    <w:rsid w:val="00ED6518"/>
    <w:rsid w:val="00ED7AE7"/>
    <w:rsid w:val="00EE16E5"/>
    <w:rsid w:val="00EE375C"/>
    <w:rsid w:val="00EE5E8C"/>
    <w:rsid w:val="00EF4C9C"/>
    <w:rsid w:val="00F01128"/>
    <w:rsid w:val="00F02080"/>
    <w:rsid w:val="00F052BF"/>
    <w:rsid w:val="00F10A6C"/>
    <w:rsid w:val="00F11617"/>
    <w:rsid w:val="00F12F25"/>
    <w:rsid w:val="00F1638A"/>
    <w:rsid w:val="00F22F46"/>
    <w:rsid w:val="00F24F0B"/>
    <w:rsid w:val="00F3059E"/>
    <w:rsid w:val="00F425F6"/>
    <w:rsid w:val="00F42707"/>
    <w:rsid w:val="00F55B5B"/>
    <w:rsid w:val="00F56794"/>
    <w:rsid w:val="00F60079"/>
    <w:rsid w:val="00F61EBB"/>
    <w:rsid w:val="00F6534B"/>
    <w:rsid w:val="00F66A82"/>
    <w:rsid w:val="00F66B55"/>
    <w:rsid w:val="00F679A0"/>
    <w:rsid w:val="00F76970"/>
    <w:rsid w:val="00F80A56"/>
    <w:rsid w:val="00F8160F"/>
    <w:rsid w:val="00F86C14"/>
    <w:rsid w:val="00F9001F"/>
    <w:rsid w:val="00F9375E"/>
    <w:rsid w:val="00FA0EF3"/>
    <w:rsid w:val="00FA7045"/>
    <w:rsid w:val="00FA74CE"/>
    <w:rsid w:val="00FA75E7"/>
    <w:rsid w:val="00FB6AFD"/>
    <w:rsid w:val="00FC0319"/>
    <w:rsid w:val="00FC2970"/>
    <w:rsid w:val="00FC4B8B"/>
    <w:rsid w:val="00FC73C0"/>
    <w:rsid w:val="00FE1D16"/>
    <w:rsid w:val="00FE5600"/>
    <w:rsid w:val="00FF01F8"/>
    <w:rsid w:val="00FF0FE4"/>
    <w:rsid w:val="00FF5FB4"/>
    <w:rsid w:val="035A88D3"/>
    <w:rsid w:val="0E6D8802"/>
    <w:rsid w:val="0E94509B"/>
    <w:rsid w:val="0FABB11C"/>
    <w:rsid w:val="0FCF826C"/>
    <w:rsid w:val="0FDFBCCF"/>
    <w:rsid w:val="12660033"/>
    <w:rsid w:val="13FBB444"/>
    <w:rsid w:val="177C2306"/>
    <w:rsid w:val="17CF285E"/>
    <w:rsid w:val="1AFB273A"/>
    <w:rsid w:val="1B30BE67"/>
    <w:rsid w:val="1BD4F451"/>
    <w:rsid w:val="1BFD8A42"/>
    <w:rsid w:val="1BFE62C3"/>
    <w:rsid w:val="1CBDBE45"/>
    <w:rsid w:val="1E374714"/>
    <w:rsid w:val="1E4DA63C"/>
    <w:rsid w:val="1E7C5799"/>
    <w:rsid w:val="1EB44536"/>
    <w:rsid w:val="1F73E717"/>
    <w:rsid w:val="1F77FB84"/>
    <w:rsid w:val="1F7E13DA"/>
    <w:rsid w:val="1F7FBD08"/>
    <w:rsid w:val="1F7FE0B9"/>
    <w:rsid w:val="1FAF85B8"/>
    <w:rsid w:val="1FBF3F6F"/>
    <w:rsid w:val="1FDEE27A"/>
    <w:rsid w:val="1FDF33B1"/>
    <w:rsid w:val="1FEC30C7"/>
    <w:rsid w:val="1FEE6A25"/>
    <w:rsid w:val="1FFDFB4D"/>
    <w:rsid w:val="22E571A1"/>
    <w:rsid w:val="25FDD84D"/>
    <w:rsid w:val="26718E42"/>
    <w:rsid w:val="279DF1A1"/>
    <w:rsid w:val="27D91059"/>
    <w:rsid w:val="27EF644D"/>
    <w:rsid w:val="2AFEBA90"/>
    <w:rsid w:val="2B7F5988"/>
    <w:rsid w:val="2B9F2956"/>
    <w:rsid w:val="2BF329DC"/>
    <w:rsid w:val="2BFA1BBC"/>
    <w:rsid w:val="2C2FB377"/>
    <w:rsid w:val="2CBD347F"/>
    <w:rsid w:val="2CF75A8D"/>
    <w:rsid w:val="2F0437DC"/>
    <w:rsid w:val="2F3803F6"/>
    <w:rsid w:val="2F5F9DE7"/>
    <w:rsid w:val="2F6550B8"/>
    <w:rsid w:val="2F6FAEA6"/>
    <w:rsid w:val="2FB71492"/>
    <w:rsid w:val="2FBFB258"/>
    <w:rsid w:val="2FCEB929"/>
    <w:rsid w:val="2FCFFF92"/>
    <w:rsid w:val="2FD56F04"/>
    <w:rsid w:val="2FE7A00B"/>
    <w:rsid w:val="2FED8245"/>
    <w:rsid w:val="2FF94E15"/>
    <w:rsid w:val="2FFBD442"/>
    <w:rsid w:val="2FFDD3D0"/>
    <w:rsid w:val="2FFE3B5F"/>
    <w:rsid w:val="2FFEBA5F"/>
    <w:rsid w:val="2FFF97F0"/>
    <w:rsid w:val="333F478A"/>
    <w:rsid w:val="33B74C74"/>
    <w:rsid w:val="34F55495"/>
    <w:rsid w:val="35D69390"/>
    <w:rsid w:val="35FDD31B"/>
    <w:rsid w:val="36768EC5"/>
    <w:rsid w:val="36EE1359"/>
    <w:rsid w:val="373FB3F2"/>
    <w:rsid w:val="375D0D48"/>
    <w:rsid w:val="375FCD8E"/>
    <w:rsid w:val="377F46A4"/>
    <w:rsid w:val="377F62F6"/>
    <w:rsid w:val="37FE8900"/>
    <w:rsid w:val="3877FF77"/>
    <w:rsid w:val="3A276381"/>
    <w:rsid w:val="3A8FEF0B"/>
    <w:rsid w:val="3ABD502E"/>
    <w:rsid w:val="3AFE8242"/>
    <w:rsid w:val="3B7BAF4F"/>
    <w:rsid w:val="3B7F1825"/>
    <w:rsid w:val="3B9DCF55"/>
    <w:rsid w:val="3BA647A7"/>
    <w:rsid w:val="3BA7E80F"/>
    <w:rsid w:val="3BBFDF02"/>
    <w:rsid w:val="3BDF4EF7"/>
    <w:rsid w:val="3BED2D02"/>
    <w:rsid w:val="3BEE6FC4"/>
    <w:rsid w:val="3BF66BCB"/>
    <w:rsid w:val="3BFC52C2"/>
    <w:rsid w:val="3BFD884A"/>
    <w:rsid w:val="3BFF96F3"/>
    <w:rsid w:val="3BFFC07B"/>
    <w:rsid w:val="3BFFC366"/>
    <w:rsid w:val="3C5FDF98"/>
    <w:rsid w:val="3CF70108"/>
    <w:rsid w:val="3CFF6CC9"/>
    <w:rsid w:val="3D3FEDF9"/>
    <w:rsid w:val="3D5809FC"/>
    <w:rsid w:val="3D5EF811"/>
    <w:rsid w:val="3D8B538F"/>
    <w:rsid w:val="3D9F8D0A"/>
    <w:rsid w:val="3DDECF97"/>
    <w:rsid w:val="3DEDE560"/>
    <w:rsid w:val="3DF4EFAB"/>
    <w:rsid w:val="3DF9D479"/>
    <w:rsid w:val="3DFBA024"/>
    <w:rsid w:val="3E703F94"/>
    <w:rsid w:val="3E7F7604"/>
    <w:rsid w:val="3E9D26A9"/>
    <w:rsid w:val="3EB7931E"/>
    <w:rsid w:val="3EFCC28E"/>
    <w:rsid w:val="3EFEBD5A"/>
    <w:rsid w:val="3F0D7818"/>
    <w:rsid w:val="3F0F3C43"/>
    <w:rsid w:val="3F1B83A3"/>
    <w:rsid w:val="3F1FC95B"/>
    <w:rsid w:val="3F53C2AF"/>
    <w:rsid w:val="3F5E6598"/>
    <w:rsid w:val="3F6DB519"/>
    <w:rsid w:val="3F74D583"/>
    <w:rsid w:val="3F7A825F"/>
    <w:rsid w:val="3F7DDF8C"/>
    <w:rsid w:val="3F7FAE8B"/>
    <w:rsid w:val="3F7FC16D"/>
    <w:rsid w:val="3FADC8E7"/>
    <w:rsid w:val="3FBAAB1D"/>
    <w:rsid w:val="3FBC0D81"/>
    <w:rsid w:val="3FBF3A48"/>
    <w:rsid w:val="3FCDE2C9"/>
    <w:rsid w:val="3FD70DE1"/>
    <w:rsid w:val="3FDA9C52"/>
    <w:rsid w:val="3FDD2986"/>
    <w:rsid w:val="3FECB4E5"/>
    <w:rsid w:val="3FEF805F"/>
    <w:rsid w:val="3FEFD18E"/>
    <w:rsid w:val="3FF35298"/>
    <w:rsid w:val="3FF6C37C"/>
    <w:rsid w:val="3FF71BC4"/>
    <w:rsid w:val="3FF7AC63"/>
    <w:rsid w:val="3FFF6E7B"/>
    <w:rsid w:val="3FFFC0B6"/>
    <w:rsid w:val="41D39DAE"/>
    <w:rsid w:val="41DF6CC2"/>
    <w:rsid w:val="43DF2990"/>
    <w:rsid w:val="46FF8D68"/>
    <w:rsid w:val="47731B6A"/>
    <w:rsid w:val="47BEB979"/>
    <w:rsid w:val="47BF0041"/>
    <w:rsid w:val="47F6940D"/>
    <w:rsid w:val="47F77165"/>
    <w:rsid w:val="48B2183C"/>
    <w:rsid w:val="4A3C4AA7"/>
    <w:rsid w:val="4AFE6D9A"/>
    <w:rsid w:val="4BB6D580"/>
    <w:rsid w:val="4BD72FBC"/>
    <w:rsid w:val="4BDE9B44"/>
    <w:rsid w:val="4BF7A928"/>
    <w:rsid w:val="4BFF4DC1"/>
    <w:rsid w:val="4D3ED65D"/>
    <w:rsid w:val="4DCFA4B1"/>
    <w:rsid w:val="4DDAE334"/>
    <w:rsid w:val="4DF3B493"/>
    <w:rsid w:val="4DFED698"/>
    <w:rsid w:val="4EFFAFB7"/>
    <w:rsid w:val="4EFFC6C2"/>
    <w:rsid w:val="4F573039"/>
    <w:rsid w:val="4F778EF7"/>
    <w:rsid w:val="4FA793A0"/>
    <w:rsid w:val="4FD78212"/>
    <w:rsid w:val="4FD7AD40"/>
    <w:rsid w:val="4FE5C2EB"/>
    <w:rsid w:val="4FEFCD8C"/>
    <w:rsid w:val="4FFC5CE9"/>
    <w:rsid w:val="4FFF1D93"/>
    <w:rsid w:val="4FFF5FC2"/>
    <w:rsid w:val="4FFFDA9E"/>
    <w:rsid w:val="51332ECA"/>
    <w:rsid w:val="525D32A0"/>
    <w:rsid w:val="52D07C56"/>
    <w:rsid w:val="52EDABB8"/>
    <w:rsid w:val="53AC9643"/>
    <w:rsid w:val="53DF5945"/>
    <w:rsid w:val="54FF4E65"/>
    <w:rsid w:val="56372B38"/>
    <w:rsid w:val="56DF5558"/>
    <w:rsid w:val="56EDD61D"/>
    <w:rsid w:val="56FD39D8"/>
    <w:rsid w:val="56FFBFF8"/>
    <w:rsid w:val="57373A65"/>
    <w:rsid w:val="573BB712"/>
    <w:rsid w:val="57ACE125"/>
    <w:rsid w:val="57BF93A8"/>
    <w:rsid w:val="57CFCBAF"/>
    <w:rsid w:val="57D39885"/>
    <w:rsid w:val="57DFE3A1"/>
    <w:rsid w:val="57EB5A3B"/>
    <w:rsid w:val="57EFCC25"/>
    <w:rsid w:val="57F37FF1"/>
    <w:rsid w:val="57F7CBD5"/>
    <w:rsid w:val="57FBBF27"/>
    <w:rsid w:val="57FEBEC3"/>
    <w:rsid w:val="57FF6BA5"/>
    <w:rsid w:val="595B45BF"/>
    <w:rsid w:val="5A663819"/>
    <w:rsid w:val="5ABB26DD"/>
    <w:rsid w:val="5ABB2C49"/>
    <w:rsid w:val="5ACD6D89"/>
    <w:rsid w:val="5AEF981F"/>
    <w:rsid w:val="5AFE1AC7"/>
    <w:rsid w:val="5B6FE370"/>
    <w:rsid w:val="5BB9E575"/>
    <w:rsid w:val="5BDF0A15"/>
    <w:rsid w:val="5BEB5CC0"/>
    <w:rsid w:val="5BEBC172"/>
    <w:rsid w:val="5BEDC4C8"/>
    <w:rsid w:val="5BF596FF"/>
    <w:rsid w:val="5BFC63C4"/>
    <w:rsid w:val="5BFD876A"/>
    <w:rsid w:val="5BFF2ADB"/>
    <w:rsid w:val="5BFFB4A3"/>
    <w:rsid w:val="5CE36829"/>
    <w:rsid w:val="5D7486BC"/>
    <w:rsid w:val="5D7F437A"/>
    <w:rsid w:val="5DAF1258"/>
    <w:rsid w:val="5DCF7828"/>
    <w:rsid w:val="5DF760CB"/>
    <w:rsid w:val="5DF7DA5F"/>
    <w:rsid w:val="5DF7F6A3"/>
    <w:rsid w:val="5DFE5065"/>
    <w:rsid w:val="5DFFCC51"/>
    <w:rsid w:val="5DFFD042"/>
    <w:rsid w:val="5E7F6FF7"/>
    <w:rsid w:val="5E7FBA52"/>
    <w:rsid w:val="5E8716AE"/>
    <w:rsid w:val="5ECDB12A"/>
    <w:rsid w:val="5EDB9D51"/>
    <w:rsid w:val="5EDF2744"/>
    <w:rsid w:val="5EDFC2F0"/>
    <w:rsid w:val="5EE52C5F"/>
    <w:rsid w:val="5EF62128"/>
    <w:rsid w:val="5EF67487"/>
    <w:rsid w:val="5EFE1DDA"/>
    <w:rsid w:val="5F3A6236"/>
    <w:rsid w:val="5F4F948A"/>
    <w:rsid w:val="5F69D64E"/>
    <w:rsid w:val="5F722246"/>
    <w:rsid w:val="5F74353A"/>
    <w:rsid w:val="5F779DAC"/>
    <w:rsid w:val="5F7FEFB9"/>
    <w:rsid w:val="5FAFC941"/>
    <w:rsid w:val="5FB344CB"/>
    <w:rsid w:val="5FB35427"/>
    <w:rsid w:val="5FBBFB66"/>
    <w:rsid w:val="5FBEC7D9"/>
    <w:rsid w:val="5FBF5F68"/>
    <w:rsid w:val="5FCA807C"/>
    <w:rsid w:val="5FCD8584"/>
    <w:rsid w:val="5FD7F873"/>
    <w:rsid w:val="5FDD4BFA"/>
    <w:rsid w:val="5FDF6F49"/>
    <w:rsid w:val="5FEE82C5"/>
    <w:rsid w:val="5FF0B2D5"/>
    <w:rsid w:val="5FF5E67B"/>
    <w:rsid w:val="5FF726EE"/>
    <w:rsid w:val="5FF7ADF1"/>
    <w:rsid w:val="5FFABE54"/>
    <w:rsid w:val="5FFBE19E"/>
    <w:rsid w:val="5FFCE75D"/>
    <w:rsid w:val="5FFFAAEF"/>
    <w:rsid w:val="5FFFE037"/>
    <w:rsid w:val="61BF9D14"/>
    <w:rsid w:val="61DF8327"/>
    <w:rsid w:val="6374C2B6"/>
    <w:rsid w:val="63EB89CB"/>
    <w:rsid w:val="63FE266C"/>
    <w:rsid w:val="655F8489"/>
    <w:rsid w:val="657B946B"/>
    <w:rsid w:val="65BD7D43"/>
    <w:rsid w:val="65CF4AF8"/>
    <w:rsid w:val="65FE4E40"/>
    <w:rsid w:val="65FF52CB"/>
    <w:rsid w:val="660F4A2D"/>
    <w:rsid w:val="664D8D55"/>
    <w:rsid w:val="664FBABC"/>
    <w:rsid w:val="667CF980"/>
    <w:rsid w:val="66E3B4C4"/>
    <w:rsid w:val="676C7F28"/>
    <w:rsid w:val="6773DF1C"/>
    <w:rsid w:val="677A210E"/>
    <w:rsid w:val="677FD8C6"/>
    <w:rsid w:val="67DFF66A"/>
    <w:rsid w:val="67EA18AA"/>
    <w:rsid w:val="67EB6F81"/>
    <w:rsid w:val="67EF8803"/>
    <w:rsid w:val="67FF36F8"/>
    <w:rsid w:val="67FFE699"/>
    <w:rsid w:val="6879D6D9"/>
    <w:rsid w:val="687B5EF3"/>
    <w:rsid w:val="69572189"/>
    <w:rsid w:val="697FE012"/>
    <w:rsid w:val="698F931A"/>
    <w:rsid w:val="69AB97D7"/>
    <w:rsid w:val="69DF2438"/>
    <w:rsid w:val="69DFA756"/>
    <w:rsid w:val="69E7FC2E"/>
    <w:rsid w:val="69EE88E9"/>
    <w:rsid w:val="69EFA8BD"/>
    <w:rsid w:val="6AFBE6A3"/>
    <w:rsid w:val="6AFF4139"/>
    <w:rsid w:val="6AFFA607"/>
    <w:rsid w:val="6B62346A"/>
    <w:rsid w:val="6B772577"/>
    <w:rsid w:val="6B8B324F"/>
    <w:rsid w:val="6BBB0184"/>
    <w:rsid w:val="6BDFE9DD"/>
    <w:rsid w:val="6BE3DDE4"/>
    <w:rsid w:val="6BF58DCA"/>
    <w:rsid w:val="6BFBD980"/>
    <w:rsid w:val="6CEB8333"/>
    <w:rsid w:val="6D47757D"/>
    <w:rsid w:val="6D5D057A"/>
    <w:rsid w:val="6D6E2E0B"/>
    <w:rsid w:val="6D9B974B"/>
    <w:rsid w:val="6DAF8E14"/>
    <w:rsid w:val="6DBDA1FA"/>
    <w:rsid w:val="6DBE779E"/>
    <w:rsid w:val="6DD52F56"/>
    <w:rsid w:val="6DDF8D67"/>
    <w:rsid w:val="6DE93EC7"/>
    <w:rsid w:val="6DEDCC6F"/>
    <w:rsid w:val="6DEF38A4"/>
    <w:rsid w:val="6DFBD486"/>
    <w:rsid w:val="6DFDCE70"/>
    <w:rsid w:val="6E3AFDBE"/>
    <w:rsid w:val="6E797347"/>
    <w:rsid w:val="6EEF2C53"/>
    <w:rsid w:val="6EFB108F"/>
    <w:rsid w:val="6FA71348"/>
    <w:rsid w:val="6FB7B7BB"/>
    <w:rsid w:val="6FBCD3D9"/>
    <w:rsid w:val="6FBF67A3"/>
    <w:rsid w:val="6FDB2C2B"/>
    <w:rsid w:val="6FDFCA01"/>
    <w:rsid w:val="6FE760A4"/>
    <w:rsid w:val="6FE79102"/>
    <w:rsid w:val="6FE7B122"/>
    <w:rsid w:val="6FE8E25B"/>
    <w:rsid w:val="6FEB7186"/>
    <w:rsid w:val="6FEF0DB0"/>
    <w:rsid w:val="6FFB95F4"/>
    <w:rsid w:val="6FFC6CCF"/>
    <w:rsid w:val="6FFF5BBB"/>
    <w:rsid w:val="6FFF95C0"/>
    <w:rsid w:val="6FFFA14F"/>
    <w:rsid w:val="6FFFCBBA"/>
    <w:rsid w:val="703D791C"/>
    <w:rsid w:val="70DFAB25"/>
    <w:rsid w:val="716DE32A"/>
    <w:rsid w:val="71FE57F3"/>
    <w:rsid w:val="71FF8452"/>
    <w:rsid w:val="726F3C80"/>
    <w:rsid w:val="72ECD924"/>
    <w:rsid w:val="72FF0B66"/>
    <w:rsid w:val="73BBF15D"/>
    <w:rsid w:val="73BFE141"/>
    <w:rsid w:val="73DD61DA"/>
    <w:rsid w:val="73DF21B2"/>
    <w:rsid w:val="73EB15F8"/>
    <w:rsid w:val="73EF0FD9"/>
    <w:rsid w:val="73F52B62"/>
    <w:rsid w:val="73F7EB6D"/>
    <w:rsid w:val="73FB4277"/>
    <w:rsid w:val="73FF05DB"/>
    <w:rsid w:val="74FF3EA9"/>
    <w:rsid w:val="752F2B26"/>
    <w:rsid w:val="756A5093"/>
    <w:rsid w:val="75D42208"/>
    <w:rsid w:val="75DD0394"/>
    <w:rsid w:val="75DD6AF4"/>
    <w:rsid w:val="75ED84F7"/>
    <w:rsid w:val="75EDE323"/>
    <w:rsid w:val="75F8CFD1"/>
    <w:rsid w:val="75FB2B5A"/>
    <w:rsid w:val="762B77D9"/>
    <w:rsid w:val="765B8A2F"/>
    <w:rsid w:val="766F7198"/>
    <w:rsid w:val="766FE6C0"/>
    <w:rsid w:val="76AD5DD1"/>
    <w:rsid w:val="76AD775B"/>
    <w:rsid w:val="76B74606"/>
    <w:rsid w:val="76D97723"/>
    <w:rsid w:val="76DF0808"/>
    <w:rsid w:val="76EF9A53"/>
    <w:rsid w:val="76F2DF38"/>
    <w:rsid w:val="76F925E3"/>
    <w:rsid w:val="76F9ED7C"/>
    <w:rsid w:val="76FC1ECE"/>
    <w:rsid w:val="76FF849E"/>
    <w:rsid w:val="775F015A"/>
    <w:rsid w:val="776F0863"/>
    <w:rsid w:val="776FDBC1"/>
    <w:rsid w:val="777B81CF"/>
    <w:rsid w:val="777F2908"/>
    <w:rsid w:val="7783F9CE"/>
    <w:rsid w:val="779D61BF"/>
    <w:rsid w:val="77B388E3"/>
    <w:rsid w:val="77BEDDB1"/>
    <w:rsid w:val="77BF1FAC"/>
    <w:rsid w:val="77D452BB"/>
    <w:rsid w:val="77D74BB7"/>
    <w:rsid w:val="77DDEA28"/>
    <w:rsid w:val="77E31A69"/>
    <w:rsid w:val="77E65F03"/>
    <w:rsid w:val="77EBF052"/>
    <w:rsid w:val="77ECF0B5"/>
    <w:rsid w:val="77EFE2CC"/>
    <w:rsid w:val="77F255F3"/>
    <w:rsid w:val="77F51CFE"/>
    <w:rsid w:val="77FBDC31"/>
    <w:rsid w:val="77FD0F18"/>
    <w:rsid w:val="77FD63F9"/>
    <w:rsid w:val="77FE9CC4"/>
    <w:rsid w:val="77FF3C27"/>
    <w:rsid w:val="77FF9F46"/>
    <w:rsid w:val="785CA39F"/>
    <w:rsid w:val="78D7BA91"/>
    <w:rsid w:val="78EDFDE2"/>
    <w:rsid w:val="78F30A9F"/>
    <w:rsid w:val="78F61897"/>
    <w:rsid w:val="78FB5589"/>
    <w:rsid w:val="78FF0B7F"/>
    <w:rsid w:val="792B333E"/>
    <w:rsid w:val="793F1308"/>
    <w:rsid w:val="79EE11AD"/>
    <w:rsid w:val="79EFA7FB"/>
    <w:rsid w:val="79F60574"/>
    <w:rsid w:val="79FB5713"/>
    <w:rsid w:val="79FD6F79"/>
    <w:rsid w:val="79FFF810"/>
    <w:rsid w:val="7A5DB8F2"/>
    <w:rsid w:val="7A6FCFE0"/>
    <w:rsid w:val="7ADF52BF"/>
    <w:rsid w:val="7AE5ABA4"/>
    <w:rsid w:val="7AF38C81"/>
    <w:rsid w:val="7B2D685D"/>
    <w:rsid w:val="7B38AA48"/>
    <w:rsid w:val="7B3E5059"/>
    <w:rsid w:val="7B4C4E9C"/>
    <w:rsid w:val="7B5B9875"/>
    <w:rsid w:val="7B6A643F"/>
    <w:rsid w:val="7B6B6DFC"/>
    <w:rsid w:val="7B6FB106"/>
    <w:rsid w:val="7B73F129"/>
    <w:rsid w:val="7B7E20E0"/>
    <w:rsid w:val="7B7FAF28"/>
    <w:rsid w:val="7B7FC676"/>
    <w:rsid w:val="7B7FE1EC"/>
    <w:rsid w:val="7B7FE8CC"/>
    <w:rsid w:val="7B9E0E9B"/>
    <w:rsid w:val="7BA50BD5"/>
    <w:rsid w:val="7BA9166D"/>
    <w:rsid w:val="7BAF434C"/>
    <w:rsid w:val="7BBD3A42"/>
    <w:rsid w:val="7BBE8E38"/>
    <w:rsid w:val="7BBED744"/>
    <w:rsid w:val="7BCE3DDF"/>
    <w:rsid w:val="7BD6E290"/>
    <w:rsid w:val="7BD757A8"/>
    <w:rsid w:val="7BDF23F1"/>
    <w:rsid w:val="7BE6A679"/>
    <w:rsid w:val="7BE8F68F"/>
    <w:rsid w:val="7BF631C6"/>
    <w:rsid w:val="7BF7960B"/>
    <w:rsid w:val="7BF7F678"/>
    <w:rsid w:val="7BF8940D"/>
    <w:rsid w:val="7BFB1484"/>
    <w:rsid w:val="7BFCD210"/>
    <w:rsid w:val="7BFCE2E4"/>
    <w:rsid w:val="7BFDFFDE"/>
    <w:rsid w:val="7BFFE2B5"/>
    <w:rsid w:val="7C5F8D4F"/>
    <w:rsid w:val="7C746815"/>
    <w:rsid w:val="7CB2300F"/>
    <w:rsid w:val="7CBB7E93"/>
    <w:rsid w:val="7CBDF240"/>
    <w:rsid w:val="7CEBC6A2"/>
    <w:rsid w:val="7CEF8502"/>
    <w:rsid w:val="7CF7BCB3"/>
    <w:rsid w:val="7CFCC919"/>
    <w:rsid w:val="7CFE2CD6"/>
    <w:rsid w:val="7CFEF053"/>
    <w:rsid w:val="7CFF5B64"/>
    <w:rsid w:val="7CFFDF70"/>
    <w:rsid w:val="7D2FB81E"/>
    <w:rsid w:val="7D3DA657"/>
    <w:rsid w:val="7D3E66F4"/>
    <w:rsid w:val="7D3F1A23"/>
    <w:rsid w:val="7D43827C"/>
    <w:rsid w:val="7D4BF141"/>
    <w:rsid w:val="7D4FD0E7"/>
    <w:rsid w:val="7D4FDCF9"/>
    <w:rsid w:val="7D5A4A99"/>
    <w:rsid w:val="7D5C9098"/>
    <w:rsid w:val="7D6F26CA"/>
    <w:rsid w:val="7D703609"/>
    <w:rsid w:val="7D7C6621"/>
    <w:rsid w:val="7DBDAF8A"/>
    <w:rsid w:val="7DBE4796"/>
    <w:rsid w:val="7DCE8836"/>
    <w:rsid w:val="7DDB473F"/>
    <w:rsid w:val="7DDFDEDF"/>
    <w:rsid w:val="7DEF1BEF"/>
    <w:rsid w:val="7DEF89AC"/>
    <w:rsid w:val="7DEFB448"/>
    <w:rsid w:val="7DF79326"/>
    <w:rsid w:val="7DFB472A"/>
    <w:rsid w:val="7DFBCD35"/>
    <w:rsid w:val="7DFC21A7"/>
    <w:rsid w:val="7DFE2ADE"/>
    <w:rsid w:val="7DFF9E77"/>
    <w:rsid w:val="7E1B81F1"/>
    <w:rsid w:val="7E3FE0D2"/>
    <w:rsid w:val="7E5A73EB"/>
    <w:rsid w:val="7E5F022F"/>
    <w:rsid w:val="7E6C8C32"/>
    <w:rsid w:val="7E9F82AC"/>
    <w:rsid w:val="7EAFDD8B"/>
    <w:rsid w:val="7EB77231"/>
    <w:rsid w:val="7EBF02B3"/>
    <w:rsid w:val="7ED74CDB"/>
    <w:rsid w:val="7ED9D710"/>
    <w:rsid w:val="7EDDBA5F"/>
    <w:rsid w:val="7EE70CBE"/>
    <w:rsid w:val="7EF70406"/>
    <w:rsid w:val="7EF77825"/>
    <w:rsid w:val="7EF7EC40"/>
    <w:rsid w:val="7EF9E159"/>
    <w:rsid w:val="7EFB3D6A"/>
    <w:rsid w:val="7EFBE91A"/>
    <w:rsid w:val="7EFC8F42"/>
    <w:rsid w:val="7EFD54DB"/>
    <w:rsid w:val="7EFF0337"/>
    <w:rsid w:val="7EFF1346"/>
    <w:rsid w:val="7EFF1389"/>
    <w:rsid w:val="7EFF2C54"/>
    <w:rsid w:val="7EFF479C"/>
    <w:rsid w:val="7EFF6783"/>
    <w:rsid w:val="7EFFD8C4"/>
    <w:rsid w:val="7F1FD03D"/>
    <w:rsid w:val="7F2AB4F8"/>
    <w:rsid w:val="7F2BD458"/>
    <w:rsid w:val="7F335F55"/>
    <w:rsid w:val="7F34BEFC"/>
    <w:rsid w:val="7F3D7288"/>
    <w:rsid w:val="7F3F79D3"/>
    <w:rsid w:val="7F3F9B05"/>
    <w:rsid w:val="7F3F9E97"/>
    <w:rsid w:val="7F568E28"/>
    <w:rsid w:val="7F5E76E3"/>
    <w:rsid w:val="7F65C13A"/>
    <w:rsid w:val="7F756EE1"/>
    <w:rsid w:val="7F75ECE1"/>
    <w:rsid w:val="7F7768D4"/>
    <w:rsid w:val="7F79406A"/>
    <w:rsid w:val="7F7D7932"/>
    <w:rsid w:val="7F7E744D"/>
    <w:rsid w:val="7F7F3F45"/>
    <w:rsid w:val="7F7FD4B9"/>
    <w:rsid w:val="7F7FDC54"/>
    <w:rsid w:val="7F7FE951"/>
    <w:rsid w:val="7F9731E6"/>
    <w:rsid w:val="7F9B52D2"/>
    <w:rsid w:val="7FA63CDE"/>
    <w:rsid w:val="7FAD3483"/>
    <w:rsid w:val="7FAE924B"/>
    <w:rsid w:val="7FB1602E"/>
    <w:rsid w:val="7FB7BA08"/>
    <w:rsid w:val="7FB7D86A"/>
    <w:rsid w:val="7FBA78AC"/>
    <w:rsid w:val="7FBB6C2C"/>
    <w:rsid w:val="7FBB7175"/>
    <w:rsid w:val="7FBE1897"/>
    <w:rsid w:val="7FBFA72F"/>
    <w:rsid w:val="7FBFAA0D"/>
    <w:rsid w:val="7FBFBE9C"/>
    <w:rsid w:val="7FBFF2AC"/>
    <w:rsid w:val="7FC51405"/>
    <w:rsid w:val="7FCDA118"/>
    <w:rsid w:val="7FCED4AB"/>
    <w:rsid w:val="7FD26A00"/>
    <w:rsid w:val="7FD92A39"/>
    <w:rsid w:val="7FDD241C"/>
    <w:rsid w:val="7FDD2CAE"/>
    <w:rsid w:val="7FDDF894"/>
    <w:rsid w:val="7FDF184F"/>
    <w:rsid w:val="7FDF8906"/>
    <w:rsid w:val="7FE560C4"/>
    <w:rsid w:val="7FE59A8B"/>
    <w:rsid w:val="7FE7BBC6"/>
    <w:rsid w:val="7FE93D7C"/>
    <w:rsid w:val="7FEB9631"/>
    <w:rsid w:val="7FEBB9DE"/>
    <w:rsid w:val="7FEF0C99"/>
    <w:rsid w:val="7FEF5E61"/>
    <w:rsid w:val="7FF1DDFF"/>
    <w:rsid w:val="7FF328B5"/>
    <w:rsid w:val="7FF3E284"/>
    <w:rsid w:val="7FF41A6B"/>
    <w:rsid w:val="7FF5A682"/>
    <w:rsid w:val="7FF5AF30"/>
    <w:rsid w:val="7FF5B3C8"/>
    <w:rsid w:val="7FF633A1"/>
    <w:rsid w:val="7FF73BF2"/>
    <w:rsid w:val="7FF7B05D"/>
    <w:rsid w:val="7FF93F46"/>
    <w:rsid w:val="7FF97BF3"/>
    <w:rsid w:val="7FFB8A1D"/>
    <w:rsid w:val="7FFB972C"/>
    <w:rsid w:val="7FFBCF7C"/>
    <w:rsid w:val="7FFBDA72"/>
    <w:rsid w:val="7FFD242B"/>
    <w:rsid w:val="7FFD40CB"/>
    <w:rsid w:val="7FFDD3D9"/>
    <w:rsid w:val="7FFDFBD3"/>
    <w:rsid w:val="7FFE4D87"/>
    <w:rsid w:val="7FFF1AC0"/>
    <w:rsid w:val="7FFF48BB"/>
    <w:rsid w:val="7FFF52EC"/>
    <w:rsid w:val="7FFF66AA"/>
    <w:rsid w:val="7FFFFD0E"/>
    <w:rsid w:val="808EE30D"/>
    <w:rsid w:val="85ED3E00"/>
    <w:rsid w:val="86FAE486"/>
    <w:rsid w:val="87CBBE63"/>
    <w:rsid w:val="87FF17F3"/>
    <w:rsid w:val="8B420D7E"/>
    <w:rsid w:val="8BEE77EF"/>
    <w:rsid w:val="8DFB9F05"/>
    <w:rsid w:val="8EF7DCFE"/>
    <w:rsid w:val="8FD74C1D"/>
    <w:rsid w:val="8FEE4E55"/>
    <w:rsid w:val="8FF86D92"/>
    <w:rsid w:val="8FFB060B"/>
    <w:rsid w:val="96DFA075"/>
    <w:rsid w:val="96E70BCA"/>
    <w:rsid w:val="96FE6E8D"/>
    <w:rsid w:val="97BF9027"/>
    <w:rsid w:val="97EA965F"/>
    <w:rsid w:val="97EE2886"/>
    <w:rsid w:val="97FD2756"/>
    <w:rsid w:val="97FF38C4"/>
    <w:rsid w:val="98E55956"/>
    <w:rsid w:val="98EF367D"/>
    <w:rsid w:val="99479B4D"/>
    <w:rsid w:val="996FECAC"/>
    <w:rsid w:val="99F1EAF0"/>
    <w:rsid w:val="9BAB298F"/>
    <w:rsid w:val="9BAD9044"/>
    <w:rsid w:val="9BDF20E9"/>
    <w:rsid w:val="9BEB4034"/>
    <w:rsid w:val="9BFF9AC8"/>
    <w:rsid w:val="9CF646D7"/>
    <w:rsid w:val="9DEB6AD9"/>
    <w:rsid w:val="9ECB4A03"/>
    <w:rsid w:val="9EFFD684"/>
    <w:rsid w:val="9F3163C6"/>
    <w:rsid w:val="9F4B71D6"/>
    <w:rsid w:val="9F5F2E77"/>
    <w:rsid w:val="9F9F784F"/>
    <w:rsid w:val="9FE668BD"/>
    <w:rsid w:val="9FE7BF93"/>
    <w:rsid w:val="9FFF08A4"/>
    <w:rsid w:val="A0FB4398"/>
    <w:rsid w:val="A17FAC68"/>
    <w:rsid w:val="A1F74905"/>
    <w:rsid w:val="A2AB440E"/>
    <w:rsid w:val="A2DF73FB"/>
    <w:rsid w:val="A33F56F7"/>
    <w:rsid w:val="A39F42AB"/>
    <w:rsid w:val="A4F6DAA4"/>
    <w:rsid w:val="A6EF1C14"/>
    <w:rsid w:val="A77BC275"/>
    <w:rsid w:val="A91F7E1F"/>
    <w:rsid w:val="A9DFCB54"/>
    <w:rsid w:val="AB6BBE87"/>
    <w:rsid w:val="ABDA4410"/>
    <w:rsid w:val="ABF772DF"/>
    <w:rsid w:val="ABFF3197"/>
    <w:rsid w:val="ACE7FACD"/>
    <w:rsid w:val="ACF72C3C"/>
    <w:rsid w:val="AD5B8CC0"/>
    <w:rsid w:val="AE7A0B92"/>
    <w:rsid w:val="AE8F42A6"/>
    <w:rsid w:val="AED5F540"/>
    <w:rsid w:val="AF1F386C"/>
    <w:rsid w:val="AF7B984B"/>
    <w:rsid w:val="AF7FFB83"/>
    <w:rsid w:val="AFAE646A"/>
    <w:rsid w:val="AFBC0D8E"/>
    <w:rsid w:val="AFD76B2F"/>
    <w:rsid w:val="AFFF77A8"/>
    <w:rsid w:val="B2BBCEEA"/>
    <w:rsid w:val="B34FE00D"/>
    <w:rsid w:val="B3AD01A8"/>
    <w:rsid w:val="B3FE2EAB"/>
    <w:rsid w:val="B4FF288C"/>
    <w:rsid w:val="B5B34705"/>
    <w:rsid w:val="B6779179"/>
    <w:rsid w:val="B687025D"/>
    <w:rsid w:val="B6BDF57C"/>
    <w:rsid w:val="B6FA16FB"/>
    <w:rsid w:val="B6FBCAB9"/>
    <w:rsid w:val="B6FFE7B3"/>
    <w:rsid w:val="B77DED93"/>
    <w:rsid w:val="B77F2828"/>
    <w:rsid w:val="B7EBDF55"/>
    <w:rsid w:val="B7F61B5C"/>
    <w:rsid w:val="B7F7DCCD"/>
    <w:rsid w:val="B7FE8682"/>
    <w:rsid w:val="B7FF7F87"/>
    <w:rsid w:val="B8BF397C"/>
    <w:rsid w:val="B8E997FA"/>
    <w:rsid w:val="B8F51AC4"/>
    <w:rsid w:val="B8FE95D6"/>
    <w:rsid w:val="B94E97DC"/>
    <w:rsid w:val="B9D7ACF0"/>
    <w:rsid w:val="BB5C7BDD"/>
    <w:rsid w:val="BB6F71C3"/>
    <w:rsid w:val="BBBBCEFA"/>
    <w:rsid w:val="BBBEDF6A"/>
    <w:rsid w:val="BBDCEC84"/>
    <w:rsid w:val="BBDFA6B8"/>
    <w:rsid w:val="BBDFBB91"/>
    <w:rsid w:val="BBEE158A"/>
    <w:rsid w:val="BC7F9458"/>
    <w:rsid w:val="BCAB1C19"/>
    <w:rsid w:val="BCCF031C"/>
    <w:rsid w:val="BCFE38EF"/>
    <w:rsid w:val="BCFFAEF6"/>
    <w:rsid w:val="BCFFB890"/>
    <w:rsid w:val="BDB229AA"/>
    <w:rsid w:val="BDDE7785"/>
    <w:rsid w:val="BDDF610A"/>
    <w:rsid w:val="BDDFCFFD"/>
    <w:rsid w:val="BDFA09F2"/>
    <w:rsid w:val="BDFB2E26"/>
    <w:rsid w:val="BDFDA915"/>
    <w:rsid w:val="BDFF151A"/>
    <w:rsid w:val="BDFF7A74"/>
    <w:rsid w:val="BE3DEF00"/>
    <w:rsid w:val="BE4E0198"/>
    <w:rsid w:val="BE6F35CE"/>
    <w:rsid w:val="BE72D2A7"/>
    <w:rsid w:val="BE7BB8E5"/>
    <w:rsid w:val="BE9ED690"/>
    <w:rsid w:val="BEDE4779"/>
    <w:rsid w:val="BEEF1BA7"/>
    <w:rsid w:val="BEFD9AE8"/>
    <w:rsid w:val="BF5F9121"/>
    <w:rsid w:val="BF74D1FA"/>
    <w:rsid w:val="BF7ABE1F"/>
    <w:rsid w:val="BF7F144A"/>
    <w:rsid w:val="BF7F5B5C"/>
    <w:rsid w:val="BF8FDB72"/>
    <w:rsid w:val="BF9FA9B0"/>
    <w:rsid w:val="BFBB6B14"/>
    <w:rsid w:val="BFBE3382"/>
    <w:rsid w:val="BFBFFF37"/>
    <w:rsid w:val="BFD6FB6C"/>
    <w:rsid w:val="BFD76505"/>
    <w:rsid w:val="BFDD86F7"/>
    <w:rsid w:val="BFDFEE5C"/>
    <w:rsid w:val="BFE7262B"/>
    <w:rsid w:val="BFEF2A21"/>
    <w:rsid w:val="BFEFBD05"/>
    <w:rsid w:val="BFEFCBE8"/>
    <w:rsid w:val="BFF51D5A"/>
    <w:rsid w:val="BFF5A23B"/>
    <w:rsid w:val="BFF7810F"/>
    <w:rsid w:val="BFF7F039"/>
    <w:rsid w:val="BFFB8164"/>
    <w:rsid w:val="BFFB8A6B"/>
    <w:rsid w:val="BFFD68FE"/>
    <w:rsid w:val="BFFD9033"/>
    <w:rsid w:val="BFFDE173"/>
    <w:rsid w:val="BFFEE824"/>
    <w:rsid w:val="BFFFE3B5"/>
    <w:rsid w:val="C16DF057"/>
    <w:rsid w:val="C2BA4462"/>
    <w:rsid w:val="C3195A40"/>
    <w:rsid w:val="C49F46BA"/>
    <w:rsid w:val="C79FE251"/>
    <w:rsid w:val="C7B2D338"/>
    <w:rsid w:val="C7FFCB4D"/>
    <w:rsid w:val="C9A7020A"/>
    <w:rsid w:val="CB5F875C"/>
    <w:rsid w:val="CBDF4594"/>
    <w:rsid w:val="CBDFBC94"/>
    <w:rsid w:val="CCD949E8"/>
    <w:rsid w:val="CCFE2BA2"/>
    <w:rsid w:val="CDBAD40A"/>
    <w:rsid w:val="CEDF3C45"/>
    <w:rsid w:val="CEDFAC7F"/>
    <w:rsid w:val="CEEE0E2F"/>
    <w:rsid w:val="CEFB6695"/>
    <w:rsid w:val="CF1B1F2D"/>
    <w:rsid w:val="CFAD61BE"/>
    <w:rsid w:val="CFDF24E1"/>
    <w:rsid w:val="CFE76D22"/>
    <w:rsid w:val="CFF7E2E5"/>
    <w:rsid w:val="CFF9DC0C"/>
    <w:rsid w:val="CFFE9569"/>
    <w:rsid w:val="CFFFB016"/>
    <w:rsid w:val="D1EFA56C"/>
    <w:rsid w:val="D2EF30E5"/>
    <w:rsid w:val="D3F71D91"/>
    <w:rsid w:val="D3FEB28F"/>
    <w:rsid w:val="D4D1E4A2"/>
    <w:rsid w:val="D5B69AF4"/>
    <w:rsid w:val="D67FC440"/>
    <w:rsid w:val="D6F7565C"/>
    <w:rsid w:val="D733438C"/>
    <w:rsid w:val="D75E73E9"/>
    <w:rsid w:val="D7666267"/>
    <w:rsid w:val="D775E49E"/>
    <w:rsid w:val="D776A138"/>
    <w:rsid w:val="D77E9EC9"/>
    <w:rsid w:val="D77FAEE1"/>
    <w:rsid w:val="D79EE54A"/>
    <w:rsid w:val="D7C57ECC"/>
    <w:rsid w:val="D7DB3411"/>
    <w:rsid w:val="D7DD44E9"/>
    <w:rsid w:val="D7DFA141"/>
    <w:rsid w:val="D7EFAB12"/>
    <w:rsid w:val="D7F63ED3"/>
    <w:rsid w:val="D7FFC0D6"/>
    <w:rsid w:val="D8DD8AE8"/>
    <w:rsid w:val="D8FF66F1"/>
    <w:rsid w:val="D95A7ACA"/>
    <w:rsid w:val="D9F7978E"/>
    <w:rsid w:val="DAE1090B"/>
    <w:rsid w:val="DB79EB2B"/>
    <w:rsid w:val="DB9B56A4"/>
    <w:rsid w:val="DBB51910"/>
    <w:rsid w:val="DBB7242C"/>
    <w:rsid w:val="DBCB64A2"/>
    <w:rsid w:val="DBEFAEB8"/>
    <w:rsid w:val="DBF03558"/>
    <w:rsid w:val="DBFA6D52"/>
    <w:rsid w:val="DBFB2A1B"/>
    <w:rsid w:val="DBFFDAD0"/>
    <w:rsid w:val="DC3739FA"/>
    <w:rsid w:val="DC5135F9"/>
    <w:rsid w:val="DD17CB57"/>
    <w:rsid w:val="DD7AF788"/>
    <w:rsid w:val="DDCBA26D"/>
    <w:rsid w:val="DDEE97BF"/>
    <w:rsid w:val="DDF73462"/>
    <w:rsid w:val="DDF9165D"/>
    <w:rsid w:val="DDF9B34E"/>
    <w:rsid w:val="DDFF4FDA"/>
    <w:rsid w:val="DE970D78"/>
    <w:rsid w:val="DEC37016"/>
    <w:rsid w:val="DEDCAD97"/>
    <w:rsid w:val="DEDFCAB4"/>
    <w:rsid w:val="DEEBC056"/>
    <w:rsid w:val="DEEE1039"/>
    <w:rsid w:val="DEF6A4DC"/>
    <w:rsid w:val="DEFF0F88"/>
    <w:rsid w:val="DEFF8442"/>
    <w:rsid w:val="DF279505"/>
    <w:rsid w:val="DF2FD9CD"/>
    <w:rsid w:val="DF3F3A5F"/>
    <w:rsid w:val="DF6C4E90"/>
    <w:rsid w:val="DF7A8F2D"/>
    <w:rsid w:val="DF9F44AA"/>
    <w:rsid w:val="DFA972DA"/>
    <w:rsid w:val="DFAA9076"/>
    <w:rsid w:val="DFB035F2"/>
    <w:rsid w:val="DFBC0FD4"/>
    <w:rsid w:val="DFBED5CF"/>
    <w:rsid w:val="DFDEB61F"/>
    <w:rsid w:val="DFDF1921"/>
    <w:rsid w:val="DFE21F75"/>
    <w:rsid w:val="DFE578A8"/>
    <w:rsid w:val="DFEF6AAA"/>
    <w:rsid w:val="DFEF8106"/>
    <w:rsid w:val="DFEF88F8"/>
    <w:rsid w:val="DFEF9AB3"/>
    <w:rsid w:val="DFF5BA30"/>
    <w:rsid w:val="DFF771A4"/>
    <w:rsid w:val="DFF88034"/>
    <w:rsid w:val="DFFC5785"/>
    <w:rsid w:val="DFFF1378"/>
    <w:rsid w:val="DFFF162D"/>
    <w:rsid w:val="DFFF534C"/>
    <w:rsid w:val="DFFF5483"/>
    <w:rsid w:val="DFFF788B"/>
    <w:rsid w:val="E1E78242"/>
    <w:rsid w:val="E27732C3"/>
    <w:rsid w:val="E31E8B0B"/>
    <w:rsid w:val="E35BE576"/>
    <w:rsid w:val="E3FB9FAB"/>
    <w:rsid w:val="E579BE25"/>
    <w:rsid w:val="E5B74665"/>
    <w:rsid w:val="E66B7183"/>
    <w:rsid w:val="E6CBB93B"/>
    <w:rsid w:val="E6EBCDB0"/>
    <w:rsid w:val="E6FBEFFE"/>
    <w:rsid w:val="E7193509"/>
    <w:rsid w:val="E775954C"/>
    <w:rsid w:val="E7BEE692"/>
    <w:rsid w:val="E7DC684D"/>
    <w:rsid w:val="E7DF1FAB"/>
    <w:rsid w:val="E7FD22F3"/>
    <w:rsid w:val="E7FF34CF"/>
    <w:rsid w:val="E8B68C45"/>
    <w:rsid w:val="E8F70748"/>
    <w:rsid w:val="E96BED98"/>
    <w:rsid w:val="E97F8364"/>
    <w:rsid w:val="E9C61BD8"/>
    <w:rsid w:val="EA1C5EC7"/>
    <w:rsid w:val="EA712DA6"/>
    <w:rsid w:val="EA7F8A42"/>
    <w:rsid w:val="EABF2B23"/>
    <w:rsid w:val="EAD7A136"/>
    <w:rsid w:val="EB3DA255"/>
    <w:rsid w:val="EB7D3FF3"/>
    <w:rsid w:val="EBD7E893"/>
    <w:rsid w:val="EBF7319B"/>
    <w:rsid w:val="EBFD23E4"/>
    <w:rsid w:val="EBFD7D3D"/>
    <w:rsid w:val="EC5BC7B1"/>
    <w:rsid w:val="ED7F7B9E"/>
    <w:rsid w:val="EDBFA88C"/>
    <w:rsid w:val="EDDF2A21"/>
    <w:rsid w:val="EDE9EFC7"/>
    <w:rsid w:val="EDEB3C02"/>
    <w:rsid w:val="EDEF3739"/>
    <w:rsid w:val="EDFC7050"/>
    <w:rsid w:val="EE797190"/>
    <w:rsid w:val="EEF6F1C8"/>
    <w:rsid w:val="EEFC8A9D"/>
    <w:rsid w:val="EEFF9DED"/>
    <w:rsid w:val="EF1D0C12"/>
    <w:rsid w:val="EF312DBC"/>
    <w:rsid w:val="EF59C8FE"/>
    <w:rsid w:val="EF794C06"/>
    <w:rsid w:val="EF7D6F8B"/>
    <w:rsid w:val="EF7E6C82"/>
    <w:rsid w:val="EFAFD9A9"/>
    <w:rsid w:val="EFBB89BC"/>
    <w:rsid w:val="EFBF81CA"/>
    <w:rsid w:val="EFCBF6BB"/>
    <w:rsid w:val="EFD8AB0C"/>
    <w:rsid w:val="EFDECD35"/>
    <w:rsid w:val="EFDF9CA9"/>
    <w:rsid w:val="EFDFA0B9"/>
    <w:rsid w:val="EFE61DD2"/>
    <w:rsid w:val="EFEDE8F1"/>
    <w:rsid w:val="EFF4E74E"/>
    <w:rsid w:val="EFF51AE7"/>
    <w:rsid w:val="EFF70B27"/>
    <w:rsid w:val="EFF78B79"/>
    <w:rsid w:val="EFF7C47E"/>
    <w:rsid w:val="EFF7D302"/>
    <w:rsid w:val="EFFB2F7B"/>
    <w:rsid w:val="EFFB4F49"/>
    <w:rsid w:val="EFFD9335"/>
    <w:rsid w:val="EFFE0144"/>
    <w:rsid w:val="EFFEF0DA"/>
    <w:rsid w:val="EFFF334D"/>
    <w:rsid w:val="EFFFB8D5"/>
    <w:rsid w:val="EFFFE18E"/>
    <w:rsid w:val="F13D2429"/>
    <w:rsid w:val="F2AD33D4"/>
    <w:rsid w:val="F2F1A3D3"/>
    <w:rsid w:val="F35FBC74"/>
    <w:rsid w:val="F367F7B1"/>
    <w:rsid w:val="F37F1760"/>
    <w:rsid w:val="F397CCBF"/>
    <w:rsid w:val="F3BD0661"/>
    <w:rsid w:val="F3BD11EB"/>
    <w:rsid w:val="F3CFDA9D"/>
    <w:rsid w:val="F3DEEFB5"/>
    <w:rsid w:val="F3EB1456"/>
    <w:rsid w:val="F3EDB521"/>
    <w:rsid w:val="F3EF0A98"/>
    <w:rsid w:val="F3F7152F"/>
    <w:rsid w:val="F3FFDA45"/>
    <w:rsid w:val="F4CF7880"/>
    <w:rsid w:val="F4DDF6C3"/>
    <w:rsid w:val="F5577A0F"/>
    <w:rsid w:val="F57E214D"/>
    <w:rsid w:val="F59E26D1"/>
    <w:rsid w:val="F5DF0B04"/>
    <w:rsid w:val="F5EE3C34"/>
    <w:rsid w:val="F5EF8909"/>
    <w:rsid w:val="F5FB4507"/>
    <w:rsid w:val="F5FD16E4"/>
    <w:rsid w:val="F64D36C2"/>
    <w:rsid w:val="F66569BC"/>
    <w:rsid w:val="F6776004"/>
    <w:rsid w:val="F6BD1855"/>
    <w:rsid w:val="F6CFFF42"/>
    <w:rsid w:val="F6DFA1C4"/>
    <w:rsid w:val="F6DFFCEC"/>
    <w:rsid w:val="F6E583FA"/>
    <w:rsid w:val="F6EBB8AE"/>
    <w:rsid w:val="F6FFEC87"/>
    <w:rsid w:val="F73BFAF5"/>
    <w:rsid w:val="F7775374"/>
    <w:rsid w:val="F77DCDF6"/>
    <w:rsid w:val="F7B4D6D6"/>
    <w:rsid w:val="F7DD3E53"/>
    <w:rsid w:val="F7DE2001"/>
    <w:rsid w:val="F7DF8D30"/>
    <w:rsid w:val="F7EAA871"/>
    <w:rsid w:val="F7F2D4A9"/>
    <w:rsid w:val="F7F6D163"/>
    <w:rsid w:val="F7F72D3F"/>
    <w:rsid w:val="F7F7E432"/>
    <w:rsid w:val="F7FB7C1B"/>
    <w:rsid w:val="F7FB7EB7"/>
    <w:rsid w:val="F7FBA050"/>
    <w:rsid w:val="F7FE4DD9"/>
    <w:rsid w:val="F7FFC0EF"/>
    <w:rsid w:val="F8CFD63A"/>
    <w:rsid w:val="F91FDAC3"/>
    <w:rsid w:val="F9743F04"/>
    <w:rsid w:val="F9792616"/>
    <w:rsid w:val="F99BD6E0"/>
    <w:rsid w:val="F99D8BBA"/>
    <w:rsid w:val="F99E826B"/>
    <w:rsid w:val="F99FCCA9"/>
    <w:rsid w:val="F9A7A764"/>
    <w:rsid w:val="F9BF41AC"/>
    <w:rsid w:val="F9E6C902"/>
    <w:rsid w:val="F9EF3894"/>
    <w:rsid w:val="F9F5704F"/>
    <w:rsid w:val="F9FA439E"/>
    <w:rsid w:val="F9FEB9D1"/>
    <w:rsid w:val="FA36E759"/>
    <w:rsid w:val="FA3FA7C9"/>
    <w:rsid w:val="FA7D1DDD"/>
    <w:rsid w:val="FAED7325"/>
    <w:rsid w:val="FAEDC725"/>
    <w:rsid w:val="FAF5810D"/>
    <w:rsid w:val="FAFBBBFF"/>
    <w:rsid w:val="FAFDB14D"/>
    <w:rsid w:val="FB3B353D"/>
    <w:rsid w:val="FB3FEDC3"/>
    <w:rsid w:val="FB4228DE"/>
    <w:rsid w:val="FB6CB81C"/>
    <w:rsid w:val="FB7532F2"/>
    <w:rsid w:val="FB775693"/>
    <w:rsid w:val="FB7B7A96"/>
    <w:rsid w:val="FB7B7EF7"/>
    <w:rsid w:val="FB7B947F"/>
    <w:rsid w:val="FB7DA72A"/>
    <w:rsid w:val="FB7DDB01"/>
    <w:rsid w:val="FB9F28F2"/>
    <w:rsid w:val="FB9FE535"/>
    <w:rsid w:val="FB9FFAE0"/>
    <w:rsid w:val="FBAC4115"/>
    <w:rsid w:val="FBAF08DC"/>
    <w:rsid w:val="FBB710FC"/>
    <w:rsid w:val="FBBE1885"/>
    <w:rsid w:val="FBBEDD1A"/>
    <w:rsid w:val="FBBF0222"/>
    <w:rsid w:val="FBD96E60"/>
    <w:rsid w:val="FBEE945D"/>
    <w:rsid w:val="FBEF96DA"/>
    <w:rsid w:val="FBF58EB9"/>
    <w:rsid w:val="FBFD18A8"/>
    <w:rsid w:val="FBFE8D06"/>
    <w:rsid w:val="FBFFBB1C"/>
    <w:rsid w:val="FBFFD7DF"/>
    <w:rsid w:val="FBFFE89E"/>
    <w:rsid w:val="FBFFF60D"/>
    <w:rsid w:val="FBFFFE91"/>
    <w:rsid w:val="FC54F41B"/>
    <w:rsid w:val="FC799DEE"/>
    <w:rsid w:val="FC7A39C6"/>
    <w:rsid w:val="FCB6815F"/>
    <w:rsid w:val="FCB765A4"/>
    <w:rsid w:val="FCBD3FC1"/>
    <w:rsid w:val="FCBF3F32"/>
    <w:rsid w:val="FCD524FB"/>
    <w:rsid w:val="FCDF088F"/>
    <w:rsid w:val="FCDF6FB5"/>
    <w:rsid w:val="FCE6ED5F"/>
    <w:rsid w:val="FCEECABE"/>
    <w:rsid w:val="FCF73B8F"/>
    <w:rsid w:val="FCFA3BA1"/>
    <w:rsid w:val="FCFD509A"/>
    <w:rsid w:val="FCFE16F3"/>
    <w:rsid w:val="FCFEEF4F"/>
    <w:rsid w:val="FD1BDC5B"/>
    <w:rsid w:val="FD3E25D8"/>
    <w:rsid w:val="FD5DDC5A"/>
    <w:rsid w:val="FD797460"/>
    <w:rsid w:val="FD7AB573"/>
    <w:rsid w:val="FD7CADD9"/>
    <w:rsid w:val="FD7F4CC5"/>
    <w:rsid w:val="FD7FE18C"/>
    <w:rsid w:val="FD8186AE"/>
    <w:rsid w:val="FD8E092F"/>
    <w:rsid w:val="FDA3BF1D"/>
    <w:rsid w:val="FDAD9685"/>
    <w:rsid w:val="FDB64C47"/>
    <w:rsid w:val="FDBB2C2E"/>
    <w:rsid w:val="FDDD8A5A"/>
    <w:rsid w:val="FDDFD091"/>
    <w:rsid w:val="FDDFF578"/>
    <w:rsid w:val="FDEFA4AA"/>
    <w:rsid w:val="FDF03CD3"/>
    <w:rsid w:val="FDFAFD76"/>
    <w:rsid w:val="FDFD7814"/>
    <w:rsid w:val="FDFE9CC6"/>
    <w:rsid w:val="FDFF04A0"/>
    <w:rsid w:val="FDFF3CE3"/>
    <w:rsid w:val="FE2D3ABB"/>
    <w:rsid w:val="FE376DD0"/>
    <w:rsid w:val="FE3BB1FE"/>
    <w:rsid w:val="FE454288"/>
    <w:rsid w:val="FE47328E"/>
    <w:rsid w:val="FE9E429D"/>
    <w:rsid w:val="FEB66D7A"/>
    <w:rsid w:val="FEB715E4"/>
    <w:rsid w:val="FEB7F217"/>
    <w:rsid w:val="FEBFF695"/>
    <w:rsid w:val="FED42772"/>
    <w:rsid w:val="FEDF27AD"/>
    <w:rsid w:val="FEE3F551"/>
    <w:rsid w:val="FEE7E674"/>
    <w:rsid w:val="FEEFB5A2"/>
    <w:rsid w:val="FEEFF4B4"/>
    <w:rsid w:val="FEF393AC"/>
    <w:rsid w:val="FEFB6FFF"/>
    <w:rsid w:val="FEFF2652"/>
    <w:rsid w:val="FEFF705F"/>
    <w:rsid w:val="FEFFDD4C"/>
    <w:rsid w:val="FF1311BA"/>
    <w:rsid w:val="FF173E49"/>
    <w:rsid w:val="FF1BA559"/>
    <w:rsid w:val="FF2D36EF"/>
    <w:rsid w:val="FF3A6F64"/>
    <w:rsid w:val="FF3B1295"/>
    <w:rsid w:val="FF3FEBBC"/>
    <w:rsid w:val="FF579E0E"/>
    <w:rsid w:val="FF5F54B5"/>
    <w:rsid w:val="FF5F81FE"/>
    <w:rsid w:val="FF66A537"/>
    <w:rsid w:val="FF67159E"/>
    <w:rsid w:val="FF6F030D"/>
    <w:rsid w:val="FF73F903"/>
    <w:rsid w:val="FF7558DF"/>
    <w:rsid w:val="FF7BF34A"/>
    <w:rsid w:val="FF7D1F07"/>
    <w:rsid w:val="FF7DAF22"/>
    <w:rsid w:val="FF7EAE74"/>
    <w:rsid w:val="FF7F09CB"/>
    <w:rsid w:val="FF8D0A79"/>
    <w:rsid w:val="FFA3B0B3"/>
    <w:rsid w:val="FFAFF7A1"/>
    <w:rsid w:val="FFB7BC81"/>
    <w:rsid w:val="FFBAE253"/>
    <w:rsid w:val="FFBD9041"/>
    <w:rsid w:val="FFBE4D2F"/>
    <w:rsid w:val="FFBF7620"/>
    <w:rsid w:val="FFBFB59B"/>
    <w:rsid w:val="FFCF38F3"/>
    <w:rsid w:val="FFD722FC"/>
    <w:rsid w:val="FFD7AB04"/>
    <w:rsid w:val="FFD7E77E"/>
    <w:rsid w:val="FFD7FEF0"/>
    <w:rsid w:val="FFD87784"/>
    <w:rsid w:val="FFD9D23A"/>
    <w:rsid w:val="FFDD51F9"/>
    <w:rsid w:val="FFDF2000"/>
    <w:rsid w:val="FFDF5F9C"/>
    <w:rsid w:val="FFDF60A9"/>
    <w:rsid w:val="FFDFA332"/>
    <w:rsid w:val="FFDFB28D"/>
    <w:rsid w:val="FFE28593"/>
    <w:rsid w:val="FFE7C956"/>
    <w:rsid w:val="FFEDA3B6"/>
    <w:rsid w:val="FFEEB169"/>
    <w:rsid w:val="FFEEF79C"/>
    <w:rsid w:val="FFEF5FE3"/>
    <w:rsid w:val="FFF22765"/>
    <w:rsid w:val="FFF2DF90"/>
    <w:rsid w:val="FFF34BF0"/>
    <w:rsid w:val="FFF37E44"/>
    <w:rsid w:val="FFF491E0"/>
    <w:rsid w:val="FFF5D141"/>
    <w:rsid w:val="FFF642F6"/>
    <w:rsid w:val="FFF6551F"/>
    <w:rsid w:val="FFF7023B"/>
    <w:rsid w:val="FFF767B9"/>
    <w:rsid w:val="FFF788E1"/>
    <w:rsid w:val="FFF7EFF0"/>
    <w:rsid w:val="FFF88146"/>
    <w:rsid w:val="FFFB1A7B"/>
    <w:rsid w:val="FFFB587E"/>
    <w:rsid w:val="FFFB65C4"/>
    <w:rsid w:val="FFFB9444"/>
    <w:rsid w:val="FFFC5234"/>
    <w:rsid w:val="FFFE3EF4"/>
    <w:rsid w:val="FFFE5759"/>
    <w:rsid w:val="FFFE69F4"/>
    <w:rsid w:val="FFFE8010"/>
    <w:rsid w:val="FFFF098D"/>
    <w:rsid w:val="FFFF1842"/>
    <w:rsid w:val="FFFF3958"/>
    <w:rsid w:val="FFFF5465"/>
    <w:rsid w:val="FFFFB65B"/>
    <w:rsid w:val="FFFFBA33"/>
    <w:rsid w:val="FFFFBDC8"/>
    <w:rsid w:val="FFFFD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3">
    <w:name w:val="heading 1"/>
    <w:basedOn w:val="1"/>
    <w:next w:val="1"/>
    <w:link w:val="48"/>
    <w:qFormat/>
    <w:uiPriority w:val="0"/>
    <w:pPr>
      <w:keepNext/>
      <w:keepLines/>
      <w:spacing w:line="240" w:lineRule="auto"/>
      <w:ind w:firstLine="0" w:firstLineChars="0"/>
      <w:outlineLvl w:val="0"/>
    </w:pPr>
    <w:rPr>
      <w:b/>
      <w:bCs/>
      <w:kern w:val="44"/>
      <w:sz w:val="44"/>
      <w:szCs w:val="44"/>
    </w:rPr>
  </w:style>
  <w:style w:type="paragraph" w:styleId="4">
    <w:name w:val="heading 2"/>
    <w:basedOn w:val="1"/>
    <w:next w:val="1"/>
    <w:link w:val="47"/>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50"/>
    <w:unhideWhenUsed/>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unhideWhenUsed/>
    <w:qFormat/>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52"/>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9">
    <w:name w:val="heading 7"/>
    <w:basedOn w:val="1"/>
    <w:next w:val="1"/>
    <w:link w:val="53"/>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8"/>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0">
    <w:name w:val="toc 7"/>
    <w:basedOn w:val="1"/>
    <w:next w:val="1"/>
    <w:qFormat/>
    <w:uiPriority w:val="39"/>
    <w:pPr>
      <w:ind w:left="2520" w:leftChars="1200"/>
      <w:jc w:val="both"/>
    </w:pPr>
    <w:rPr>
      <w:rFonts w:cs="Times New Roman"/>
      <w:sz w:val="21"/>
      <w:szCs w:val="24"/>
    </w:rPr>
  </w:style>
  <w:style w:type="paragraph" w:styleId="11">
    <w:name w:val="Normal Indent"/>
    <w:basedOn w:val="1"/>
    <w:qFormat/>
    <w:uiPriority w:val="0"/>
    <w:pPr>
      <w:spacing w:afterLines="50" w:line="300" w:lineRule="auto"/>
      <w:ind w:firstLine="420"/>
    </w:pPr>
    <w:rPr>
      <w:rFonts w:cs="Times New Roman"/>
      <w:szCs w:val="24"/>
    </w:rPr>
  </w:style>
  <w:style w:type="paragraph" w:styleId="12">
    <w:name w:val="caption"/>
    <w:basedOn w:val="1"/>
    <w:next w:val="1"/>
    <w:unhideWhenUsed/>
    <w:qFormat/>
    <w:uiPriority w:val="0"/>
    <w:pPr>
      <w:spacing w:after="120"/>
    </w:pPr>
    <w:rPr>
      <w:rFonts w:ascii="Cambria" w:hAnsi="Cambria" w:eastAsia="黑体" w:cs="Times New Roman"/>
      <w:sz w:val="20"/>
      <w:szCs w:val="20"/>
    </w:rPr>
  </w:style>
  <w:style w:type="paragraph" w:styleId="13">
    <w:name w:val="Document Map"/>
    <w:basedOn w:val="1"/>
    <w:link w:val="56"/>
    <w:semiHidden/>
    <w:unhideWhenUsed/>
    <w:qFormat/>
    <w:uiPriority w:val="99"/>
    <w:pPr>
      <w:spacing w:after="120"/>
      <w:jc w:val="both"/>
    </w:pPr>
    <w:rPr>
      <w:rFonts w:ascii="宋体"/>
      <w:sz w:val="18"/>
      <w:szCs w:val="18"/>
    </w:rPr>
  </w:style>
  <w:style w:type="paragraph" w:styleId="14">
    <w:name w:val="annotation text"/>
    <w:basedOn w:val="1"/>
    <w:link w:val="54"/>
    <w:unhideWhenUsed/>
    <w:qFormat/>
    <w:uiPriority w:val="99"/>
  </w:style>
  <w:style w:type="paragraph" w:styleId="15">
    <w:name w:val="Body Text 3"/>
    <w:basedOn w:val="1"/>
    <w:link w:val="57"/>
    <w:semiHidden/>
    <w:unhideWhenUsed/>
    <w:qFormat/>
    <w:uiPriority w:val="99"/>
    <w:pPr>
      <w:spacing w:after="120"/>
      <w:jc w:val="both"/>
    </w:pPr>
    <w:rPr>
      <w:rFonts w:cs="Times New Roman"/>
      <w:sz w:val="16"/>
      <w:szCs w:val="16"/>
    </w:rPr>
  </w:style>
  <w:style w:type="paragraph" w:styleId="16">
    <w:name w:val="Body Text Indent"/>
    <w:basedOn w:val="1"/>
    <w:link w:val="59"/>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60"/>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1"/>
    <w:qFormat/>
    <w:uiPriority w:val="0"/>
    <w:pPr>
      <w:jc w:val="both"/>
    </w:pPr>
    <w:rPr>
      <w:rFonts w:ascii="CG Times" w:hAnsi="CG Times" w:eastAsia="楷体_GB2312" w:cs="Times New Roman"/>
      <w:sz w:val="28"/>
      <w:szCs w:val="20"/>
    </w:rPr>
  </w:style>
  <w:style w:type="paragraph" w:styleId="22">
    <w:name w:val="Body Text Indent 2"/>
    <w:basedOn w:val="1"/>
    <w:link w:val="62"/>
    <w:qFormat/>
    <w:uiPriority w:val="0"/>
    <w:pPr>
      <w:ind w:firstLine="480"/>
      <w:jc w:val="both"/>
    </w:pPr>
    <w:rPr>
      <w:rFonts w:ascii="楷体_GB2312" w:hAnsi="宋体" w:eastAsia="楷体_GB2312" w:cs="Times New Roman"/>
      <w:szCs w:val="24"/>
    </w:rPr>
  </w:style>
  <w:style w:type="paragraph" w:styleId="23">
    <w:name w:val="Balloon Text"/>
    <w:basedOn w:val="1"/>
    <w:link w:val="63"/>
    <w:unhideWhenUsed/>
    <w:qFormat/>
    <w:uiPriority w:val="0"/>
    <w:rPr>
      <w:sz w:val="18"/>
      <w:szCs w:val="18"/>
    </w:rPr>
  </w:style>
  <w:style w:type="paragraph" w:styleId="24">
    <w:name w:val="footer"/>
    <w:basedOn w:val="1"/>
    <w:link w:val="64"/>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5"/>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6"/>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7"/>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Normal (Web)"/>
    <w:basedOn w:val="1"/>
    <w:semiHidden/>
    <w:unhideWhenUsed/>
    <w:qFormat/>
    <w:uiPriority w:val="99"/>
    <w:pPr>
      <w:spacing w:beforeAutospacing="1" w:afterAutospacing="1"/>
    </w:pPr>
    <w:rPr>
      <w:rFonts w:cs="Times New Roman"/>
      <w:kern w:val="0"/>
    </w:rPr>
  </w:style>
  <w:style w:type="paragraph" w:styleId="34">
    <w:name w:val="index 1"/>
    <w:basedOn w:val="1"/>
    <w:next w:val="1"/>
    <w:semiHidden/>
    <w:unhideWhenUsed/>
    <w:qFormat/>
    <w:uiPriority w:val="0"/>
  </w:style>
  <w:style w:type="paragraph" w:styleId="35">
    <w:name w:val="Title"/>
    <w:basedOn w:val="1"/>
    <w:next w:val="1"/>
    <w:link w:val="68"/>
    <w:qFormat/>
    <w:uiPriority w:val="10"/>
    <w:pPr>
      <w:spacing w:before="240" w:after="60"/>
      <w:jc w:val="center"/>
      <w:outlineLvl w:val="0"/>
    </w:pPr>
    <w:rPr>
      <w:rFonts w:ascii="Cambria" w:hAnsi="Cambria" w:cs="Times New Roman"/>
      <w:b/>
      <w:bCs/>
      <w:sz w:val="52"/>
      <w:szCs w:val="32"/>
    </w:rPr>
  </w:style>
  <w:style w:type="paragraph" w:styleId="36">
    <w:name w:val="annotation subject"/>
    <w:basedOn w:val="14"/>
    <w:next w:val="14"/>
    <w:link w:val="55"/>
    <w:semiHidden/>
    <w:unhideWhenUsed/>
    <w:qFormat/>
    <w:uiPriority w:val="99"/>
    <w:rPr>
      <w:b/>
      <w:bCs/>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unhideWhenUsed/>
    <w:qFormat/>
    <w:uiPriority w:val="99"/>
    <w:rPr>
      <w:color w:val="800080"/>
      <w:u w:val="single"/>
    </w:rPr>
  </w:style>
  <w:style w:type="character" w:styleId="43">
    <w:name w:val="Emphasis"/>
    <w:basedOn w:val="39"/>
    <w:qFormat/>
    <w:uiPriority w:val="20"/>
    <w:rPr>
      <w:i/>
      <w:iCs/>
    </w:rPr>
  </w:style>
  <w:style w:type="character" w:styleId="44">
    <w:name w:val="Hyperlink"/>
    <w:unhideWhenUsed/>
    <w:qFormat/>
    <w:uiPriority w:val="99"/>
    <w:rPr>
      <w:color w:val="0000FF"/>
      <w:u w:val="single"/>
    </w:rPr>
  </w:style>
  <w:style w:type="character" w:styleId="45">
    <w:name w:val="annotation reference"/>
    <w:basedOn w:val="39"/>
    <w:unhideWhenUsed/>
    <w:qFormat/>
    <w:uiPriority w:val="99"/>
    <w:rPr>
      <w:sz w:val="21"/>
      <w:szCs w:val="21"/>
    </w:rPr>
  </w:style>
  <w:style w:type="character" w:styleId="46">
    <w:name w:val="footnote reference"/>
    <w:basedOn w:val="39"/>
    <w:unhideWhenUsed/>
    <w:qFormat/>
    <w:uiPriority w:val="0"/>
    <w:rPr>
      <w:vertAlign w:val="superscript"/>
    </w:rPr>
  </w:style>
  <w:style w:type="character" w:customStyle="1" w:styleId="47">
    <w:name w:val="标题 2 Char"/>
    <w:basedOn w:val="39"/>
    <w:link w:val="4"/>
    <w:qFormat/>
    <w:uiPriority w:val="0"/>
    <w:rPr>
      <w:rFonts w:ascii="Cambria" w:hAnsi="Cambria" w:eastAsia="宋体" w:cs="黑体"/>
      <w:b/>
      <w:bCs/>
      <w:sz w:val="32"/>
      <w:szCs w:val="32"/>
    </w:rPr>
  </w:style>
  <w:style w:type="character" w:customStyle="1" w:styleId="48">
    <w:name w:val="标题 1 Char"/>
    <w:basedOn w:val="39"/>
    <w:link w:val="3"/>
    <w:qFormat/>
    <w:uiPriority w:val="0"/>
    <w:rPr>
      <w:rFonts w:ascii="Times New Roman" w:hAnsi="Times New Roman" w:eastAsia="仿宋" w:cs="黑体"/>
      <w:b/>
      <w:bCs/>
      <w:kern w:val="44"/>
      <w:sz w:val="44"/>
      <w:szCs w:val="44"/>
    </w:rPr>
  </w:style>
  <w:style w:type="character" w:customStyle="1" w:styleId="49">
    <w:name w:val="标题 3 Char"/>
    <w:basedOn w:val="39"/>
    <w:link w:val="5"/>
    <w:qFormat/>
    <w:uiPriority w:val="0"/>
    <w:rPr>
      <w:rFonts w:ascii="Calibri" w:hAnsi="Calibri" w:eastAsia="宋体" w:cs="黑体"/>
      <w:b/>
      <w:bCs/>
      <w:sz w:val="32"/>
      <w:szCs w:val="32"/>
    </w:rPr>
  </w:style>
  <w:style w:type="character" w:customStyle="1" w:styleId="50">
    <w:name w:val="标题 4 Char"/>
    <w:basedOn w:val="39"/>
    <w:link w:val="6"/>
    <w:qFormat/>
    <w:uiPriority w:val="0"/>
    <w:rPr>
      <w:rFonts w:ascii="Cambria" w:hAnsi="Cambria" w:eastAsia="宋体" w:cs="黑体"/>
      <w:b/>
      <w:bCs/>
      <w:sz w:val="28"/>
      <w:szCs w:val="28"/>
    </w:rPr>
  </w:style>
  <w:style w:type="character" w:customStyle="1" w:styleId="51">
    <w:name w:val="标题 5 Char"/>
    <w:basedOn w:val="39"/>
    <w:link w:val="7"/>
    <w:qFormat/>
    <w:uiPriority w:val="9"/>
    <w:rPr>
      <w:rFonts w:ascii="Calibri" w:hAnsi="Calibri" w:eastAsia="宋体" w:cs="黑体"/>
      <w:b/>
      <w:bCs/>
      <w:sz w:val="28"/>
      <w:szCs w:val="28"/>
    </w:rPr>
  </w:style>
  <w:style w:type="character" w:customStyle="1" w:styleId="52">
    <w:name w:val="标题 6 Char"/>
    <w:basedOn w:val="39"/>
    <w:link w:val="8"/>
    <w:qFormat/>
    <w:uiPriority w:val="0"/>
    <w:rPr>
      <w:rFonts w:ascii="Cambria" w:hAnsi="Cambria" w:eastAsia="宋体" w:cs="Times New Roman"/>
      <w:b/>
      <w:bCs/>
      <w:sz w:val="24"/>
      <w:szCs w:val="24"/>
    </w:rPr>
  </w:style>
  <w:style w:type="character" w:customStyle="1" w:styleId="53">
    <w:name w:val="标题 7 Char"/>
    <w:basedOn w:val="39"/>
    <w:link w:val="9"/>
    <w:semiHidden/>
    <w:qFormat/>
    <w:uiPriority w:val="9"/>
    <w:rPr>
      <w:rFonts w:ascii="CG Times" w:hAnsi="CG Times" w:eastAsia="楷体_GB2312" w:cs="Times New Roman"/>
      <w:b/>
      <w:bCs/>
      <w:sz w:val="24"/>
      <w:szCs w:val="24"/>
    </w:rPr>
  </w:style>
  <w:style w:type="character" w:customStyle="1" w:styleId="54">
    <w:name w:val="批注文字 Char"/>
    <w:basedOn w:val="39"/>
    <w:link w:val="14"/>
    <w:qFormat/>
    <w:uiPriority w:val="99"/>
    <w:rPr>
      <w:rFonts w:ascii="Calibri" w:hAnsi="Calibri" w:eastAsia="宋体" w:cs="黑体"/>
      <w:sz w:val="24"/>
    </w:rPr>
  </w:style>
  <w:style w:type="character" w:customStyle="1" w:styleId="55">
    <w:name w:val="批注主题 Char"/>
    <w:basedOn w:val="54"/>
    <w:link w:val="36"/>
    <w:semiHidden/>
    <w:qFormat/>
    <w:uiPriority w:val="99"/>
    <w:rPr>
      <w:rFonts w:ascii="Calibri" w:hAnsi="Calibri" w:eastAsia="宋体" w:cs="黑体"/>
      <w:b/>
      <w:bCs/>
      <w:sz w:val="24"/>
    </w:rPr>
  </w:style>
  <w:style w:type="character" w:customStyle="1" w:styleId="56">
    <w:name w:val="文档结构图 Char"/>
    <w:basedOn w:val="39"/>
    <w:link w:val="13"/>
    <w:semiHidden/>
    <w:qFormat/>
    <w:uiPriority w:val="99"/>
    <w:rPr>
      <w:rFonts w:ascii="宋体" w:hAnsi="Calibri" w:eastAsia="宋体" w:cs="黑体"/>
      <w:sz w:val="18"/>
      <w:szCs w:val="18"/>
    </w:rPr>
  </w:style>
  <w:style w:type="character" w:customStyle="1" w:styleId="57">
    <w:name w:val="正文文本 3 Char"/>
    <w:basedOn w:val="39"/>
    <w:link w:val="15"/>
    <w:semiHidden/>
    <w:qFormat/>
    <w:uiPriority w:val="99"/>
    <w:rPr>
      <w:rFonts w:ascii="Times New Roman" w:hAnsi="Times New Roman" w:eastAsia="宋体" w:cs="Times New Roman"/>
      <w:sz w:val="16"/>
      <w:szCs w:val="16"/>
    </w:rPr>
  </w:style>
  <w:style w:type="character" w:customStyle="1" w:styleId="58">
    <w:name w:val="正文文本 Char"/>
    <w:basedOn w:val="39"/>
    <w:link w:val="2"/>
    <w:qFormat/>
    <w:uiPriority w:val="0"/>
    <w:rPr>
      <w:rFonts w:ascii="楷体_GB2312" w:hAnsi="CG Times" w:eastAsia="楷体_GB2312" w:cs="Times New Roman"/>
      <w:color w:val="000000"/>
      <w:sz w:val="36"/>
      <w:szCs w:val="20"/>
    </w:rPr>
  </w:style>
  <w:style w:type="character" w:customStyle="1" w:styleId="59">
    <w:name w:val="正文文本缩进 Char"/>
    <w:basedOn w:val="39"/>
    <w:link w:val="16"/>
    <w:qFormat/>
    <w:uiPriority w:val="0"/>
    <w:rPr>
      <w:rFonts w:ascii="楷体_GB2312" w:hAnsi="Times New Roman" w:eastAsia="宋体" w:cs="Times New Roman"/>
      <w:szCs w:val="24"/>
    </w:rPr>
  </w:style>
  <w:style w:type="character" w:customStyle="1" w:styleId="60">
    <w:name w:val="纯文本 Char"/>
    <w:basedOn w:val="39"/>
    <w:link w:val="19"/>
    <w:qFormat/>
    <w:uiPriority w:val="0"/>
    <w:rPr>
      <w:rFonts w:ascii="宋体" w:hAnsi="Courier New" w:eastAsia="宋体" w:cs="Times New Roman"/>
      <w:szCs w:val="21"/>
    </w:rPr>
  </w:style>
  <w:style w:type="character" w:customStyle="1" w:styleId="61">
    <w:name w:val="日期 Char"/>
    <w:basedOn w:val="39"/>
    <w:link w:val="21"/>
    <w:qFormat/>
    <w:uiPriority w:val="0"/>
    <w:rPr>
      <w:rFonts w:ascii="CG Times" w:hAnsi="CG Times" w:eastAsia="楷体_GB2312" w:cs="Times New Roman"/>
      <w:sz w:val="28"/>
      <w:szCs w:val="20"/>
    </w:rPr>
  </w:style>
  <w:style w:type="character" w:customStyle="1" w:styleId="62">
    <w:name w:val="正文文本缩进 2 Char"/>
    <w:basedOn w:val="39"/>
    <w:link w:val="22"/>
    <w:qFormat/>
    <w:uiPriority w:val="0"/>
    <w:rPr>
      <w:rFonts w:ascii="楷体_GB2312" w:hAnsi="宋体" w:eastAsia="楷体_GB2312" w:cs="Times New Roman"/>
      <w:sz w:val="24"/>
      <w:szCs w:val="24"/>
    </w:rPr>
  </w:style>
  <w:style w:type="character" w:customStyle="1" w:styleId="63">
    <w:name w:val="批注框文本 Char"/>
    <w:basedOn w:val="39"/>
    <w:link w:val="23"/>
    <w:qFormat/>
    <w:uiPriority w:val="0"/>
    <w:rPr>
      <w:rFonts w:ascii="Calibri" w:hAnsi="Calibri" w:eastAsia="宋体" w:cs="黑体"/>
      <w:sz w:val="18"/>
      <w:szCs w:val="18"/>
    </w:rPr>
  </w:style>
  <w:style w:type="character" w:customStyle="1" w:styleId="64">
    <w:name w:val="页脚 Char"/>
    <w:basedOn w:val="39"/>
    <w:link w:val="24"/>
    <w:qFormat/>
    <w:uiPriority w:val="99"/>
    <w:rPr>
      <w:rFonts w:ascii="Calibri" w:hAnsi="Calibri" w:eastAsia="宋体" w:cs="Times New Roman"/>
      <w:sz w:val="18"/>
      <w:szCs w:val="18"/>
    </w:rPr>
  </w:style>
  <w:style w:type="character" w:customStyle="1" w:styleId="65">
    <w:name w:val="页眉 Char"/>
    <w:basedOn w:val="39"/>
    <w:link w:val="25"/>
    <w:qFormat/>
    <w:uiPriority w:val="99"/>
    <w:rPr>
      <w:rFonts w:ascii="Calibri" w:hAnsi="Calibri" w:eastAsia="宋体" w:cs="Times New Roman"/>
      <w:sz w:val="18"/>
      <w:szCs w:val="18"/>
    </w:rPr>
  </w:style>
  <w:style w:type="character" w:customStyle="1" w:styleId="66">
    <w:name w:val="脚注文本 Char"/>
    <w:basedOn w:val="39"/>
    <w:link w:val="28"/>
    <w:qFormat/>
    <w:uiPriority w:val="0"/>
    <w:rPr>
      <w:rFonts w:ascii="Times New Roman" w:hAnsi="Times New Roman" w:eastAsia="宋体" w:cs="Times New Roman"/>
      <w:kern w:val="0"/>
      <w:sz w:val="18"/>
      <w:szCs w:val="18"/>
    </w:rPr>
  </w:style>
  <w:style w:type="character" w:customStyle="1" w:styleId="67">
    <w:name w:val="正文文本缩进 3 Char"/>
    <w:basedOn w:val="39"/>
    <w:link w:val="30"/>
    <w:qFormat/>
    <w:uiPriority w:val="0"/>
    <w:rPr>
      <w:rFonts w:ascii="Times New Roman" w:hAnsi="Times New Roman" w:eastAsia="楷体_GB2312" w:cs="Times New Roman"/>
      <w:sz w:val="24"/>
      <w:szCs w:val="24"/>
    </w:rPr>
  </w:style>
  <w:style w:type="character" w:customStyle="1" w:styleId="68">
    <w:name w:val="标题 Char"/>
    <w:basedOn w:val="39"/>
    <w:link w:val="35"/>
    <w:qFormat/>
    <w:uiPriority w:val="10"/>
    <w:rPr>
      <w:rFonts w:ascii="Cambria" w:hAnsi="Cambria" w:eastAsia="宋体" w:cs="Times New Roman"/>
      <w:b/>
      <w:bCs/>
      <w:sz w:val="52"/>
      <w:szCs w:val="32"/>
    </w:rPr>
  </w:style>
  <w:style w:type="paragraph" w:customStyle="1" w:styleId="69">
    <w:name w:val="标题3"/>
    <w:basedOn w:val="5"/>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70">
    <w:name w:val="标题4"/>
    <w:basedOn w:val="6"/>
    <w:next w:val="1"/>
    <w:link w:val="71"/>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1">
    <w:name w:val="标题4 Char Char"/>
    <w:link w:val="70"/>
    <w:qFormat/>
    <w:uiPriority w:val="0"/>
    <w:rPr>
      <w:rFonts w:ascii="Cambria" w:hAnsi="Cambria" w:eastAsia="楷体" w:cs="Times New Roman"/>
      <w:b/>
      <w:bCs/>
      <w:kern w:val="0"/>
      <w:sz w:val="30"/>
      <w:szCs w:val="28"/>
    </w:rPr>
  </w:style>
  <w:style w:type="paragraph" w:customStyle="1" w:styleId="72">
    <w:name w:val="标题5"/>
    <w:basedOn w:val="7"/>
    <w:qFormat/>
    <w:uiPriority w:val="0"/>
    <w:pPr>
      <w:adjustRightInd w:val="0"/>
      <w:snapToGrid w:val="0"/>
      <w:spacing w:before="0" w:after="0" w:line="360" w:lineRule="auto"/>
    </w:pPr>
    <w:rPr>
      <w:rFonts w:eastAsia="楷体"/>
    </w:rPr>
  </w:style>
  <w:style w:type="paragraph" w:customStyle="1" w:styleId="73">
    <w:name w:val="标题1"/>
    <w:basedOn w:val="3"/>
    <w:next w:val="1"/>
    <w:qFormat/>
    <w:uiPriority w:val="0"/>
    <w:pPr>
      <w:adjustRightInd w:val="0"/>
      <w:snapToGrid w:val="0"/>
      <w:spacing w:beforeLines="50" w:afterLines="50"/>
      <w:ind w:firstLine="200" w:firstLineChars="200"/>
    </w:pPr>
    <w:rPr>
      <w:rFonts w:eastAsia="黑体"/>
      <w:b w:val="0"/>
      <w:sz w:val="30"/>
    </w:rPr>
  </w:style>
  <w:style w:type="paragraph" w:customStyle="1" w:styleId="74">
    <w:name w:val="标题2"/>
    <w:basedOn w:val="4"/>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5">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6">
    <w:name w:val="表格栏头"/>
    <w:basedOn w:val="75"/>
    <w:next w:val="75"/>
    <w:qFormat/>
    <w:uiPriority w:val="0"/>
    <w:pPr>
      <w:tabs>
        <w:tab w:val="clear" w:pos="1702"/>
      </w:tabs>
      <w:spacing w:before="60" w:after="60"/>
      <w:textAlignment w:val="baseline"/>
    </w:pPr>
    <w:rPr>
      <w:rFonts w:ascii="Tahoma" w:hAnsi="Tahoma" w:eastAsia="宋体"/>
      <w:b/>
      <w:color w:val="auto"/>
    </w:rPr>
  </w:style>
  <w:style w:type="paragraph" w:customStyle="1" w:styleId="77">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8">
    <w:name w:val="信息标题2"/>
    <w:basedOn w:val="12"/>
    <w:next w:val="12"/>
    <w:qFormat/>
    <w:uiPriority w:val="0"/>
    <w:pPr>
      <w:spacing w:after="0"/>
      <w:jc w:val="center"/>
    </w:pPr>
    <w:rPr>
      <w:rFonts w:ascii="楷体" w:hAnsi="楷体" w:eastAsia="楷体"/>
      <w:b/>
      <w:sz w:val="36"/>
      <w:szCs w:val="36"/>
    </w:rPr>
  </w:style>
  <w:style w:type="paragraph" w:customStyle="1" w:styleId="79">
    <w:name w:val="列出段落1"/>
    <w:basedOn w:val="1"/>
    <w:qFormat/>
    <w:uiPriority w:val="34"/>
    <w:pPr>
      <w:ind w:firstLine="420"/>
    </w:pPr>
  </w:style>
  <w:style w:type="paragraph" w:customStyle="1" w:styleId="80">
    <w:name w:val="p0"/>
    <w:basedOn w:val="1"/>
    <w:qFormat/>
    <w:uiPriority w:val="0"/>
    <w:pPr>
      <w:jc w:val="both"/>
    </w:pPr>
    <w:rPr>
      <w:rFonts w:cs="宋体"/>
      <w:kern w:val="0"/>
      <w:sz w:val="21"/>
      <w:szCs w:val="21"/>
    </w:rPr>
  </w:style>
  <w:style w:type="paragraph" w:customStyle="1" w:styleId="8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2">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3">
    <w:name w:val="表格首行"/>
    <w:basedOn w:val="1"/>
    <w:qFormat/>
    <w:uiPriority w:val="0"/>
    <w:pPr>
      <w:tabs>
        <w:tab w:val="left" w:pos="540"/>
      </w:tabs>
      <w:jc w:val="both"/>
    </w:pPr>
    <w:rPr>
      <w:rFonts w:eastAsia="楷体_GB2312" w:cs="Times New Roman"/>
      <w:b/>
      <w:szCs w:val="21"/>
    </w:rPr>
  </w:style>
  <w:style w:type="paragraph" w:customStyle="1" w:styleId="84">
    <w:name w:val="表格内容"/>
    <w:basedOn w:val="1"/>
    <w:qFormat/>
    <w:uiPriority w:val="0"/>
    <w:pPr>
      <w:tabs>
        <w:tab w:val="left" w:pos="540"/>
      </w:tabs>
    </w:pPr>
    <w:rPr>
      <w:rFonts w:eastAsia="楷体_GB2312" w:cs="Times New Roman"/>
      <w:szCs w:val="28"/>
    </w:rPr>
  </w:style>
  <w:style w:type="paragraph" w:customStyle="1" w:styleId="85">
    <w:name w:val="Char Char Char Char Char Char Char"/>
    <w:basedOn w:val="1"/>
    <w:qFormat/>
    <w:uiPriority w:val="0"/>
    <w:rPr>
      <w:rFonts w:ascii="Verdana" w:hAnsi="Verdana" w:cs="Times New Roman"/>
      <w:kern w:val="0"/>
      <w:sz w:val="21"/>
      <w:szCs w:val="20"/>
      <w:lang w:eastAsia="en-US"/>
    </w:rPr>
  </w:style>
  <w:style w:type="paragraph" w:customStyle="1" w:styleId="86">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7">
    <w:name w:val="TOC 标题1"/>
    <w:basedOn w:val="3"/>
    <w:next w:val="1"/>
    <w:unhideWhenUsed/>
    <w:qFormat/>
    <w:uiPriority w:val="39"/>
    <w:pPr>
      <w:spacing w:line="578" w:lineRule="atLeast"/>
      <w:jc w:val="both"/>
      <w:outlineLvl w:val="9"/>
    </w:pPr>
    <w:rPr>
      <w:rFonts w:ascii="CG Times" w:hAnsi="CG Times" w:eastAsia="楷体_GB2312" w:cs="Times New Roman"/>
    </w:rPr>
  </w:style>
  <w:style w:type="paragraph" w:customStyle="1" w:styleId="88">
    <w:name w:val="样式 标题 1 + 段后: 0.5 行"/>
    <w:basedOn w:val="3"/>
    <w:qFormat/>
    <w:uiPriority w:val="0"/>
    <w:pPr>
      <w:numPr>
        <w:ilvl w:val="0"/>
        <w:numId w:val="3"/>
      </w:numPr>
      <w:spacing w:afterLines="50"/>
      <w:jc w:val="both"/>
    </w:pPr>
    <w:rPr>
      <w:rFonts w:eastAsia="黑体" w:cs="宋体"/>
      <w:sz w:val="36"/>
      <w:szCs w:val="20"/>
    </w:rPr>
  </w:style>
  <w:style w:type="paragraph" w:customStyle="1" w:styleId="89">
    <w:name w:val="文档结构图1"/>
    <w:basedOn w:val="1"/>
    <w:qFormat/>
    <w:uiPriority w:val="0"/>
    <w:pPr>
      <w:jc w:val="both"/>
    </w:pPr>
    <w:rPr>
      <w:rFonts w:ascii="宋体" w:hAnsi="CG Times" w:cs="Times New Roman"/>
      <w:sz w:val="18"/>
      <w:szCs w:val="18"/>
    </w:rPr>
  </w:style>
  <w:style w:type="paragraph" w:customStyle="1" w:styleId="90">
    <w:name w:val="批注主题1"/>
    <w:basedOn w:val="14"/>
    <w:next w:val="14"/>
    <w:qFormat/>
    <w:uiPriority w:val="0"/>
    <w:rPr>
      <w:rFonts w:ascii="CG Times" w:hAnsi="CG Times" w:eastAsia="楷体_GB2312" w:cs="Times New Roman"/>
      <w:b/>
      <w:bCs/>
      <w:szCs w:val="20"/>
    </w:rPr>
  </w:style>
  <w:style w:type="paragraph" w:customStyle="1" w:styleId="91">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2">
    <w:name w:val="列出段落11"/>
    <w:basedOn w:val="1"/>
    <w:qFormat/>
    <w:uiPriority w:val="0"/>
    <w:pPr>
      <w:ind w:firstLine="420"/>
      <w:jc w:val="both"/>
    </w:pPr>
    <w:rPr>
      <w:rFonts w:ascii="CG Times" w:hAnsi="CG Times" w:eastAsia="楷体_GB2312" w:cs="Times New Roman"/>
      <w:szCs w:val="20"/>
    </w:rPr>
  </w:style>
  <w:style w:type="paragraph" w:customStyle="1" w:styleId="93">
    <w:name w:val="修订11"/>
    <w:qFormat/>
    <w:uiPriority w:val="0"/>
    <w:rPr>
      <w:rFonts w:ascii="CG Times" w:hAnsi="CG Times" w:eastAsia="楷体_GB2312" w:cs="Times New Roman"/>
      <w:sz w:val="24"/>
      <w:lang w:val="en-US" w:eastAsia="zh-CN" w:bidi="ar-SA"/>
    </w:rPr>
  </w:style>
  <w:style w:type="paragraph" w:customStyle="1" w:styleId="94">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5">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6">
    <w:name w:val="Char Char Char Char Char Char Char Char Char Char"/>
    <w:basedOn w:val="1"/>
    <w:qFormat/>
    <w:uiPriority w:val="0"/>
    <w:rPr>
      <w:rFonts w:ascii="Verdana" w:hAnsi="Verdana" w:cs="Times New Roman"/>
      <w:kern w:val="0"/>
      <w:sz w:val="21"/>
      <w:szCs w:val="20"/>
      <w:lang w:eastAsia="en-US"/>
    </w:rPr>
  </w:style>
  <w:style w:type="character" w:customStyle="1" w:styleId="97">
    <w:name w:val="st"/>
    <w:basedOn w:val="39"/>
    <w:qFormat/>
    <w:uiPriority w:val="0"/>
  </w:style>
  <w:style w:type="character" w:customStyle="1" w:styleId="98">
    <w:name w:val="脚注文本 Char1"/>
    <w:basedOn w:val="39"/>
    <w:qFormat/>
    <w:uiPriority w:val="0"/>
    <w:rPr>
      <w:sz w:val="18"/>
      <w:szCs w:val="18"/>
    </w:rPr>
  </w:style>
  <w:style w:type="character" w:customStyle="1" w:styleId="99">
    <w:name w:val="页码1"/>
    <w:basedOn w:val="39"/>
    <w:qFormat/>
    <w:uiPriority w:val="0"/>
  </w:style>
  <w:style w:type="character" w:customStyle="1" w:styleId="100">
    <w:name w:val="批注引用1"/>
    <w:qFormat/>
    <w:uiPriority w:val="0"/>
    <w:rPr>
      <w:sz w:val="21"/>
      <w:szCs w:val="21"/>
    </w:rPr>
  </w:style>
  <w:style w:type="paragraph" w:styleId="101">
    <w:name w:val="List Paragraph"/>
    <w:basedOn w:val="1"/>
    <w:qFormat/>
    <w:uiPriority w:val="34"/>
    <w:pPr>
      <w:ind w:firstLine="420"/>
    </w:pPr>
  </w:style>
  <w:style w:type="table" w:customStyle="1" w:styleId="102">
    <w:name w:val="网格型2"/>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修订1"/>
    <w:hidden/>
    <w:semiHidden/>
    <w:qFormat/>
    <w:uiPriority w:val="99"/>
    <w:rPr>
      <w:rFonts w:ascii="Times New Roman" w:hAnsi="Times New Roman" w:eastAsia="仿宋" w:cs="黑体"/>
      <w:kern w:val="2"/>
      <w:sz w:val="24"/>
      <w:szCs w:val="22"/>
      <w:lang w:val="en-US" w:eastAsia="zh-CN" w:bidi="ar-SA"/>
    </w:rPr>
  </w:style>
  <w:style w:type="character" w:customStyle="1" w:styleId="104">
    <w:name w:val="fontstyle01"/>
    <w:basedOn w:val="39"/>
    <w:qFormat/>
    <w:uiPriority w:val="0"/>
    <w:rPr>
      <w:rFonts w:hint="default" w:ascii="仿宋" w:hAnsi="仿宋"/>
      <w:color w:val="000000"/>
      <w:sz w:val="30"/>
      <w:szCs w:val="30"/>
    </w:rPr>
  </w:style>
  <w:style w:type="character" w:customStyle="1" w:styleId="105">
    <w:name w:val="fontstyle11"/>
    <w:basedOn w:val="39"/>
    <w:qFormat/>
    <w:uiPriority w:val="0"/>
    <w:rPr>
      <w:rFonts w:hint="default" w:ascii="TimesNewRomanPSMT" w:hAnsi="TimesNewRomanPSMT"/>
      <w:color w:val="000000"/>
      <w:sz w:val="30"/>
      <w:szCs w:val="30"/>
    </w:rPr>
  </w:style>
  <w:style w:type="character" w:customStyle="1" w:styleId="106">
    <w:name w:val="font41"/>
    <w:basedOn w:val="39"/>
    <w:qFormat/>
    <w:uiPriority w:val="0"/>
    <w:rPr>
      <w:rFonts w:hint="default" w:ascii="楷体" w:hAnsi="楷体" w:eastAsia="楷体" w:cs="楷体"/>
      <w:b/>
      <w:color w:val="000000"/>
      <w:sz w:val="24"/>
      <w:szCs w:val="24"/>
      <w:u w:val="none"/>
    </w:rPr>
  </w:style>
  <w:style w:type="character" w:customStyle="1" w:styleId="107">
    <w:name w:val="font01"/>
    <w:basedOn w:val="39"/>
    <w:qFormat/>
    <w:uiPriority w:val="0"/>
    <w:rPr>
      <w:rFonts w:hint="default"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1064</Words>
  <Characters>6067</Characters>
  <Lines>50</Lines>
  <Paragraphs>14</Paragraphs>
  <TotalTime>6</TotalTime>
  <ScaleCrop>false</ScaleCrop>
  <LinksUpToDate>false</LinksUpToDate>
  <CharactersWithSpaces>7117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2021-01-18T10:48:00Z</dcterms:created>
  <dc:creator>张恒zh</dc:creator>
  <cp:lastModifiedBy>zhangheng</cp:lastModifiedBy>
  <cp:lastPrinted>2025-03-05T16:40:00Z</cp:lastPrinted>
  <dcterms:modified xsi:type="dcterms:W3CDTF">2025-09-24T11:51:46Z</dcterms:modified>
  <dc:title>北证办发〔2023〕X号附件1</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FC018C53D4654C36B91228A59E8199EF_13</vt:lpwstr>
  </property>
</Properties>
</file>