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44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北证办发〔2025〕26号附件2</w:t>
      </w:r>
    </w:p>
    <w:p>
      <w:pPr>
        <w:spacing w:line="0" w:lineRule="atLeast"/>
        <w:jc w:val="center"/>
        <w:rPr>
          <w:rFonts w:ascii="方正大标宋简体" w:eastAsia="方正大标宋简体"/>
          <w:sz w:val="44"/>
          <w:szCs w:val="44"/>
        </w:rPr>
      </w:pPr>
    </w:p>
    <w:p>
      <w:pPr>
        <w:spacing w:line="0" w:lineRule="atLeast"/>
        <w:jc w:val="center"/>
        <w:outlineLvl w:val="0"/>
        <w:rPr>
          <w:rFonts w:ascii="方正大标宋简体" w:eastAsia="方正大标宋简体"/>
          <w:sz w:val="44"/>
          <w:szCs w:val="44"/>
        </w:rPr>
      </w:pPr>
      <w:r>
        <w:rPr>
          <w:rFonts w:hint="eastAsia" w:ascii="方正大标宋简体" w:eastAsia="方正大标宋简体"/>
          <w:sz w:val="44"/>
          <w:szCs w:val="44"/>
        </w:rPr>
        <w:t>北京证券交易所存量上市公司证券代码切换（试点）第四次全网测试反馈报告</w:t>
      </w:r>
    </w:p>
    <w:p>
      <w:pPr>
        <w:spacing w:line="0" w:lineRule="atLeast"/>
        <w:jc w:val="left"/>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96" w:type="dxa"/>
          </w:tcPr>
          <w:p>
            <w:pPr>
              <w:pStyle w:val="10"/>
              <w:spacing w:before="60" w:after="60" w:line="0" w:lineRule="atLeast"/>
              <w:ind w:firstLine="0" w:firstLineChars="0"/>
              <w:jc w:val="left"/>
              <w:rPr>
                <w:rFonts w:ascii="黑体" w:hAnsi="黑体" w:eastAsia="黑体" w:cs="Arial"/>
                <w:sz w:val="28"/>
                <w:szCs w:val="28"/>
              </w:rPr>
            </w:pPr>
            <w:r>
              <w:rPr>
                <w:rFonts w:hint="eastAsia" w:ascii="黑体" w:hAnsi="黑体" w:eastAsia="黑体" w:cs="Arial"/>
                <w:sz w:val="28"/>
                <w:szCs w:val="28"/>
              </w:rPr>
              <w:t>一、机构名称</w:t>
            </w:r>
          </w:p>
          <w:p>
            <w:pPr>
              <w:pStyle w:val="2"/>
              <w:ind w:firstLine="0" w:firstLineChars="0"/>
            </w:pPr>
            <w:r>
              <w:rPr>
                <w:rFonts w:hint="eastAsia" w:ascii="Times New Roman" w:hAnsi="Times New Roman" w:eastAsia="仿宋" w:cs="Times New Roman"/>
                <w:kern w:val="2"/>
                <w:sz w:val="28"/>
                <w:szCs w:val="28"/>
                <w:lang w:val="en-US" w:eastAsia="zh-CN" w:bidi="ar-SA"/>
              </w:rPr>
              <w:t>经纪业务营业部____家，参测经纪营业部____家。（证券公司填写）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96" w:type="dxa"/>
          </w:tcPr>
          <w:p>
            <w:pPr>
              <w:pStyle w:val="10"/>
              <w:spacing w:before="60" w:after="60" w:line="0" w:lineRule="atLeast"/>
              <w:ind w:firstLine="0" w:firstLineChars="0"/>
              <w:jc w:val="left"/>
              <w:rPr>
                <w:rFonts w:ascii="黑体" w:hAnsi="黑体" w:eastAsia="黑体" w:cs="Arial"/>
                <w:sz w:val="28"/>
                <w:szCs w:val="28"/>
              </w:rPr>
            </w:pPr>
            <w:r>
              <w:rPr>
                <w:rFonts w:hint="eastAsia" w:ascii="黑体" w:hAnsi="黑体" w:eastAsia="黑体" w:cs="Arial"/>
                <w:sz w:val="28"/>
                <w:szCs w:val="28"/>
              </w:rPr>
              <w:t>二、</w:t>
            </w:r>
            <w:r>
              <w:rPr>
                <w:rFonts w:ascii="黑体" w:hAnsi="黑体" w:eastAsia="黑体" w:cs="Arial"/>
                <w:sz w:val="28"/>
                <w:szCs w:val="28"/>
              </w:rPr>
              <w:t>测试时间</w:t>
            </w:r>
          </w:p>
          <w:p>
            <w:pPr>
              <w:pStyle w:val="10"/>
              <w:spacing w:before="60" w:after="60" w:line="0" w:lineRule="atLeast"/>
              <w:ind w:firstLine="0" w:firstLineChars="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2025年4月26日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numPr>
                <w:ilvl w:val="0"/>
                <w:numId w:val="1"/>
              </w:numPr>
              <w:spacing w:before="60" w:after="60" w:line="0" w:lineRule="atLeast"/>
              <w:rPr>
                <w:rFonts w:ascii="Times New Roman" w:hAnsi="Times New Roman" w:eastAsia="黑体" w:cs="Times New Roman"/>
                <w:sz w:val="28"/>
                <w:szCs w:val="28"/>
              </w:rPr>
            </w:pPr>
            <w:r>
              <w:rPr>
                <w:rFonts w:ascii="Times New Roman" w:hAnsi="Times New Roman" w:eastAsia="黑体" w:cs="Times New Roman"/>
                <w:sz w:val="28"/>
                <w:szCs w:val="28"/>
              </w:rPr>
              <w:t>测试情况</w:t>
            </w:r>
            <w:r>
              <w:rPr>
                <w:rFonts w:hint="eastAsia" w:ascii="方正楷体_GBK" w:hAnsi="方正楷体_GBK" w:eastAsia="方正楷体_GBK" w:cs="方正楷体_GBK"/>
                <w:sz w:val="28"/>
                <w:szCs w:val="28"/>
              </w:rPr>
              <w:t>（信息商需填写</w:t>
            </w:r>
            <w:r>
              <w:rPr>
                <w:rFonts w:hint="eastAsia" w:ascii="Times New Roman" w:hAnsi="Times New Roman" w:eastAsia="仿宋" w:cs="Times New Roman"/>
                <w:sz w:val="28"/>
                <w:szCs w:val="28"/>
                <w:lang w:val="en-US" w:eastAsia="zh-CN"/>
              </w:rPr>
              <w:t>2、</w:t>
            </w:r>
            <w:bookmarkStart w:id="0" w:name="_GoBack"/>
            <w:bookmarkEnd w:id="0"/>
            <w:r>
              <w:rPr>
                <w:rFonts w:hint="eastAsia" w:ascii="Times New Roman" w:hAnsi="Times New Roman" w:eastAsia="仿宋" w:cs="Times New Roman"/>
                <w:sz w:val="28"/>
                <w:szCs w:val="28"/>
              </w:rPr>
              <w:t>6、7、8、10</w:t>
            </w:r>
            <w:r>
              <w:rPr>
                <w:rFonts w:hint="eastAsia" w:ascii="方正楷体_GBK" w:hAnsi="方正楷体_GBK" w:eastAsia="方正楷体_GBK" w:cs="方正楷体_GBK"/>
                <w:sz w:val="28"/>
                <w:szCs w:val="28"/>
              </w:rPr>
              <w:t>项）</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1.代码切换前使用老代码正常完成日终处理。</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2.代码切换阶段能正确完成涉及交易、行情技术系统、投资者周边系统的代码切换。</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3.代码切换后数据核对阶段，交易结算类相关业务内部数据核对符合预期。</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4.代码切换后数据核对阶段，北交所重新发送的7个数据校验接口数据核对准确无误。（券商适用）</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□不涉及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5.代码切换后数据核对阶段，中国结算北分重新发送的2个数据校验接口（明细结果库和股份结算对账库）数据核对准确无误。（券商适用）</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未通过     □未测    □不涉及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6.代码切换后已切换股票新三板期间行情不再与北交所上市期间行情连续。</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□不涉及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7.代码切换后已切换股票在北交所上市以来行情信息（含精选层期间）按照新代码连续展示，切换后首日前收盘价为原代码前收盘价。</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□通过       □未通过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8.代码切换后能够按要求支持投资者使用新老代码查询行情、公告等信息。</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□通过       □未通过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9.代码切换后涉及已切换股票的各类北交所业务委托申报、回报处理、股份计算、资金冻结等均正常。</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10.代码切换完成后能够正确接收、处理北交所下发的行情信息。</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11.代码切换完成后能够正常完成北交所股票的清算交收。</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12.代码切换完成后融资融券相关业务可正常开展，余额等数据可正确报送。</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□通过       □未通过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13.代码切换完成后北交所做市商做市相关业务可正常开展，做市义务可正常履行。</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□通过       □未通过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14.代码切换完成后投资者使用新老代码均可查询上市以来的全部交易流水记录，并按照实际发生时的代码正确展示。</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15</w:t>
            </w:r>
            <w:r>
              <w:rPr>
                <w:rFonts w:hint="eastAsia" w:ascii="Times New Roman" w:hAnsi="Times New Roman" w:eastAsia="仿宋" w:cs="Times New Roman"/>
                <w:sz w:val="28"/>
                <w:szCs w:val="28"/>
                <w:lang w:val="en"/>
              </w:rPr>
              <w:t>.</w:t>
            </w:r>
            <w:r>
              <w:rPr>
                <w:rFonts w:hint="eastAsia" w:ascii="Times New Roman" w:hAnsi="Times New Roman" w:eastAsia="仿宋" w:cs="Times New Roman"/>
                <w:sz w:val="28"/>
                <w:szCs w:val="28"/>
              </w:rPr>
              <w:t>代码切换完成后已切换股票、未切换股票的各项业务（含优先股、可转债、要约等）均可正常开展。</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16.各类系统（经纪业务类系统、自营业务类系统、做市业务类系统、资管业务类等系统）能够正确完成所有测试要求。</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before="60" w:after="60" w:line="0" w:lineRule="atLeast"/>
              <w:rPr>
                <w:rFonts w:ascii="Times New Roman" w:hAnsi="Times New Roman" w:eastAsia="黑体" w:cs="Times New Roman"/>
                <w:sz w:val="28"/>
                <w:szCs w:val="28"/>
              </w:rPr>
            </w:pPr>
            <w:r>
              <w:rPr>
                <w:rFonts w:hint="eastAsia" w:ascii="Times New Roman" w:hAnsi="Times New Roman" w:eastAsia="黑体" w:cs="Times New Roman"/>
                <w:sz w:val="28"/>
                <w:szCs w:val="28"/>
              </w:rPr>
              <w:t>四</w:t>
            </w:r>
            <w:r>
              <w:rPr>
                <w:rFonts w:ascii="Times New Roman" w:hAnsi="Times New Roman" w:eastAsia="黑体" w:cs="Times New Roman"/>
                <w:sz w:val="28"/>
                <w:szCs w:val="28"/>
              </w:rPr>
              <w:t>、测试结论</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参测各类系统能够正确完成所有业务测试场景，达到上线要求。</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□完全通过   □部分通过   □未通过</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（注：如果选择“部分通过”或“未通过”，请在问题记录中写明测试未通过技术系统详细情况</w:t>
            </w:r>
            <w:r>
              <w:rPr>
                <w:rFonts w:hint="eastAsia" w:ascii="Times New Roman" w:hAnsi="Times New Roman" w:eastAsia="仿宋" w:cs="Times New Roman"/>
                <w:sz w:val="28"/>
                <w:szCs w:val="28"/>
                <w:lang w:eastAsia="zh-CN"/>
              </w:rPr>
              <w:t>以及未通过经纪营业部数量</w:t>
            </w:r>
            <w:r>
              <w:rPr>
                <w:rFonts w:hint="eastAsia"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before="60" w:after="60" w:line="0" w:lineRule="atLeast"/>
              <w:jc w:val="left"/>
              <w:rPr>
                <w:rFonts w:ascii="黑体" w:hAnsi="黑体" w:eastAsia="黑体" w:cs="Arial"/>
                <w:sz w:val="28"/>
                <w:szCs w:val="28"/>
              </w:rPr>
            </w:pPr>
            <w:r>
              <w:rPr>
                <w:rFonts w:hint="eastAsia" w:ascii="黑体" w:hAnsi="黑体" w:eastAsia="黑体" w:cs="Arial"/>
                <w:sz w:val="28"/>
                <w:szCs w:val="28"/>
              </w:rPr>
              <w:t>五、</w:t>
            </w:r>
            <w:r>
              <w:rPr>
                <w:rFonts w:ascii="黑体" w:hAnsi="黑体" w:eastAsia="黑体" w:cs="Arial"/>
                <w:sz w:val="28"/>
                <w:szCs w:val="28"/>
              </w:rPr>
              <w:t>问题记录</w:t>
            </w: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sz w:val="28"/>
                <w:szCs w:val="28"/>
              </w:rPr>
            </w:pPr>
            <w:r>
              <w:rPr>
                <w:rFonts w:ascii="仿宋" w:hAnsi="仿宋" w:eastAsia="仿宋" w:cs="Arial"/>
                <w:sz w:val="28"/>
                <w:szCs w:val="28"/>
              </w:rPr>
              <w:t>注：测试中发现的问题，请在本栏描述。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296" w:type="dxa"/>
          </w:tcPr>
          <w:p>
            <w:pPr>
              <w:spacing w:before="60" w:after="60" w:line="0" w:lineRule="atLeast"/>
              <w:jc w:val="left"/>
              <w:rPr>
                <w:rFonts w:ascii="仿宋" w:hAnsi="仿宋" w:eastAsia="仿宋" w:cs="Arial"/>
                <w:sz w:val="28"/>
                <w:szCs w:val="28"/>
              </w:rPr>
            </w:pPr>
            <w:r>
              <w:rPr>
                <w:rFonts w:ascii="黑体" w:hAnsi="黑体" w:eastAsia="黑体" w:cs="Arial"/>
                <w:sz w:val="28"/>
                <w:szCs w:val="28"/>
              </w:rPr>
              <w:t>测试负责人：</w:t>
            </w:r>
          </w:p>
          <w:p>
            <w:pPr>
              <w:spacing w:before="60" w:after="60" w:line="0" w:lineRule="atLeast"/>
              <w:jc w:val="left"/>
              <w:rPr>
                <w:rFonts w:ascii="黑体" w:hAnsi="黑体" w:eastAsia="黑体" w:cs="Arial"/>
                <w:sz w:val="28"/>
                <w:szCs w:val="28"/>
              </w:rPr>
            </w:pPr>
            <w:r>
              <w:rPr>
                <w:rFonts w:ascii="仿宋" w:hAnsi="仿宋" w:eastAsia="仿宋"/>
                <w:sz w:val="28"/>
                <w:szCs w:val="28"/>
              </w:rPr>
              <w:br w:type="textWrapping"/>
            </w:r>
            <w:r>
              <w:rPr>
                <w:rFonts w:ascii="黑体" w:hAnsi="黑体" w:eastAsia="黑体" w:cs="Arial"/>
                <w:sz w:val="28"/>
                <w:szCs w:val="28"/>
              </w:rPr>
              <w:t>联系电话（固话和手机）：</w:t>
            </w:r>
          </w:p>
          <w:p>
            <w:pPr>
              <w:spacing w:before="60" w:after="60" w:line="0" w:lineRule="atLeast"/>
              <w:jc w:val="left"/>
              <w:rPr>
                <w:rFonts w:ascii="黑体" w:hAnsi="黑体" w:eastAsia="黑体" w:cs="Arial"/>
                <w:sz w:val="28"/>
                <w:szCs w:val="28"/>
              </w:rPr>
            </w:pPr>
          </w:p>
        </w:tc>
      </w:tr>
    </w:tbl>
    <w:p>
      <w:pPr>
        <w:spacing w:line="0" w:lineRule="atLeast"/>
      </w:pPr>
    </w:p>
    <w:p>
      <w:pPr>
        <w:spacing w:line="0" w:lineRule="atLeast"/>
      </w:pPr>
    </w:p>
    <w:p>
      <w:pPr>
        <w:spacing w:line="0" w:lineRule="atLeast"/>
        <w:rPr>
          <w:rFonts w:ascii="Times New Roman" w:hAnsi="Times New Roman" w:eastAsia="楷体" w:cs="Times New Roman"/>
          <w:sz w:val="24"/>
          <w:szCs w:val="28"/>
        </w:rPr>
      </w:pPr>
      <w:r>
        <w:br w:type="textWrapping"/>
      </w:r>
      <w:r>
        <w:rPr>
          <w:rFonts w:ascii="Times New Roman" w:hAnsi="Times New Roman" w:eastAsia="楷体" w:cs="Times New Roman"/>
          <w:sz w:val="24"/>
          <w:szCs w:val="28"/>
        </w:rPr>
        <w:t>注：测试结束后，各</w:t>
      </w:r>
      <w:r>
        <w:rPr>
          <w:rFonts w:hint="eastAsia" w:ascii="Times New Roman" w:hAnsi="Times New Roman" w:eastAsia="楷体" w:cs="Times New Roman"/>
          <w:sz w:val="24"/>
          <w:szCs w:val="28"/>
        </w:rPr>
        <w:t>证券公司、参测基金公司和信息商应收集各自</w:t>
      </w:r>
      <w:r>
        <w:rPr>
          <w:rFonts w:ascii="Times New Roman" w:hAnsi="Times New Roman" w:eastAsia="楷体" w:cs="Times New Roman"/>
          <w:sz w:val="24"/>
          <w:szCs w:val="28"/>
        </w:rPr>
        <w:t>技术系统的测试情况，</w:t>
      </w:r>
      <w:r>
        <w:rPr>
          <w:rFonts w:hint="eastAsia" w:ascii="Times New Roman" w:hAnsi="Times New Roman" w:eastAsia="楷体" w:cs="Times New Roman"/>
          <w:sz w:val="24"/>
          <w:szCs w:val="28"/>
        </w:rPr>
        <w:t>并于测试结束当日（2025年4月26日）20:</w:t>
      </w:r>
      <w:r>
        <w:rPr>
          <w:rFonts w:ascii="Times New Roman" w:hAnsi="Times New Roman" w:eastAsia="楷体" w:cs="Times New Roman"/>
          <w:sz w:val="24"/>
          <w:szCs w:val="28"/>
        </w:rPr>
        <w:t>00之前通过</w:t>
      </w:r>
      <w:r>
        <w:rPr>
          <w:rFonts w:hint="eastAsia" w:ascii="Times New Roman" w:hAnsi="Times New Roman" w:eastAsia="楷体" w:cs="Times New Roman"/>
          <w:sz w:val="24"/>
          <w:szCs w:val="28"/>
        </w:rPr>
        <w:t>电子邮件</w:t>
      </w:r>
      <w:r>
        <w:rPr>
          <w:rFonts w:ascii="Times New Roman" w:hAnsi="Times New Roman" w:eastAsia="楷体" w:cs="Times New Roman"/>
          <w:sz w:val="24"/>
          <w:szCs w:val="28"/>
        </w:rPr>
        <w:t>向</w:t>
      </w:r>
      <w:r>
        <w:rPr>
          <w:rFonts w:hint="eastAsia" w:ascii="Times New Roman" w:hAnsi="Times New Roman" w:eastAsia="楷体" w:cs="Times New Roman"/>
          <w:sz w:val="24"/>
          <w:szCs w:val="28"/>
        </w:rPr>
        <w:t>北交所</w:t>
      </w:r>
      <w:r>
        <w:rPr>
          <w:rFonts w:ascii="Times New Roman" w:hAnsi="Times New Roman" w:eastAsia="楷体" w:cs="Times New Roman"/>
          <w:sz w:val="24"/>
          <w:szCs w:val="28"/>
        </w:rPr>
        <w:t>提交测试报告（</w:t>
      </w:r>
      <w:r>
        <w:rPr>
          <w:rFonts w:hint="eastAsia" w:ascii="Times New Roman" w:hAnsi="Times New Roman" w:eastAsia="楷体" w:cs="Times New Roman"/>
          <w:sz w:val="24"/>
          <w:szCs w:val="28"/>
        </w:rPr>
        <w:t>无需盖章</w:t>
      </w:r>
      <w:r>
        <w:rPr>
          <w:rFonts w:ascii="Times New Roman" w:hAnsi="Times New Roman" w:eastAsia="楷体" w:cs="Times New Roman"/>
          <w:sz w:val="24"/>
          <w:szCs w:val="28"/>
        </w:rPr>
        <w:t>）</w:t>
      </w:r>
      <w:r>
        <w:rPr>
          <w:rFonts w:hint="eastAsia" w:ascii="Times New Roman" w:hAnsi="Times New Roman" w:eastAsia="楷体" w:cs="Times New Roman"/>
          <w:sz w:val="24"/>
          <w:szCs w:val="28"/>
        </w:rPr>
        <w:t>，</w:t>
      </w:r>
      <w:r>
        <w:rPr>
          <w:rFonts w:ascii="Times New Roman" w:hAnsi="Times New Roman" w:eastAsia="楷体" w:cs="Times New Roman"/>
          <w:sz w:val="24"/>
          <w:szCs w:val="28"/>
        </w:rPr>
        <w:t>邮件主题</w:t>
      </w:r>
      <w:r>
        <w:rPr>
          <w:rFonts w:hint="eastAsia" w:ascii="Times New Roman" w:hAnsi="Times New Roman" w:eastAsia="楷体" w:cs="Times New Roman"/>
          <w:sz w:val="24"/>
          <w:szCs w:val="28"/>
        </w:rPr>
        <w:t>和附件名称</w:t>
      </w:r>
      <w:r>
        <w:rPr>
          <w:rFonts w:ascii="Times New Roman" w:hAnsi="Times New Roman" w:eastAsia="楷体" w:cs="Times New Roman"/>
          <w:sz w:val="24"/>
          <w:szCs w:val="28"/>
        </w:rPr>
        <w:t>均为：</w:t>
      </w:r>
      <w:r>
        <w:rPr>
          <w:rFonts w:hint="eastAsia" w:ascii="Times New Roman" w:hAnsi="Times New Roman" w:eastAsia="楷体" w:cs="Times New Roman"/>
          <w:sz w:val="24"/>
          <w:szCs w:val="28"/>
        </w:rPr>
        <w:t>机构</w:t>
      </w:r>
      <w:r>
        <w:rPr>
          <w:rFonts w:ascii="Times New Roman" w:hAnsi="Times New Roman" w:eastAsia="楷体" w:cs="Times New Roman"/>
          <w:sz w:val="24"/>
          <w:szCs w:val="28"/>
        </w:rPr>
        <w:t>名称+</w:t>
      </w:r>
      <w:r>
        <w:rPr>
          <w:rFonts w:hint="eastAsia" w:ascii="Times New Roman" w:hAnsi="Times New Roman" w:eastAsia="楷体" w:cs="Times New Roman"/>
          <w:sz w:val="24"/>
          <w:szCs w:val="28"/>
        </w:rPr>
        <w:t>北交所存量上市公司代码切换（试点）</w:t>
      </w:r>
      <w:r>
        <w:rPr>
          <w:rFonts w:hint="eastAsia" w:ascii="Times New Roman" w:hAnsi="Times New Roman" w:eastAsia="楷体" w:cs="Times New Roman"/>
          <w:sz w:val="24"/>
          <w:szCs w:val="28"/>
          <w:lang w:val="en"/>
        </w:rPr>
        <w:t>第四次全网</w:t>
      </w:r>
      <w:r>
        <w:rPr>
          <w:rFonts w:ascii="Times New Roman" w:hAnsi="Times New Roman" w:eastAsia="楷体" w:cs="Times New Roman"/>
          <w:sz w:val="24"/>
          <w:szCs w:val="28"/>
        </w:rPr>
        <w:t>测试</w:t>
      </w:r>
      <w:r>
        <w:rPr>
          <w:rFonts w:hint="eastAsia" w:ascii="Times New Roman" w:hAnsi="Times New Roman" w:eastAsia="楷体" w:cs="Times New Roman"/>
          <w:sz w:val="24"/>
          <w:szCs w:val="28"/>
        </w:rPr>
        <w:t>报告，</w:t>
      </w:r>
      <w:r>
        <w:rPr>
          <w:rFonts w:ascii="Times New Roman" w:hAnsi="Times New Roman" w:eastAsia="楷体" w:cs="Times New Roman"/>
          <w:sz w:val="24"/>
          <w:szCs w:val="28"/>
        </w:rPr>
        <w:t>收件邮箱为</w:t>
      </w:r>
      <w:r>
        <w:rPr>
          <w:rFonts w:hint="eastAsia" w:ascii="Times New Roman" w:hAnsi="Times New Roman" w:eastAsia="楷体" w:cs="Times New Roman"/>
          <w:sz w:val="24"/>
          <w:szCs w:val="28"/>
        </w:rPr>
        <w:t>：</w:t>
      </w:r>
      <w:r>
        <w:fldChar w:fldCharType="begin"/>
      </w:r>
      <w:r>
        <w:instrText xml:space="preserve"> HYPERLINK "mailto:techservice@neeq.com.cn" </w:instrText>
      </w:r>
      <w:r>
        <w:fldChar w:fldCharType="separate"/>
      </w:r>
      <w:r>
        <w:rPr>
          <w:rFonts w:hint="eastAsia" w:ascii="Times New Roman" w:hAnsi="Times New Roman" w:eastAsia="楷体" w:cs="Times New Roman"/>
          <w:sz w:val="24"/>
          <w:szCs w:val="28"/>
        </w:rPr>
        <w:t>techservice@neeq.com.cn</w:t>
      </w:r>
      <w:r>
        <w:rPr>
          <w:rFonts w:hint="eastAsia" w:ascii="Times New Roman" w:hAnsi="Times New Roman" w:eastAsia="楷体" w:cs="Times New Roman"/>
          <w:sz w:val="24"/>
          <w:szCs w:val="28"/>
        </w:rPr>
        <w:fldChar w:fldCharType="end"/>
      </w:r>
      <w:r>
        <w:rPr>
          <w:rFonts w:ascii="Times New Roman" w:hAnsi="Times New Roman" w:eastAsia="楷体" w:cs="Times New Roman"/>
          <w:sz w:val="24"/>
          <w:szCs w:val="28"/>
        </w:rPr>
        <w:t>。</w:t>
      </w:r>
    </w:p>
    <w:sectPr>
      <w:headerReference r:id="rId3" w:type="default"/>
      <w:footerReference r:id="rId4" w:type="default"/>
      <w:footerReference r:id="rId5"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1691242"/>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791657584"/>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60BB8"/>
    <w:multiLevelType w:val="singleLevel"/>
    <w:tmpl w:val="F7E60BB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A8"/>
    <w:rsid w:val="00030C62"/>
    <w:rsid w:val="000F10B6"/>
    <w:rsid w:val="00130595"/>
    <w:rsid w:val="00255DDF"/>
    <w:rsid w:val="00322042"/>
    <w:rsid w:val="003A719A"/>
    <w:rsid w:val="003B4AA8"/>
    <w:rsid w:val="003E7A93"/>
    <w:rsid w:val="004C25E3"/>
    <w:rsid w:val="005258A4"/>
    <w:rsid w:val="0066266D"/>
    <w:rsid w:val="00671EAD"/>
    <w:rsid w:val="00681E6B"/>
    <w:rsid w:val="006F059A"/>
    <w:rsid w:val="00822087"/>
    <w:rsid w:val="008A6B97"/>
    <w:rsid w:val="009879A7"/>
    <w:rsid w:val="009879C6"/>
    <w:rsid w:val="00A55770"/>
    <w:rsid w:val="00AC6261"/>
    <w:rsid w:val="00AD31F1"/>
    <w:rsid w:val="00B75920"/>
    <w:rsid w:val="00C31BA5"/>
    <w:rsid w:val="00C56CE1"/>
    <w:rsid w:val="00C933F1"/>
    <w:rsid w:val="00C94C3D"/>
    <w:rsid w:val="00CA37AF"/>
    <w:rsid w:val="00D15D74"/>
    <w:rsid w:val="00D434A8"/>
    <w:rsid w:val="00D94A4E"/>
    <w:rsid w:val="00E35C9E"/>
    <w:rsid w:val="00E95E00"/>
    <w:rsid w:val="00EA38B3"/>
    <w:rsid w:val="00F20D72"/>
    <w:rsid w:val="00F44274"/>
    <w:rsid w:val="00FA39EC"/>
    <w:rsid w:val="03D9ACEF"/>
    <w:rsid w:val="0A772342"/>
    <w:rsid w:val="15796B0D"/>
    <w:rsid w:val="15CEFEA2"/>
    <w:rsid w:val="17FF0A54"/>
    <w:rsid w:val="1BFCE234"/>
    <w:rsid w:val="1DEC2A01"/>
    <w:rsid w:val="2F7F5BE9"/>
    <w:rsid w:val="31725D05"/>
    <w:rsid w:val="36FB5734"/>
    <w:rsid w:val="3799C458"/>
    <w:rsid w:val="3ABF3CAC"/>
    <w:rsid w:val="3BB29D43"/>
    <w:rsid w:val="3BBDC055"/>
    <w:rsid w:val="3BFF6F1D"/>
    <w:rsid w:val="3E969E0E"/>
    <w:rsid w:val="3EB377F2"/>
    <w:rsid w:val="3EBFCBF2"/>
    <w:rsid w:val="3EFF8A4B"/>
    <w:rsid w:val="3F7AE1CA"/>
    <w:rsid w:val="3F7F0C67"/>
    <w:rsid w:val="3FBCBDAD"/>
    <w:rsid w:val="3FD06DE2"/>
    <w:rsid w:val="3FDF8113"/>
    <w:rsid w:val="47FB12F6"/>
    <w:rsid w:val="4EDFCC35"/>
    <w:rsid w:val="4F5FD904"/>
    <w:rsid w:val="4FDF5ABD"/>
    <w:rsid w:val="4FDF99F5"/>
    <w:rsid w:val="4FFE035D"/>
    <w:rsid w:val="55FFF753"/>
    <w:rsid w:val="5757D02A"/>
    <w:rsid w:val="58D76499"/>
    <w:rsid w:val="5AF6E261"/>
    <w:rsid w:val="5DBF74CE"/>
    <w:rsid w:val="5EED6B51"/>
    <w:rsid w:val="5F7B0672"/>
    <w:rsid w:val="5F9E2A7E"/>
    <w:rsid w:val="5FE79210"/>
    <w:rsid w:val="5FFD4F20"/>
    <w:rsid w:val="5FFDE180"/>
    <w:rsid w:val="637FF77A"/>
    <w:rsid w:val="67DEB23D"/>
    <w:rsid w:val="6BAFB712"/>
    <w:rsid w:val="6BFF38C5"/>
    <w:rsid w:val="6E79CB86"/>
    <w:rsid w:val="6EBE9E74"/>
    <w:rsid w:val="6EFB9759"/>
    <w:rsid w:val="6FBD66D6"/>
    <w:rsid w:val="6FF7E4D9"/>
    <w:rsid w:val="71F7EEC8"/>
    <w:rsid w:val="735B3963"/>
    <w:rsid w:val="75FCE1AC"/>
    <w:rsid w:val="760F0B06"/>
    <w:rsid w:val="76EEC450"/>
    <w:rsid w:val="76FD742A"/>
    <w:rsid w:val="76FFA220"/>
    <w:rsid w:val="771EC0EB"/>
    <w:rsid w:val="777FD2E6"/>
    <w:rsid w:val="78F6AFEC"/>
    <w:rsid w:val="7953A586"/>
    <w:rsid w:val="797F0C6E"/>
    <w:rsid w:val="798FA1D2"/>
    <w:rsid w:val="79FD22D7"/>
    <w:rsid w:val="79FD7544"/>
    <w:rsid w:val="7ABF9DBB"/>
    <w:rsid w:val="7AF6780B"/>
    <w:rsid w:val="7AF77DEC"/>
    <w:rsid w:val="7BAFA833"/>
    <w:rsid w:val="7BBBE419"/>
    <w:rsid w:val="7BD98582"/>
    <w:rsid w:val="7BFCC625"/>
    <w:rsid w:val="7BFFA96A"/>
    <w:rsid w:val="7C7D7FA8"/>
    <w:rsid w:val="7CB6FC75"/>
    <w:rsid w:val="7D7227D4"/>
    <w:rsid w:val="7D72A174"/>
    <w:rsid w:val="7D7F7417"/>
    <w:rsid w:val="7DDD760B"/>
    <w:rsid w:val="7DFF9F52"/>
    <w:rsid w:val="7E4EA57D"/>
    <w:rsid w:val="7E8D9F15"/>
    <w:rsid w:val="7ED79364"/>
    <w:rsid w:val="7EF29645"/>
    <w:rsid w:val="7EF4C752"/>
    <w:rsid w:val="7F3F27A1"/>
    <w:rsid w:val="7F6F463C"/>
    <w:rsid w:val="7FAF9AD7"/>
    <w:rsid w:val="7FBBE7EA"/>
    <w:rsid w:val="7FBE3A51"/>
    <w:rsid w:val="7FC62354"/>
    <w:rsid w:val="7FC93388"/>
    <w:rsid w:val="7FD073FA"/>
    <w:rsid w:val="7FD7EA07"/>
    <w:rsid w:val="7FF50DB3"/>
    <w:rsid w:val="7FF9A52E"/>
    <w:rsid w:val="7FFA2750"/>
    <w:rsid w:val="7FFF0DEC"/>
    <w:rsid w:val="89970294"/>
    <w:rsid w:val="91FE0336"/>
    <w:rsid w:val="97D56C17"/>
    <w:rsid w:val="9FCDF9A5"/>
    <w:rsid w:val="A59FB5DB"/>
    <w:rsid w:val="A6EFC633"/>
    <w:rsid w:val="A7DD3774"/>
    <w:rsid w:val="ABFC9E86"/>
    <w:rsid w:val="AEAF0AAA"/>
    <w:rsid w:val="AFDE12FA"/>
    <w:rsid w:val="B674C3DB"/>
    <w:rsid w:val="B77DB465"/>
    <w:rsid w:val="B7F32B0E"/>
    <w:rsid w:val="BD7F5A36"/>
    <w:rsid w:val="BD9E1C52"/>
    <w:rsid w:val="BDDFBD9E"/>
    <w:rsid w:val="BDF45A77"/>
    <w:rsid w:val="BE7B697E"/>
    <w:rsid w:val="BEDA37F8"/>
    <w:rsid w:val="BEFF342F"/>
    <w:rsid w:val="BFF1E876"/>
    <w:rsid w:val="BFF7E74D"/>
    <w:rsid w:val="BFFF285B"/>
    <w:rsid w:val="BFFF6EAC"/>
    <w:rsid w:val="C6B7EA13"/>
    <w:rsid w:val="C7DF9328"/>
    <w:rsid w:val="C974431C"/>
    <w:rsid w:val="CDE9CF95"/>
    <w:rsid w:val="D1D70023"/>
    <w:rsid w:val="D61F5AD8"/>
    <w:rsid w:val="D757397D"/>
    <w:rsid w:val="DB5CECD3"/>
    <w:rsid w:val="DD3FC460"/>
    <w:rsid w:val="DD6B9DE1"/>
    <w:rsid w:val="DDEF2A55"/>
    <w:rsid w:val="DEFE5AB4"/>
    <w:rsid w:val="DF73F790"/>
    <w:rsid w:val="DFD9EB7B"/>
    <w:rsid w:val="DFDB83AF"/>
    <w:rsid w:val="DFFC362E"/>
    <w:rsid w:val="E7CB0401"/>
    <w:rsid w:val="E9671C18"/>
    <w:rsid w:val="EBEF2783"/>
    <w:rsid w:val="ECF73FF2"/>
    <w:rsid w:val="EED38A74"/>
    <w:rsid w:val="EEFCE7FC"/>
    <w:rsid w:val="EFD484EC"/>
    <w:rsid w:val="EFEEDEA2"/>
    <w:rsid w:val="EFF13165"/>
    <w:rsid w:val="EFFB909D"/>
    <w:rsid w:val="EFFF3FD4"/>
    <w:rsid w:val="F2FF5FB5"/>
    <w:rsid w:val="F4EEEC03"/>
    <w:rsid w:val="F6373D2C"/>
    <w:rsid w:val="F75747B0"/>
    <w:rsid w:val="F75C22CE"/>
    <w:rsid w:val="F776B7BF"/>
    <w:rsid w:val="F7AF9381"/>
    <w:rsid w:val="F7DD92E8"/>
    <w:rsid w:val="F7ED2D55"/>
    <w:rsid w:val="F96F22D0"/>
    <w:rsid w:val="F9EDE235"/>
    <w:rsid w:val="FAFDFBC3"/>
    <w:rsid w:val="FB0F7AAE"/>
    <w:rsid w:val="FB9FBBF1"/>
    <w:rsid w:val="FBBF32FA"/>
    <w:rsid w:val="FBCF5E67"/>
    <w:rsid w:val="FBCF8D47"/>
    <w:rsid w:val="FBFDCC5D"/>
    <w:rsid w:val="FBFF3E58"/>
    <w:rsid w:val="FD6F600B"/>
    <w:rsid w:val="FE2F5B5A"/>
    <w:rsid w:val="FE7D9353"/>
    <w:rsid w:val="FEB7E452"/>
    <w:rsid w:val="FECDA975"/>
    <w:rsid w:val="FEEFA429"/>
    <w:rsid w:val="FEF9B186"/>
    <w:rsid w:val="FEFEC111"/>
    <w:rsid w:val="FEFF4A26"/>
    <w:rsid w:val="FF599AE5"/>
    <w:rsid w:val="FF5B9A42"/>
    <w:rsid w:val="FF5F1E14"/>
    <w:rsid w:val="FF722301"/>
    <w:rsid w:val="FF9C9063"/>
    <w:rsid w:val="FFBD2464"/>
    <w:rsid w:val="FFC63734"/>
    <w:rsid w:val="FFEC1714"/>
    <w:rsid w:val="FFF61300"/>
    <w:rsid w:val="FFFB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ind w:firstLine="640" w:firstLineChars="200"/>
    </w:pPr>
    <w:rPr>
      <w:rFonts w:ascii="Calibri" w:hAnsi="Calibri" w:eastAsia="仿宋"/>
      <w:sz w:val="32"/>
    </w:r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246</Words>
  <Characters>1406</Characters>
  <Lines>11</Lines>
  <Paragraphs>3</Paragraphs>
  <TotalTime>0</TotalTime>
  <ScaleCrop>false</ScaleCrop>
  <LinksUpToDate>false</LinksUpToDate>
  <CharactersWithSpaces>1649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2022-09-27T15:42:00Z</dcterms:created>
  <dc:creator>张恒zh</dc:creator>
  <cp:lastModifiedBy>zhangyt</cp:lastModifiedBy>
  <dcterms:modified xsi:type="dcterms:W3CDTF">2025-04-21T18:11:22Z</dcterms:modified>
  <dc:title>北证办发〔2023〕X号附件2</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