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4" w:line="440" w:lineRule="exact"/>
        <w:ind w:firstLine="0" w:firstLineChars="0"/>
        <w:rPr>
          <w:rFonts w:eastAsia="黑体" w:cs="Times New Roman"/>
          <w:color w:val="000000" w:themeColor="text1"/>
          <w:sz w:val="32"/>
          <w:szCs w:val="32"/>
          <w14:textFill>
            <w14:solidFill>
              <w14:schemeClr w14:val="tx1"/>
            </w14:solidFill>
          </w14:textFill>
        </w:rPr>
      </w:pPr>
      <w:r>
        <w:rPr>
          <w:rFonts w:eastAsia="黑体" w:cs="Times New Roman"/>
          <w:color w:val="000000" w:themeColor="text1"/>
          <w:sz w:val="32"/>
          <w:szCs w:val="32"/>
          <w14:textFill>
            <w14:solidFill>
              <w14:schemeClr w14:val="tx1"/>
            </w14:solidFill>
          </w14:textFill>
        </w:rPr>
        <w:t>北证办发〔2025〕25号附件1</w:t>
      </w:r>
    </w:p>
    <w:p>
      <w:pPr>
        <w:spacing w:line="240" w:lineRule="auto"/>
        <w:ind w:firstLine="720"/>
        <w:jc w:val="both"/>
        <w:rPr>
          <w:rFonts w:ascii="方正大标宋简体" w:eastAsia="方正大标宋简体" w:cs="Times New Roman"/>
          <w:color w:val="000000" w:themeColor="text1"/>
          <w:sz w:val="36"/>
          <w14:textFill>
            <w14:solidFill>
              <w14:schemeClr w14:val="tx1"/>
            </w14:solidFill>
          </w14:textFill>
        </w:rPr>
      </w:pPr>
    </w:p>
    <w:p>
      <w:pPr>
        <w:spacing w:line="240" w:lineRule="auto"/>
        <w:ind w:firstLine="720"/>
        <w:jc w:val="both"/>
        <w:rPr>
          <w:rFonts w:ascii="方正大标宋简体" w:eastAsia="方正大标宋简体" w:cs="Times New Roman"/>
          <w:color w:val="000000" w:themeColor="text1"/>
          <w:sz w:val="36"/>
          <w:szCs w:val="36"/>
          <w14:textFill>
            <w14:solidFill>
              <w14:schemeClr w14:val="tx1"/>
            </w14:solidFill>
          </w14:textFill>
        </w:rPr>
      </w:pPr>
    </w:p>
    <w:p>
      <w:pPr>
        <w:tabs>
          <w:tab w:val="left" w:pos="4200"/>
        </w:tabs>
        <w:spacing w:line="240" w:lineRule="auto"/>
        <w:ind w:firstLine="0" w:firstLineChars="0"/>
        <w:jc w:val="center"/>
        <w:rPr>
          <w:rFonts w:ascii="方正大标宋简体" w:eastAsia="方正大标宋简体" w:cs="Times New Roman"/>
          <w:color w:val="000000" w:themeColor="text1"/>
          <w:sz w:val="44"/>
          <w:szCs w:val="44"/>
          <w14:textFill>
            <w14:solidFill>
              <w14:schemeClr w14:val="tx1"/>
            </w14:solidFill>
          </w14:textFill>
        </w:rPr>
      </w:pPr>
      <w:r>
        <w:rPr>
          <w:rFonts w:hint="eastAsia" w:ascii="方正大标宋简体" w:eastAsia="方正大标宋简体" w:cs="Times New Roman"/>
          <w:color w:val="000000" w:themeColor="text1"/>
          <w:sz w:val="44"/>
          <w:szCs w:val="44"/>
          <w14:textFill>
            <w14:solidFill>
              <w14:schemeClr w14:val="tx1"/>
            </w14:solidFill>
          </w14:textFill>
        </w:rPr>
        <w:t>北京证券交易所</w:t>
      </w:r>
      <w:r>
        <w:rPr>
          <w:rFonts w:ascii="方正大标宋简体" w:eastAsia="方正大标宋简体" w:cs="Times New Roman"/>
          <w:color w:val="000000" w:themeColor="text1"/>
          <w:sz w:val="44"/>
          <w:szCs w:val="44"/>
          <w14:textFill>
            <w14:solidFill>
              <w14:schemeClr w14:val="tx1"/>
            </w14:solidFill>
          </w14:textFill>
        </w:rPr>
        <w:t>存量上市公司</w:t>
      </w:r>
      <w:r>
        <w:rPr>
          <w:rFonts w:hint="eastAsia" w:ascii="方正大标宋简体" w:eastAsia="方正大标宋简体" w:cs="Times New Roman"/>
          <w:color w:val="000000" w:themeColor="text1"/>
          <w:sz w:val="44"/>
          <w:szCs w:val="44"/>
          <w14:textFill>
            <w14:solidFill>
              <w14:schemeClr w14:val="tx1"/>
            </w14:solidFill>
          </w14:textFill>
        </w:rPr>
        <w:t>证券</w:t>
      </w:r>
      <w:r>
        <w:rPr>
          <w:rFonts w:ascii="方正大标宋简体" w:eastAsia="方正大标宋简体" w:cs="Times New Roman"/>
          <w:color w:val="000000" w:themeColor="text1"/>
          <w:sz w:val="44"/>
          <w:szCs w:val="44"/>
          <w14:textFill>
            <w14:solidFill>
              <w14:schemeClr w14:val="tx1"/>
            </w14:solidFill>
          </w14:textFill>
        </w:rPr>
        <w:t>代码</w:t>
      </w:r>
    </w:p>
    <w:p>
      <w:pPr>
        <w:tabs>
          <w:tab w:val="left" w:pos="4200"/>
        </w:tabs>
        <w:spacing w:line="240" w:lineRule="auto"/>
        <w:ind w:firstLine="0" w:firstLineChars="0"/>
        <w:jc w:val="center"/>
        <w:rPr>
          <w:rFonts w:ascii="方正大标宋简体" w:eastAsia="方正大标宋简体" w:cs="Times New Roman"/>
          <w:color w:val="000000" w:themeColor="text1"/>
          <w:sz w:val="44"/>
          <w:szCs w:val="44"/>
          <w14:textFill>
            <w14:solidFill>
              <w14:schemeClr w14:val="tx1"/>
            </w14:solidFill>
          </w14:textFill>
        </w:rPr>
      </w:pPr>
      <w:r>
        <w:rPr>
          <w:rFonts w:ascii="方正大标宋简体" w:eastAsia="方正大标宋简体" w:cs="Times New Roman"/>
          <w:color w:val="000000" w:themeColor="text1"/>
          <w:sz w:val="44"/>
          <w:szCs w:val="44"/>
          <w14:textFill>
            <w14:solidFill>
              <w14:schemeClr w14:val="tx1"/>
            </w14:solidFill>
          </w14:textFill>
        </w:rPr>
        <w:t>切换</w:t>
      </w:r>
      <w:r>
        <w:rPr>
          <w:rFonts w:hint="eastAsia" w:ascii="方正大标宋简体" w:eastAsia="方正大标宋简体" w:cs="Times New Roman"/>
          <w:color w:val="000000" w:themeColor="text1"/>
          <w:sz w:val="44"/>
          <w:szCs w:val="44"/>
          <w14:textFill>
            <w14:solidFill>
              <w14:schemeClr w14:val="tx1"/>
            </w14:solidFill>
          </w14:textFill>
        </w:rPr>
        <w:t>（试点）第三次全网测试方案</w:t>
      </w:r>
    </w:p>
    <w:p>
      <w:pPr>
        <w:tabs>
          <w:tab w:val="left" w:pos="4200"/>
        </w:tabs>
        <w:spacing w:line="240" w:lineRule="auto"/>
        <w:ind w:firstLine="880"/>
        <w:jc w:val="center"/>
        <w:rPr>
          <w:rFonts w:ascii="方正大标宋简体" w:eastAsia="方正大标宋简体" w:cs="Times New Roman"/>
          <w:color w:val="000000" w:themeColor="text1"/>
          <w:sz w:val="44"/>
          <w:szCs w:val="44"/>
          <w14:textFill>
            <w14:solidFill>
              <w14:schemeClr w14:val="tx1"/>
            </w14:solidFill>
          </w14:textFill>
        </w:rPr>
      </w:pPr>
    </w:p>
    <w:p>
      <w:pPr>
        <w:tabs>
          <w:tab w:val="left" w:pos="4200"/>
        </w:tabs>
        <w:spacing w:line="240" w:lineRule="auto"/>
        <w:ind w:firstLine="880"/>
        <w:jc w:val="center"/>
        <w:rPr>
          <w:rFonts w:ascii="方正大标宋简体" w:eastAsia="方正大标宋简体" w:cs="Times New Roman"/>
          <w:color w:val="000000" w:themeColor="text1"/>
          <w:sz w:val="44"/>
          <w:szCs w:val="44"/>
          <w14:textFill>
            <w14:solidFill>
              <w14:schemeClr w14:val="tx1"/>
            </w14:solidFill>
          </w14:textFill>
        </w:rPr>
      </w:pPr>
    </w:p>
    <w:p>
      <w:pPr>
        <w:tabs>
          <w:tab w:val="left" w:pos="4200"/>
        </w:tabs>
        <w:spacing w:line="240" w:lineRule="auto"/>
        <w:ind w:firstLine="720"/>
        <w:rPr>
          <w:rFonts w:ascii="方正大标宋简体" w:eastAsia="方正大标宋简体" w:cs="Times New Roman"/>
          <w:color w:val="000000" w:themeColor="text1"/>
          <w:sz w:val="36"/>
          <w14:textFill>
            <w14:solidFill>
              <w14:schemeClr w14:val="tx1"/>
            </w14:solidFill>
          </w14:textFill>
        </w:rPr>
      </w:pPr>
    </w:p>
    <w:p>
      <w:pPr>
        <w:spacing w:line="240" w:lineRule="auto"/>
        <w:ind w:firstLine="64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北京证券交易所</w:t>
      </w:r>
    </w:p>
    <w:p>
      <w:pPr>
        <w:spacing w:line="240" w:lineRule="auto"/>
        <w:ind w:firstLine="64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全国中小企业股份转让系统有限责任公司</w:t>
      </w:r>
    </w:p>
    <w:p>
      <w:pPr>
        <w:spacing w:line="240" w:lineRule="auto"/>
        <w:ind w:firstLine="64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深圳证券通信有限公司</w:t>
      </w:r>
    </w:p>
    <w:p>
      <w:pPr>
        <w:spacing w:line="240" w:lineRule="auto"/>
        <w:ind w:left="840" w:firstLine="640"/>
        <w:jc w:val="center"/>
        <w:rPr>
          <w:rFonts w:ascii="方正大标宋简体" w:eastAsia="方正大标宋简体" w:cs="Times New Roman"/>
          <w:color w:val="000000" w:themeColor="text1"/>
          <w:sz w:val="32"/>
          <w14:textFill>
            <w14:solidFill>
              <w14:schemeClr w14:val="tx1"/>
            </w14:solidFill>
          </w14:textFill>
        </w:rPr>
      </w:pPr>
    </w:p>
    <w:p>
      <w:pPr>
        <w:spacing w:line="240" w:lineRule="auto"/>
        <w:ind w:firstLine="64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二</w:t>
      </w:r>
      <w:r>
        <w:rPr>
          <w:rFonts w:hint="eastAsia" w:ascii="宋体" w:hAnsi="宋体" w:eastAsia="宋体" w:cs="宋体"/>
          <w:color w:val="000000" w:themeColor="text1"/>
          <w:sz w:val="32"/>
          <w14:textFill>
            <w14:solidFill>
              <w14:schemeClr w14:val="tx1"/>
            </w14:solidFill>
          </w14:textFill>
        </w:rPr>
        <w:t>〇</w:t>
      </w:r>
      <w:r>
        <w:rPr>
          <w:rFonts w:hint="eastAsia" w:ascii="方正大标宋简体" w:eastAsia="方正大标宋简体" w:cs="Times New Roman"/>
          <w:color w:val="000000" w:themeColor="text1"/>
          <w:sz w:val="32"/>
          <w14:textFill>
            <w14:solidFill>
              <w14:schemeClr w14:val="tx1"/>
            </w14:solidFill>
          </w14:textFill>
        </w:rPr>
        <w:t>二五年三月</w:t>
      </w:r>
    </w:p>
    <w:p>
      <w:pPr>
        <w:tabs>
          <w:tab w:val="center" w:pos="4153"/>
          <w:tab w:val="left" w:pos="5595"/>
        </w:tabs>
        <w:spacing w:before="144"/>
        <w:ind w:firstLine="643"/>
        <w:rPr>
          <w:rFonts w:eastAsia="方正仿宋简体" w:cs="Times New Roman"/>
          <w:b/>
          <w:color w:val="000000" w:themeColor="text1"/>
          <w:sz w:val="28"/>
          <w14:textFill>
            <w14:solidFill>
              <w14:schemeClr w14:val="tx1"/>
            </w14:solidFill>
          </w14:textFill>
        </w:rPr>
      </w:pPr>
      <w:r>
        <w:rPr>
          <w:rFonts w:eastAsia="方正仿宋简体" w:cs="Times New Roman"/>
          <w:b/>
          <w:color w:val="000000" w:themeColor="text1"/>
          <w:sz w:val="32"/>
          <w14:textFill>
            <w14:solidFill>
              <w14:schemeClr w14:val="tx1"/>
            </w14:solidFill>
          </w14:textFill>
        </w:rPr>
        <w:br w:type="page"/>
      </w:r>
      <w:r>
        <w:rPr>
          <w:rFonts w:eastAsia="方正仿宋简体" w:cs="Times New Roman"/>
          <w:b/>
          <w:color w:val="000000" w:themeColor="text1"/>
          <w:sz w:val="32"/>
          <w14:textFill>
            <w14:solidFill>
              <w14:schemeClr w14:val="tx1"/>
            </w14:solidFill>
          </w14:textFill>
        </w:rPr>
        <w:tab/>
      </w:r>
      <w:r>
        <w:rPr>
          <w:rFonts w:eastAsia="方正仿宋简体" w:cs="Times New Roman"/>
          <w:b/>
          <w:color w:val="000000" w:themeColor="text1"/>
          <w:sz w:val="28"/>
          <w14:textFill>
            <w14:solidFill>
              <w14:schemeClr w14:val="tx1"/>
            </w14:solidFill>
          </w14:textFill>
        </w:rPr>
        <w:t>关于本文档</w:t>
      </w:r>
      <w:r>
        <w:rPr>
          <w:rFonts w:eastAsia="方正仿宋简体" w:cs="Times New Roman"/>
          <w:b/>
          <w:color w:val="000000" w:themeColor="text1"/>
          <w:sz w:val="28"/>
          <w14:textFill>
            <w14:solidFill>
              <w14:schemeClr w14:val="tx1"/>
            </w14:solidFill>
          </w14:textFill>
        </w:rPr>
        <w:tab/>
      </w:r>
    </w:p>
    <w:p>
      <w:pPr>
        <w:spacing w:before="144"/>
        <w:ind w:firstLine="480"/>
        <w:jc w:val="center"/>
        <w:rPr>
          <w:rFonts w:eastAsia="方正仿宋简体" w:cs="Times New Roman"/>
          <w:color w:val="000000" w:themeColor="text1"/>
          <w14:textFill>
            <w14:solidFill>
              <w14:schemeClr w14:val="tx1"/>
            </w14:solidFill>
          </w14:textFill>
        </w:rPr>
      </w:pPr>
    </w:p>
    <w:tbl>
      <w:tblPr>
        <w:tblStyle w:val="37"/>
        <w:tblW w:w="8505" w:type="dxa"/>
        <w:jc w:val="center"/>
        <w:tblLayout w:type="fixed"/>
        <w:tblCellMar>
          <w:top w:w="0" w:type="dxa"/>
          <w:left w:w="108" w:type="dxa"/>
          <w:bottom w:w="0" w:type="dxa"/>
          <w:right w:w="108" w:type="dxa"/>
        </w:tblCellMar>
      </w:tblPr>
      <w:tblGrid>
        <w:gridCol w:w="1314"/>
        <w:gridCol w:w="1805"/>
        <w:gridCol w:w="5386"/>
      </w:tblGrid>
      <w:tr>
        <w:tblPrEx>
          <w:tblCellMar>
            <w:top w:w="0" w:type="dxa"/>
            <w:left w:w="108" w:type="dxa"/>
            <w:bottom w:w="0" w:type="dxa"/>
            <w:right w:w="108" w:type="dxa"/>
          </w:tblCellMar>
        </w:tblPrEx>
        <w:trPr>
          <w:cantSplit/>
          <w:jc w:val="center"/>
        </w:trPr>
        <w:tc>
          <w:tcPr>
            <w:tcW w:w="1314" w:type="dxa"/>
            <w:tcBorders>
              <w:top w:val="double" w:color="auto" w:sz="4" w:space="0"/>
              <w:left w:val="double" w:color="auto" w:sz="4" w:space="0"/>
              <w:bottom w:val="single" w:color="auto" w:sz="6" w:space="0"/>
              <w:right w:val="single" w:color="auto" w:sz="6"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文档名称</w:t>
            </w:r>
          </w:p>
        </w:tc>
        <w:tc>
          <w:tcPr>
            <w:tcW w:w="7191" w:type="dxa"/>
            <w:gridSpan w:val="2"/>
            <w:tcBorders>
              <w:top w:val="double" w:color="auto" w:sz="4" w:space="0"/>
              <w:left w:val="single" w:color="auto" w:sz="6" w:space="0"/>
              <w:bottom w:val="single" w:color="auto" w:sz="6" w:space="0"/>
              <w:right w:val="double" w:color="auto" w:sz="4" w:space="0"/>
            </w:tcBorders>
            <w:vAlign w:val="center"/>
          </w:tcPr>
          <w:p>
            <w:pPr>
              <w:pStyle w:val="75"/>
              <w:spacing w:before="187"/>
              <w:ind w:firstLine="0" w:firstLineChars="0"/>
              <w:rPr>
                <w:rFonts w:ascii="Times New Roman" w:hAnsi="Times New Roman" w:eastAsia="方正仿宋简体"/>
                <w:color w:val="000000" w:themeColor="text1"/>
                <w:szCs w:val="24"/>
                <w14:textFill>
                  <w14:solidFill>
                    <w14:schemeClr w14:val="tx1"/>
                  </w14:solidFill>
                </w14:textFill>
              </w:rPr>
            </w:pPr>
            <w:r>
              <w:rPr>
                <w:rFonts w:hint="eastAsia" w:ascii="Times New Roman" w:hAnsi="Times New Roman" w:eastAsia="方正仿宋简体"/>
                <w:color w:val="000000" w:themeColor="text1"/>
                <w:szCs w:val="24"/>
                <w14:textFill>
                  <w14:solidFill>
                    <w14:schemeClr w14:val="tx1"/>
                  </w14:solidFill>
                </w14:textFill>
              </w:rPr>
              <w:t>北京证券交易所存量上市公司证券代码切换（试点）第三次全网测试方案</w:t>
            </w:r>
          </w:p>
        </w:tc>
      </w:tr>
      <w:tr>
        <w:tblPrEx>
          <w:tblCellMar>
            <w:top w:w="0" w:type="dxa"/>
            <w:left w:w="108" w:type="dxa"/>
            <w:bottom w:w="0" w:type="dxa"/>
            <w:right w:w="108" w:type="dxa"/>
          </w:tblCellMar>
        </w:tblPrEx>
        <w:trPr>
          <w:cantSplit/>
          <w:jc w:val="center"/>
        </w:trPr>
        <w:tc>
          <w:tcPr>
            <w:tcW w:w="1314" w:type="dxa"/>
            <w:tcBorders>
              <w:top w:val="single" w:color="auto" w:sz="6" w:space="0"/>
              <w:left w:val="double" w:color="auto" w:sz="4" w:space="0"/>
              <w:bottom w:val="double" w:color="auto" w:sz="4" w:space="0"/>
              <w:right w:val="single" w:color="auto" w:sz="6"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说明</w:t>
            </w:r>
          </w:p>
        </w:tc>
        <w:tc>
          <w:tcPr>
            <w:tcW w:w="7191" w:type="dxa"/>
            <w:gridSpan w:val="2"/>
            <w:tcBorders>
              <w:top w:val="single" w:color="auto" w:sz="6" w:space="0"/>
              <w:left w:val="single" w:color="auto" w:sz="6" w:space="0"/>
              <w:bottom w:val="double" w:color="auto" w:sz="4" w:space="0"/>
              <w:right w:val="double" w:color="auto" w:sz="4" w:space="0"/>
            </w:tcBorders>
            <w:vAlign w:val="center"/>
          </w:tcPr>
          <w:p>
            <w:pPr>
              <w:pStyle w:val="75"/>
              <w:spacing w:before="187"/>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jc w:val="center"/>
        </w:trPr>
        <w:tc>
          <w:tcPr>
            <w:tcW w:w="8505" w:type="dxa"/>
            <w:gridSpan w:val="3"/>
            <w:tcBorders>
              <w:top w:val="double" w:color="auto" w:sz="4" w:space="0"/>
              <w:left w:val="double" w:color="auto" w:sz="4" w:space="0"/>
              <w:bottom w:val="single" w:color="auto" w:sz="4" w:space="0"/>
              <w:right w:val="double" w:color="auto" w:sz="4"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修订历史</w:t>
            </w:r>
          </w:p>
        </w:tc>
      </w:tr>
      <w:tr>
        <w:tblPrEx>
          <w:tblCellMar>
            <w:top w:w="0" w:type="dxa"/>
            <w:left w:w="108" w:type="dxa"/>
            <w:bottom w:w="0" w:type="dxa"/>
            <w:right w:w="108" w:type="dxa"/>
          </w:tblCellMar>
        </w:tblPrEx>
        <w:trPr>
          <w:cantSplit/>
          <w:jc w:val="center"/>
        </w:trPr>
        <w:tc>
          <w:tcPr>
            <w:tcW w:w="1314" w:type="dxa"/>
            <w:tcBorders>
              <w:top w:val="single" w:color="auto" w:sz="4" w:space="0"/>
              <w:left w:val="double" w:color="auto" w:sz="4" w:space="0"/>
              <w:bottom w:val="single" w:color="auto" w:sz="4" w:space="0"/>
              <w:right w:val="single" w:color="auto" w:sz="4" w:space="0"/>
            </w:tcBorders>
            <w:shd w:val="clear" w:color="auto" w:fill="CCCCCC"/>
          </w:tcPr>
          <w:p>
            <w:pPr>
              <w:pStyle w:val="76"/>
              <w:spacing w:before="187"/>
              <w:ind w:firstLine="197" w:firstLineChars="82"/>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版本号</w:t>
            </w:r>
          </w:p>
        </w:tc>
        <w:tc>
          <w:tcPr>
            <w:tcW w:w="1805" w:type="dxa"/>
            <w:tcBorders>
              <w:top w:val="single" w:color="auto" w:sz="4" w:space="0"/>
              <w:left w:val="single" w:color="auto" w:sz="4" w:space="0"/>
              <w:bottom w:val="single" w:color="auto" w:sz="4" w:space="0"/>
              <w:right w:val="single" w:color="auto" w:sz="4"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修改日期</w:t>
            </w:r>
          </w:p>
        </w:tc>
        <w:tc>
          <w:tcPr>
            <w:tcW w:w="5386" w:type="dxa"/>
            <w:tcBorders>
              <w:top w:val="single" w:color="auto" w:sz="4" w:space="0"/>
              <w:left w:val="single" w:color="auto" w:sz="4" w:space="0"/>
              <w:bottom w:val="single" w:color="auto" w:sz="4" w:space="0"/>
              <w:right w:val="double" w:color="auto" w:sz="4"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修改说明</w:t>
            </w: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vAlign w:val="center"/>
          </w:tcPr>
          <w:p>
            <w:pPr>
              <w:pStyle w:val="75"/>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V1.0</w:t>
            </w:r>
          </w:p>
        </w:tc>
        <w:tc>
          <w:tcPr>
            <w:tcW w:w="1805" w:type="dxa"/>
            <w:tcBorders>
              <w:top w:val="single" w:color="auto" w:sz="4" w:space="0"/>
              <w:left w:val="single" w:color="auto" w:sz="4" w:space="0"/>
              <w:bottom w:val="single" w:color="auto" w:sz="4" w:space="0"/>
              <w:right w:val="single" w:color="auto" w:sz="4" w:space="0"/>
            </w:tcBorders>
            <w:vAlign w:val="center"/>
          </w:tcPr>
          <w:p>
            <w:pPr>
              <w:pStyle w:val="75"/>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202</w:t>
            </w:r>
            <w:r>
              <w:rPr>
                <w:rFonts w:hint="eastAsia" w:ascii="Times New Roman" w:hAnsi="Times New Roman" w:eastAsia="方正仿宋简体"/>
                <w:color w:val="000000" w:themeColor="text1"/>
                <w14:textFill>
                  <w14:solidFill>
                    <w14:schemeClr w14:val="tx1"/>
                  </w14:solidFill>
                </w14:textFill>
              </w:rPr>
              <w:t>5</w:t>
            </w:r>
            <w:r>
              <w:rPr>
                <w:rFonts w:ascii="Times New Roman" w:hAnsi="Times New Roman" w:eastAsia="方正仿宋简体"/>
                <w:color w:val="000000" w:themeColor="text1"/>
                <w14:textFill>
                  <w14:solidFill>
                    <w14:schemeClr w14:val="tx1"/>
                  </w14:solidFill>
                </w14:textFill>
              </w:rPr>
              <w:t>.</w:t>
            </w:r>
            <w:r>
              <w:rPr>
                <w:rFonts w:hint="eastAsia" w:ascii="Times New Roman" w:hAnsi="Times New Roman" w:eastAsia="方正仿宋简体"/>
                <w:color w:val="000000" w:themeColor="text1"/>
                <w14:textFill>
                  <w14:solidFill>
                    <w14:schemeClr w14:val="tx1"/>
                  </w14:solidFill>
                </w14:textFill>
              </w:rPr>
              <w:t>3</w:t>
            </w:r>
            <w:r>
              <w:rPr>
                <w:rFonts w:ascii="Times New Roman" w:hAnsi="Times New Roman" w:eastAsia="方正仿宋简体"/>
                <w:color w:val="000000" w:themeColor="text1"/>
                <w14:textFill>
                  <w14:solidFill>
                    <w14:schemeClr w14:val="tx1"/>
                  </w14:solidFill>
                </w14:textFill>
              </w:rPr>
              <w:t>.</w:t>
            </w:r>
            <w:r>
              <w:rPr>
                <w:rFonts w:hint="eastAsia" w:ascii="Times New Roman" w:hAnsi="Times New Roman" w:eastAsia="方正仿宋简体"/>
                <w:color w:val="000000" w:themeColor="text1"/>
                <w14:textFill>
                  <w14:solidFill>
                    <w14:schemeClr w14:val="tx1"/>
                  </w14:solidFill>
                </w14:textFill>
              </w:rPr>
              <w:t>15</w:t>
            </w: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创建本文档</w:t>
            </w:r>
          </w:p>
        </w:tc>
      </w:tr>
      <w:tr>
        <w:tblPrEx>
          <w:tblCellMar>
            <w:top w:w="0" w:type="dxa"/>
            <w:left w:w="108" w:type="dxa"/>
            <w:bottom w:w="0" w:type="dxa"/>
            <w:right w:w="108" w:type="dxa"/>
          </w:tblCellMar>
        </w:tblPrEx>
        <w:trPr>
          <w:cantSplit/>
          <w:trHeight w:val="429" w:hRule="atLeast"/>
          <w:jc w:val="center"/>
        </w:trPr>
        <w:tc>
          <w:tcPr>
            <w:tcW w:w="1314"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vAlign w:val="center"/>
          </w:tcPr>
          <w:p>
            <w:pPr>
              <w:pStyle w:val="75"/>
              <w:ind w:firstLine="199" w:firstLineChars="83"/>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29" w:hRule="atLeast"/>
          <w:jc w:val="center"/>
        </w:trPr>
        <w:tc>
          <w:tcPr>
            <w:tcW w:w="1314"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doub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doub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doub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bl>
    <w:p>
      <w:pPr>
        <w:spacing w:before="187" w:line="480" w:lineRule="auto"/>
        <w:ind w:firstLine="560"/>
        <w:rPr>
          <w:rFonts w:eastAsia="方正仿宋简体" w:cs="Times New Roman"/>
          <w:color w:val="000000" w:themeColor="text1"/>
          <w:sz w:val="28"/>
          <w:szCs w:val="28"/>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pageBreakBefore/>
        <w:spacing w:before="187" w:after="156" w:afterLines="50"/>
        <w:ind w:firstLine="723"/>
        <w:jc w:val="center"/>
        <w:rPr>
          <w:rFonts w:eastAsia="方正仿宋简体" w:cs="Times New Roman"/>
          <w:b/>
          <w:bCs/>
          <w:color w:val="000000" w:themeColor="text1"/>
          <w:sz w:val="36"/>
          <w:szCs w:val="24"/>
          <w14:textFill>
            <w14:solidFill>
              <w14:schemeClr w14:val="tx1"/>
            </w14:solidFill>
          </w14:textFill>
        </w:rPr>
      </w:pPr>
      <w:r>
        <w:rPr>
          <w:rFonts w:eastAsia="方正仿宋简体" w:cs="Times New Roman"/>
          <w:b/>
          <w:bCs/>
          <w:color w:val="000000" w:themeColor="text1"/>
          <w:sz w:val="36"/>
          <w:szCs w:val="24"/>
          <w14:textFill>
            <w14:solidFill>
              <w14:schemeClr w14:val="tx1"/>
            </w14:solidFill>
          </w14:textFill>
        </w:rPr>
        <w:t>目   录</w:t>
      </w:r>
    </w:p>
    <w:p>
      <w:pPr>
        <w:pStyle w:val="26"/>
        <w:tabs>
          <w:tab w:val="right" w:leader="dot" w:pos="8306"/>
        </w:tabs>
        <w:ind w:firstLine="480"/>
      </w:pPr>
      <w:r>
        <w:rPr>
          <w:rStyle w:val="44"/>
        </w:rPr>
        <w:fldChar w:fldCharType="begin"/>
      </w:r>
      <w:r>
        <w:rPr>
          <w:rStyle w:val="44"/>
          <w:rFonts w:eastAsia="方正仿宋简体"/>
        </w:rPr>
        <w:instrText xml:space="preserve"> TOC \o "1-3" \h \z \u </w:instrText>
      </w:r>
      <w:r>
        <w:rPr>
          <w:rStyle w:val="44"/>
        </w:rPr>
        <w:fldChar w:fldCharType="separate"/>
      </w:r>
      <w:r>
        <w:fldChar w:fldCharType="begin"/>
      </w:r>
      <w:r>
        <w:instrText xml:space="preserve"> HYPERLINK \l "_Toc934549764" </w:instrText>
      </w:r>
      <w:r>
        <w:fldChar w:fldCharType="separate"/>
      </w:r>
      <w:r>
        <w:t>一</w:t>
      </w:r>
      <w:r>
        <w:rPr>
          <w:rFonts w:hint="eastAsia"/>
        </w:rPr>
        <w:t>、</w:t>
      </w:r>
      <w:r>
        <w:t>测试目的和背景</w:t>
      </w:r>
      <w:r>
        <w:tab/>
      </w:r>
      <w:r>
        <w:fldChar w:fldCharType="begin"/>
      </w:r>
      <w:r>
        <w:instrText xml:space="preserve"> PAGEREF _Toc934549764 </w:instrText>
      </w:r>
      <w:r>
        <w:fldChar w:fldCharType="separate"/>
      </w:r>
      <w:r>
        <w:t>- 4 -</w:t>
      </w:r>
      <w:r>
        <w:fldChar w:fldCharType="end"/>
      </w:r>
      <w:r>
        <w:fldChar w:fldCharType="end"/>
      </w:r>
    </w:p>
    <w:p>
      <w:pPr>
        <w:pStyle w:val="26"/>
        <w:tabs>
          <w:tab w:val="right" w:leader="dot" w:pos="8306"/>
        </w:tabs>
        <w:ind w:firstLine="480"/>
      </w:pPr>
      <w:r>
        <w:fldChar w:fldCharType="begin"/>
      </w:r>
      <w:r>
        <w:instrText xml:space="preserve"> HYPERLINK \l "_Toc421043920" </w:instrText>
      </w:r>
      <w:r>
        <w:fldChar w:fldCharType="separate"/>
      </w:r>
      <w:r>
        <w:t>二</w:t>
      </w:r>
      <w:r>
        <w:rPr>
          <w:rFonts w:hint="eastAsia"/>
        </w:rPr>
        <w:t>、</w:t>
      </w:r>
      <w:r>
        <w:t>参测</w:t>
      </w:r>
      <w:r>
        <w:rPr>
          <w:rFonts w:hint="eastAsia"/>
        </w:rPr>
        <w:t>机构</w:t>
      </w:r>
      <w:r>
        <w:tab/>
      </w:r>
      <w:r>
        <w:fldChar w:fldCharType="begin"/>
      </w:r>
      <w:r>
        <w:instrText xml:space="preserve"> PAGEREF _Toc421043920 </w:instrText>
      </w:r>
      <w:r>
        <w:fldChar w:fldCharType="separate"/>
      </w:r>
      <w:r>
        <w:t>- 4 -</w:t>
      </w:r>
      <w:r>
        <w:fldChar w:fldCharType="end"/>
      </w:r>
      <w:r>
        <w:fldChar w:fldCharType="end"/>
      </w:r>
    </w:p>
    <w:p>
      <w:pPr>
        <w:pStyle w:val="26"/>
        <w:tabs>
          <w:tab w:val="right" w:leader="dot" w:pos="8306"/>
        </w:tabs>
        <w:ind w:firstLine="480"/>
      </w:pPr>
      <w:r>
        <w:fldChar w:fldCharType="begin"/>
      </w:r>
      <w:r>
        <w:instrText xml:space="preserve"> HYPERLINK \l "_Toc1611892079" </w:instrText>
      </w:r>
      <w:r>
        <w:fldChar w:fldCharType="separate"/>
      </w:r>
      <w:r>
        <w:rPr>
          <w:rFonts w:hint="eastAsia"/>
        </w:rPr>
        <w:t>三、</w:t>
      </w:r>
      <w:r>
        <w:t>参测技术系统</w:t>
      </w:r>
      <w:r>
        <w:tab/>
      </w:r>
      <w:r>
        <w:fldChar w:fldCharType="begin"/>
      </w:r>
      <w:r>
        <w:instrText xml:space="preserve"> PAGEREF _Toc1611892079 </w:instrText>
      </w:r>
      <w:r>
        <w:fldChar w:fldCharType="separate"/>
      </w:r>
      <w:r>
        <w:t>- 4 -</w:t>
      </w:r>
      <w:r>
        <w:fldChar w:fldCharType="end"/>
      </w:r>
      <w:r>
        <w:fldChar w:fldCharType="end"/>
      </w:r>
    </w:p>
    <w:p>
      <w:pPr>
        <w:pStyle w:val="26"/>
        <w:tabs>
          <w:tab w:val="right" w:leader="dot" w:pos="8306"/>
        </w:tabs>
        <w:ind w:firstLine="480"/>
      </w:pPr>
      <w:r>
        <w:fldChar w:fldCharType="begin"/>
      </w:r>
      <w:r>
        <w:instrText xml:space="preserve"> HYPERLINK \l "_Toc1844447107" </w:instrText>
      </w:r>
      <w:r>
        <w:fldChar w:fldCharType="separate"/>
      </w:r>
      <w:r>
        <w:rPr>
          <w:rFonts w:hint="eastAsia"/>
        </w:rPr>
        <w:t>四、全网测试</w:t>
      </w:r>
      <w:r>
        <w:t>时间安排</w:t>
      </w:r>
      <w:r>
        <w:tab/>
      </w:r>
      <w:r>
        <w:fldChar w:fldCharType="begin"/>
      </w:r>
      <w:r>
        <w:instrText xml:space="preserve"> PAGEREF _Toc1844447107 </w:instrText>
      </w:r>
      <w:r>
        <w:fldChar w:fldCharType="separate"/>
      </w:r>
      <w:r>
        <w:t>- 5 -</w:t>
      </w:r>
      <w:r>
        <w:fldChar w:fldCharType="end"/>
      </w:r>
      <w:r>
        <w:fldChar w:fldCharType="end"/>
      </w:r>
    </w:p>
    <w:p>
      <w:pPr>
        <w:pStyle w:val="26"/>
        <w:tabs>
          <w:tab w:val="right" w:leader="dot" w:pos="8306"/>
        </w:tabs>
        <w:ind w:firstLine="480"/>
      </w:pPr>
      <w:r>
        <w:fldChar w:fldCharType="begin"/>
      </w:r>
      <w:r>
        <w:instrText xml:space="preserve"> HYPERLINK \l "_Toc1133556059" </w:instrText>
      </w:r>
      <w:r>
        <w:fldChar w:fldCharType="separate"/>
      </w:r>
      <w:r>
        <w:rPr>
          <w:rFonts w:hint="eastAsia"/>
        </w:rPr>
        <w:t>五、全网测试</w:t>
      </w:r>
      <w:r>
        <w:t>内容</w:t>
      </w:r>
      <w:r>
        <w:tab/>
      </w:r>
      <w:r>
        <w:fldChar w:fldCharType="begin"/>
      </w:r>
      <w:r>
        <w:instrText xml:space="preserve"> PAGEREF _Toc1133556059 </w:instrText>
      </w:r>
      <w:r>
        <w:fldChar w:fldCharType="separate"/>
      </w:r>
      <w:r>
        <w:t>- 6 -</w:t>
      </w:r>
      <w:r>
        <w:fldChar w:fldCharType="end"/>
      </w:r>
      <w:r>
        <w:fldChar w:fldCharType="end"/>
      </w:r>
    </w:p>
    <w:p>
      <w:pPr>
        <w:pStyle w:val="26"/>
        <w:tabs>
          <w:tab w:val="right" w:leader="dot" w:pos="8306"/>
        </w:tabs>
        <w:ind w:firstLine="480"/>
      </w:pPr>
      <w:r>
        <w:fldChar w:fldCharType="begin"/>
      </w:r>
      <w:r>
        <w:instrText xml:space="preserve"> HYPERLINK \l "_Toc1434585370" </w:instrText>
      </w:r>
      <w:r>
        <w:fldChar w:fldCharType="separate"/>
      </w:r>
      <w:r>
        <w:rPr>
          <w:rFonts w:hint="eastAsia"/>
        </w:rPr>
        <w:t>六、测试场景及相关说明</w:t>
      </w:r>
      <w:r>
        <w:tab/>
      </w:r>
      <w:r>
        <w:fldChar w:fldCharType="begin"/>
      </w:r>
      <w:r>
        <w:instrText xml:space="preserve"> PAGEREF _Toc1434585370 </w:instrText>
      </w:r>
      <w:r>
        <w:fldChar w:fldCharType="separate"/>
      </w:r>
      <w:r>
        <w:t>- 6 -</w:t>
      </w:r>
      <w:r>
        <w:fldChar w:fldCharType="end"/>
      </w:r>
      <w:r>
        <w:fldChar w:fldCharType="end"/>
      </w:r>
    </w:p>
    <w:p>
      <w:pPr>
        <w:pStyle w:val="31"/>
        <w:tabs>
          <w:tab w:val="right" w:leader="dot" w:pos="8306"/>
        </w:tabs>
        <w:ind w:left="0" w:leftChars="0" w:firstLine="480"/>
      </w:pPr>
      <w:r>
        <w:fldChar w:fldCharType="begin"/>
      </w:r>
      <w:r>
        <w:instrText xml:space="preserve"> HYPERLINK \l "_Toc77661067" </w:instrText>
      </w:r>
      <w:r>
        <w:fldChar w:fldCharType="separate"/>
      </w:r>
      <w:r>
        <w:t xml:space="preserve">（一） </w:t>
      </w:r>
      <w:r>
        <w:rPr>
          <w:rFonts w:hint="eastAsia"/>
        </w:rPr>
        <w:t>拟切换股票新旧代码对照</w:t>
      </w:r>
      <w:r>
        <w:tab/>
      </w:r>
      <w:r>
        <w:fldChar w:fldCharType="begin"/>
      </w:r>
      <w:r>
        <w:instrText xml:space="preserve"> PAGEREF _Toc77661067 </w:instrText>
      </w:r>
      <w:r>
        <w:fldChar w:fldCharType="separate"/>
      </w:r>
      <w:r>
        <w:t>- 6 -</w:t>
      </w:r>
      <w:r>
        <w:fldChar w:fldCharType="end"/>
      </w:r>
      <w:r>
        <w:fldChar w:fldCharType="end"/>
      </w:r>
    </w:p>
    <w:p>
      <w:pPr>
        <w:pStyle w:val="31"/>
        <w:tabs>
          <w:tab w:val="right" w:leader="dot" w:pos="8306"/>
        </w:tabs>
        <w:ind w:left="0" w:leftChars="0" w:firstLine="480"/>
      </w:pPr>
      <w:r>
        <w:fldChar w:fldCharType="begin"/>
      </w:r>
      <w:r>
        <w:instrText xml:space="preserve"> HYPERLINK \l "_Toc2079628422" </w:instrText>
      </w:r>
      <w:r>
        <w:fldChar w:fldCharType="separate"/>
      </w:r>
      <w:r>
        <w:t xml:space="preserve">（二） </w:t>
      </w:r>
      <w:r>
        <w:rPr>
          <w:rFonts w:hint="eastAsia"/>
        </w:rPr>
        <w:t>测试要求和说明</w:t>
      </w:r>
      <w:r>
        <w:tab/>
      </w:r>
      <w:r>
        <w:fldChar w:fldCharType="begin"/>
      </w:r>
      <w:r>
        <w:instrText xml:space="preserve"> PAGEREF _Toc2079628422 </w:instrText>
      </w:r>
      <w:r>
        <w:fldChar w:fldCharType="separate"/>
      </w:r>
      <w:r>
        <w:t>- 7 -</w:t>
      </w:r>
      <w:r>
        <w:fldChar w:fldCharType="end"/>
      </w:r>
      <w:r>
        <w:fldChar w:fldCharType="end"/>
      </w:r>
    </w:p>
    <w:p>
      <w:pPr>
        <w:pStyle w:val="26"/>
        <w:tabs>
          <w:tab w:val="right" w:leader="dot" w:pos="8306"/>
        </w:tabs>
        <w:ind w:firstLine="480"/>
      </w:pPr>
      <w:r>
        <w:fldChar w:fldCharType="begin"/>
      </w:r>
      <w:r>
        <w:instrText xml:space="preserve"> HYPERLINK \l "_Toc307429228" </w:instrText>
      </w:r>
      <w:r>
        <w:fldChar w:fldCharType="separate"/>
      </w:r>
      <w:r>
        <w:rPr>
          <w:rFonts w:hint="eastAsia"/>
        </w:rPr>
        <w:t>七、全网测试</w:t>
      </w:r>
      <w:r>
        <w:t>数据准备</w:t>
      </w:r>
      <w:r>
        <w:tab/>
      </w:r>
      <w:r>
        <w:fldChar w:fldCharType="begin"/>
      </w:r>
      <w:r>
        <w:instrText xml:space="preserve"> PAGEREF _Toc307429228 </w:instrText>
      </w:r>
      <w:r>
        <w:fldChar w:fldCharType="separate"/>
      </w:r>
      <w:r>
        <w:t>- 8 -</w:t>
      </w:r>
      <w:r>
        <w:fldChar w:fldCharType="end"/>
      </w:r>
      <w:r>
        <w:fldChar w:fldCharType="end"/>
      </w:r>
    </w:p>
    <w:p>
      <w:pPr>
        <w:pStyle w:val="26"/>
        <w:tabs>
          <w:tab w:val="right" w:leader="dot" w:pos="8306"/>
        </w:tabs>
        <w:ind w:firstLine="480"/>
      </w:pPr>
      <w:r>
        <w:fldChar w:fldCharType="begin"/>
      </w:r>
      <w:r>
        <w:instrText xml:space="preserve"> HYPERLINK \l "_Toc556989453" </w:instrText>
      </w:r>
      <w:r>
        <w:fldChar w:fldCharType="separate"/>
      </w:r>
      <w:r>
        <w:rPr>
          <w:rFonts w:hint="eastAsia" w:ascii="楷体" w:hAnsi="楷体"/>
          <w:szCs w:val="28"/>
        </w:rPr>
        <w:t>（一）</w:t>
      </w:r>
      <w:r>
        <w:rPr>
          <w:rFonts w:ascii="楷体" w:hAnsi="楷体"/>
          <w:szCs w:val="28"/>
        </w:rPr>
        <w:t>证券行情信息和证券信息</w:t>
      </w:r>
      <w:r>
        <w:tab/>
      </w:r>
      <w:r>
        <w:fldChar w:fldCharType="begin"/>
      </w:r>
      <w:r>
        <w:instrText xml:space="preserve"> PAGEREF _Toc556989453 </w:instrText>
      </w:r>
      <w:r>
        <w:fldChar w:fldCharType="separate"/>
      </w:r>
      <w:r>
        <w:t>- 8 -</w:t>
      </w:r>
      <w:r>
        <w:fldChar w:fldCharType="end"/>
      </w:r>
      <w:r>
        <w:fldChar w:fldCharType="end"/>
      </w:r>
    </w:p>
    <w:p>
      <w:pPr>
        <w:pStyle w:val="26"/>
        <w:tabs>
          <w:tab w:val="right" w:leader="dot" w:pos="8306"/>
        </w:tabs>
        <w:ind w:firstLine="480"/>
      </w:pPr>
      <w:r>
        <w:fldChar w:fldCharType="begin"/>
      </w:r>
      <w:r>
        <w:instrText xml:space="preserve"> HYPERLINK \l "_Toc1941614481" </w:instrText>
      </w:r>
      <w:r>
        <w:fldChar w:fldCharType="separate"/>
      </w:r>
      <w:r>
        <w:rPr>
          <w:rFonts w:hint="eastAsia" w:ascii="楷体" w:hAnsi="楷体"/>
          <w:szCs w:val="28"/>
        </w:rPr>
        <w:t>（二）</w:t>
      </w:r>
      <w:r>
        <w:rPr>
          <w:rFonts w:ascii="楷体" w:hAnsi="楷体"/>
          <w:szCs w:val="28"/>
        </w:rPr>
        <w:t>证券账户、交易单元、托管单元及持仓</w:t>
      </w:r>
      <w:r>
        <w:tab/>
      </w:r>
      <w:r>
        <w:fldChar w:fldCharType="begin"/>
      </w:r>
      <w:r>
        <w:instrText xml:space="preserve"> PAGEREF _Toc1941614481 </w:instrText>
      </w:r>
      <w:r>
        <w:fldChar w:fldCharType="separate"/>
      </w:r>
      <w:r>
        <w:t>- 8 -</w:t>
      </w:r>
      <w:r>
        <w:fldChar w:fldCharType="end"/>
      </w:r>
      <w:r>
        <w:fldChar w:fldCharType="end"/>
      </w:r>
    </w:p>
    <w:p>
      <w:pPr>
        <w:pStyle w:val="26"/>
        <w:tabs>
          <w:tab w:val="right" w:leader="dot" w:pos="8306"/>
        </w:tabs>
        <w:ind w:firstLine="480"/>
      </w:pPr>
      <w:r>
        <w:fldChar w:fldCharType="begin"/>
      </w:r>
      <w:r>
        <w:instrText xml:space="preserve"> HYPERLINK \l "_Toc732958685" </w:instrText>
      </w:r>
      <w:r>
        <w:fldChar w:fldCharType="separate"/>
      </w:r>
      <w:r>
        <w:rPr>
          <w:rFonts w:hint="eastAsia" w:ascii="楷体" w:hAnsi="楷体"/>
          <w:szCs w:val="28"/>
        </w:rPr>
        <w:t>（三）</w:t>
      </w:r>
      <w:r>
        <w:rPr>
          <w:rFonts w:ascii="楷体" w:hAnsi="楷体"/>
          <w:szCs w:val="28"/>
        </w:rPr>
        <w:t>交易网关、行情网关和结算网关</w:t>
      </w:r>
      <w:r>
        <w:tab/>
      </w:r>
      <w:r>
        <w:fldChar w:fldCharType="begin"/>
      </w:r>
      <w:r>
        <w:instrText xml:space="preserve"> PAGEREF _Toc732958685 </w:instrText>
      </w:r>
      <w:r>
        <w:fldChar w:fldCharType="separate"/>
      </w:r>
      <w:r>
        <w:t>- 8 -</w:t>
      </w:r>
      <w:r>
        <w:fldChar w:fldCharType="end"/>
      </w:r>
      <w:r>
        <w:fldChar w:fldCharType="end"/>
      </w:r>
    </w:p>
    <w:p>
      <w:pPr>
        <w:pStyle w:val="26"/>
        <w:tabs>
          <w:tab w:val="right" w:leader="dot" w:pos="8306"/>
        </w:tabs>
        <w:ind w:firstLine="480"/>
      </w:pPr>
      <w:r>
        <w:fldChar w:fldCharType="begin"/>
      </w:r>
      <w:r>
        <w:instrText xml:space="preserve"> HYPERLINK \l "_Toc685899992" </w:instrText>
      </w:r>
      <w:r>
        <w:fldChar w:fldCharType="separate"/>
      </w:r>
      <w:r>
        <w:rPr>
          <w:szCs w:val="28"/>
        </w:rPr>
        <w:t>（四）FDEP小站</w:t>
      </w:r>
      <w:r>
        <w:tab/>
      </w:r>
      <w:r>
        <w:fldChar w:fldCharType="begin"/>
      </w:r>
      <w:r>
        <w:instrText xml:space="preserve"> PAGEREF _Toc685899992 </w:instrText>
      </w:r>
      <w:r>
        <w:fldChar w:fldCharType="separate"/>
      </w:r>
      <w:r>
        <w:t>- 9 -</w:t>
      </w:r>
      <w:r>
        <w:fldChar w:fldCharType="end"/>
      </w:r>
      <w:r>
        <w:fldChar w:fldCharType="end"/>
      </w:r>
    </w:p>
    <w:p>
      <w:pPr>
        <w:pStyle w:val="26"/>
        <w:tabs>
          <w:tab w:val="right" w:leader="dot" w:pos="8306"/>
        </w:tabs>
        <w:ind w:firstLine="480"/>
      </w:pPr>
      <w:r>
        <w:fldChar w:fldCharType="begin"/>
      </w:r>
      <w:r>
        <w:instrText xml:space="preserve"> HYPERLINK \l "_Toc1530534207" </w:instrText>
      </w:r>
      <w:r>
        <w:fldChar w:fldCharType="separate"/>
      </w:r>
      <w:r>
        <w:rPr>
          <w:rFonts w:hint="eastAsia"/>
        </w:rPr>
        <w:t>八、全网测试</w:t>
      </w:r>
      <w:r>
        <w:t>系统接入方式</w:t>
      </w:r>
      <w:r>
        <w:tab/>
      </w:r>
      <w:r>
        <w:fldChar w:fldCharType="begin"/>
      </w:r>
      <w:r>
        <w:instrText xml:space="preserve"> PAGEREF _Toc1530534207 </w:instrText>
      </w:r>
      <w:r>
        <w:fldChar w:fldCharType="separate"/>
      </w:r>
      <w:r>
        <w:t>- 9 -</w:t>
      </w:r>
      <w:r>
        <w:fldChar w:fldCharType="end"/>
      </w:r>
      <w:r>
        <w:fldChar w:fldCharType="end"/>
      </w:r>
    </w:p>
    <w:p>
      <w:pPr>
        <w:pStyle w:val="26"/>
        <w:tabs>
          <w:tab w:val="right" w:leader="dot" w:pos="8306"/>
        </w:tabs>
        <w:ind w:firstLine="480"/>
      </w:pPr>
      <w:r>
        <w:fldChar w:fldCharType="begin"/>
      </w:r>
      <w:r>
        <w:instrText xml:space="preserve"> HYPERLINK \l "_Toc2141292316" </w:instrText>
      </w:r>
      <w:r>
        <w:fldChar w:fldCharType="separate"/>
      </w:r>
      <w:r>
        <w:rPr>
          <w:rFonts w:hint="eastAsia"/>
          <w:szCs w:val="28"/>
        </w:rPr>
        <w:t>（一）</w:t>
      </w:r>
      <w:r>
        <w:rPr>
          <w:szCs w:val="28"/>
        </w:rPr>
        <w:t>参测</w:t>
      </w:r>
      <w:r>
        <w:rPr>
          <w:rFonts w:hint="eastAsia"/>
          <w:szCs w:val="28"/>
        </w:rPr>
        <w:t>机构</w:t>
      </w:r>
      <w:r>
        <w:rPr>
          <w:szCs w:val="28"/>
        </w:rPr>
        <w:t>接入深证通</w:t>
      </w:r>
      <w:r>
        <w:tab/>
      </w:r>
      <w:r>
        <w:fldChar w:fldCharType="begin"/>
      </w:r>
      <w:r>
        <w:instrText xml:space="preserve"> PAGEREF _Toc2141292316 </w:instrText>
      </w:r>
      <w:r>
        <w:fldChar w:fldCharType="separate"/>
      </w:r>
      <w:r>
        <w:t>- 9 -</w:t>
      </w:r>
      <w:r>
        <w:fldChar w:fldCharType="end"/>
      </w:r>
      <w:r>
        <w:fldChar w:fldCharType="end"/>
      </w:r>
    </w:p>
    <w:p>
      <w:pPr>
        <w:pStyle w:val="26"/>
        <w:tabs>
          <w:tab w:val="right" w:leader="dot" w:pos="8306"/>
        </w:tabs>
        <w:ind w:firstLine="480"/>
      </w:pPr>
      <w:r>
        <w:fldChar w:fldCharType="begin"/>
      </w:r>
      <w:r>
        <w:instrText xml:space="preserve"> HYPERLINK \l "_Toc1120961083" </w:instrText>
      </w:r>
      <w:r>
        <w:fldChar w:fldCharType="separate"/>
      </w:r>
      <w:r>
        <w:rPr>
          <w:rFonts w:hint="eastAsia"/>
          <w:szCs w:val="28"/>
        </w:rPr>
        <w:t>（二）</w:t>
      </w:r>
      <w:r>
        <w:rPr>
          <w:szCs w:val="28"/>
        </w:rPr>
        <w:t>参测</w:t>
      </w:r>
      <w:r>
        <w:rPr>
          <w:rFonts w:hint="eastAsia"/>
          <w:szCs w:val="28"/>
        </w:rPr>
        <w:t>机构</w:t>
      </w:r>
      <w:r>
        <w:rPr>
          <w:szCs w:val="28"/>
        </w:rPr>
        <w:t>接入</w:t>
      </w:r>
      <w:r>
        <w:rPr>
          <w:rFonts w:hint="eastAsia"/>
          <w:szCs w:val="28"/>
        </w:rPr>
        <w:t>中国结算</w:t>
      </w:r>
      <w:r>
        <w:tab/>
      </w:r>
      <w:r>
        <w:fldChar w:fldCharType="begin"/>
      </w:r>
      <w:r>
        <w:instrText xml:space="preserve"> PAGEREF _Toc1120961083 </w:instrText>
      </w:r>
      <w:r>
        <w:fldChar w:fldCharType="separate"/>
      </w:r>
      <w:r>
        <w:t>- 9 -</w:t>
      </w:r>
      <w:r>
        <w:fldChar w:fldCharType="end"/>
      </w:r>
      <w:r>
        <w:fldChar w:fldCharType="end"/>
      </w:r>
    </w:p>
    <w:p>
      <w:pPr>
        <w:pStyle w:val="26"/>
        <w:tabs>
          <w:tab w:val="right" w:leader="dot" w:pos="8306"/>
        </w:tabs>
        <w:ind w:firstLine="480"/>
      </w:pPr>
      <w:r>
        <w:fldChar w:fldCharType="begin"/>
      </w:r>
      <w:r>
        <w:instrText xml:space="preserve"> HYPERLINK \l "_Toc2113471817" </w:instrText>
      </w:r>
      <w:r>
        <w:fldChar w:fldCharType="separate"/>
      </w:r>
      <w:r>
        <w:rPr>
          <w:rFonts w:hint="eastAsia"/>
          <w:szCs w:val="28"/>
        </w:rPr>
        <w:t>（三）</w:t>
      </w:r>
      <w:r>
        <w:rPr>
          <w:szCs w:val="28"/>
        </w:rPr>
        <w:t>测试相关软件下载</w:t>
      </w:r>
      <w:r>
        <w:tab/>
      </w:r>
      <w:r>
        <w:fldChar w:fldCharType="begin"/>
      </w:r>
      <w:r>
        <w:instrText xml:space="preserve"> PAGEREF _Toc2113471817 </w:instrText>
      </w:r>
      <w:r>
        <w:fldChar w:fldCharType="separate"/>
      </w:r>
      <w:r>
        <w:t>- 9 -</w:t>
      </w:r>
      <w:r>
        <w:fldChar w:fldCharType="end"/>
      </w:r>
      <w:r>
        <w:fldChar w:fldCharType="end"/>
      </w:r>
    </w:p>
    <w:p>
      <w:pPr>
        <w:pStyle w:val="26"/>
        <w:tabs>
          <w:tab w:val="right" w:leader="dot" w:pos="8306"/>
        </w:tabs>
        <w:ind w:firstLine="480"/>
      </w:pPr>
      <w:r>
        <w:fldChar w:fldCharType="begin"/>
      </w:r>
      <w:r>
        <w:instrText xml:space="preserve"> HYPERLINK \l "_Toc1908365568" </w:instrText>
      </w:r>
      <w:r>
        <w:fldChar w:fldCharType="separate"/>
      </w:r>
      <w:r>
        <w:rPr>
          <w:rFonts w:hint="eastAsia"/>
        </w:rPr>
        <w:t>九、</w:t>
      </w:r>
      <w:r>
        <w:t>测试要求及注意事项</w:t>
      </w:r>
      <w:r>
        <w:tab/>
      </w:r>
      <w:r>
        <w:fldChar w:fldCharType="begin"/>
      </w:r>
      <w:r>
        <w:instrText xml:space="preserve"> PAGEREF _Toc1908365568 </w:instrText>
      </w:r>
      <w:r>
        <w:fldChar w:fldCharType="separate"/>
      </w:r>
      <w:r>
        <w:t>- 9 -</w:t>
      </w:r>
      <w:r>
        <w:fldChar w:fldCharType="end"/>
      </w:r>
      <w:r>
        <w:fldChar w:fldCharType="end"/>
      </w:r>
    </w:p>
    <w:p>
      <w:pPr>
        <w:pStyle w:val="26"/>
        <w:tabs>
          <w:tab w:val="right" w:leader="dot" w:pos="8306"/>
        </w:tabs>
        <w:ind w:firstLine="480"/>
      </w:pPr>
      <w:r>
        <w:fldChar w:fldCharType="begin"/>
      </w:r>
      <w:r>
        <w:instrText xml:space="preserve"> HYPERLINK \l "_Toc754987178" </w:instrText>
      </w:r>
      <w:r>
        <w:fldChar w:fldCharType="separate"/>
      </w:r>
      <w:r>
        <w:t>十</w:t>
      </w:r>
      <w:r>
        <w:rPr>
          <w:rFonts w:hint="eastAsia"/>
        </w:rPr>
        <w:t>、</w:t>
      </w:r>
      <w:r>
        <w:t>联系方式</w:t>
      </w:r>
      <w:r>
        <w:tab/>
      </w:r>
      <w:r>
        <w:fldChar w:fldCharType="begin"/>
      </w:r>
      <w:r>
        <w:instrText xml:space="preserve"> PAGEREF _Toc754987178 </w:instrText>
      </w:r>
      <w:r>
        <w:fldChar w:fldCharType="separate"/>
      </w:r>
      <w:r>
        <w:t>- 10 -</w:t>
      </w:r>
      <w:r>
        <w:fldChar w:fldCharType="end"/>
      </w:r>
      <w:r>
        <w:fldChar w:fldCharType="end"/>
      </w:r>
    </w:p>
    <w:p>
      <w:pPr>
        <w:pStyle w:val="26"/>
        <w:tabs>
          <w:tab w:val="left" w:pos="400"/>
          <w:tab w:val="right" w:leader="dot" w:pos="8296"/>
        </w:tabs>
        <w:ind w:firstLine="480"/>
        <w:rPr>
          <w:rFonts w:eastAsia="方正仿宋简体"/>
          <w:b/>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eastAsia="方正仿宋简体"/>
        </w:rPr>
        <w:fldChar w:fldCharType="end"/>
      </w:r>
    </w:p>
    <w:p>
      <w:pPr>
        <w:pStyle w:val="73"/>
        <w:spacing w:before="163" w:after="163"/>
        <w:ind w:firstLine="600"/>
      </w:pPr>
      <w:bookmarkStart w:id="0" w:name="_Toc366050038"/>
      <w:bookmarkStart w:id="1" w:name="_Toc934549764"/>
      <w:bookmarkStart w:id="2" w:name="_Toc1748422228"/>
      <w:bookmarkStart w:id="3" w:name="_Toc375557957"/>
      <w:bookmarkStart w:id="4" w:name="_Toc376285219"/>
      <w:bookmarkStart w:id="5" w:name="_Toc374957903"/>
      <w:bookmarkStart w:id="6" w:name="_Toc374381845"/>
      <w:bookmarkStart w:id="7" w:name="_Toc376597516"/>
      <w:bookmarkStart w:id="8" w:name="_Toc374381911"/>
      <w:bookmarkStart w:id="9" w:name="_Toc375070721"/>
      <w:bookmarkStart w:id="10" w:name="_Toc49652922"/>
      <w:r>
        <w:t>一</w:t>
      </w:r>
      <w:r>
        <w:rPr>
          <w:rFonts w:hint="eastAsia"/>
        </w:rPr>
        <w:t>、</w:t>
      </w:r>
      <w:r>
        <w:t>测试目的</w:t>
      </w:r>
      <w:bookmarkEnd w:id="0"/>
      <w:r>
        <w:t>和背景</w:t>
      </w:r>
      <w:bookmarkEnd w:id="1"/>
      <w:bookmarkEnd w:id="2"/>
      <w:bookmarkEnd w:id="3"/>
      <w:bookmarkEnd w:id="4"/>
      <w:bookmarkEnd w:id="5"/>
      <w:bookmarkEnd w:id="6"/>
      <w:bookmarkEnd w:id="7"/>
      <w:bookmarkEnd w:id="8"/>
      <w:bookmarkEnd w:id="9"/>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为</w:t>
      </w:r>
      <w:r>
        <w:rPr>
          <w:rFonts w:hint="eastAsia" w:cs="Times New Roman"/>
          <w:color w:val="000000" w:themeColor="text1"/>
          <w:sz w:val="30"/>
          <w:szCs w:val="30"/>
          <w14:textFill>
            <w14:solidFill>
              <w14:schemeClr w14:val="tx1"/>
            </w14:solidFill>
          </w14:textFill>
        </w:rPr>
        <w:t>验证北京证券交易所存量上市公司证券代码切换（以下简称“代码切换”）准备情况</w:t>
      </w:r>
      <w:r>
        <w:rPr>
          <w:rFonts w:cs="Times New Roman"/>
          <w:color w:val="000000" w:themeColor="text1"/>
          <w:sz w:val="30"/>
          <w:szCs w:val="30"/>
          <w14:textFill>
            <w14:solidFill>
              <w14:schemeClr w14:val="tx1"/>
            </w14:solidFill>
          </w14:textFill>
        </w:rPr>
        <w:t>，北京证券交易所</w:t>
      </w:r>
      <w:r>
        <w:rPr>
          <w:rFonts w:hint="eastAsia" w:cs="Times New Roman"/>
          <w:color w:val="000000" w:themeColor="text1"/>
          <w:sz w:val="30"/>
          <w:szCs w:val="30"/>
          <w14:textFill>
            <w14:solidFill>
              <w14:schemeClr w14:val="tx1"/>
            </w14:solidFill>
          </w14:textFill>
        </w:rPr>
        <w:t>（以下简称“北交所”）、</w:t>
      </w:r>
      <w:r>
        <w:rPr>
          <w:rFonts w:cs="Times New Roman"/>
          <w:color w:val="000000" w:themeColor="text1"/>
          <w:sz w:val="30"/>
          <w:szCs w:val="30"/>
          <w14:textFill>
            <w14:solidFill>
              <w14:schemeClr w14:val="tx1"/>
            </w14:solidFill>
          </w14:textFill>
        </w:rPr>
        <w:t>全国中小企业股份转让系统有限责任公司（以下简称</w:t>
      </w:r>
      <w:r>
        <w:rPr>
          <w:rFonts w:ascii="仿宋" w:hAnsi="仿宋" w:cs="Times New Roman"/>
          <w:color w:val="000000" w:themeColor="text1"/>
          <w:sz w:val="30"/>
          <w:szCs w:val="30"/>
          <w14:textFill>
            <w14:solidFill>
              <w14:schemeClr w14:val="tx1"/>
            </w14:solidFill>
          </w14:textFill>
        </w:rPr>
        <w:t>“全国股转公司”</w:t>
      </w:r>
      <w:r>
        <w:rPr>
          <w:rFonts w:cs="Times New Roman"/>
          <w:color w:val="000000" w:themeColor="text1"/>
          <w:sz w:val="30"/>
          <w:szCs w:val="30"/>
          <w14:textFill>
            <w14:solidFill>
              <w14:schemeClr w14:val="tx1"/>
            </w14:solidFill>
          </w14:textFill>
        </w:rPr>
        <w:t>）联合中国证券登记结算有限责任公司（以下简称</w:t>
      </w:r>
      <w:r>
        <w:rPr>
          <w:rFonts w:hint="eastAsia" w:cs="Times New Roman"/>
          <w:color w:val="000000" w:themeColor="text1"/>
          <w:sz w:val="30"/>
          <w:szCs w:val="30"/>
          <w14:textFill>
            <w14:solidFill>
              <w14:schemeClr w14:val="tx1"/>
            </w14:solidFill>
          </w14:textFill>
        </w:rPr>
        <w:t>“中国结算”</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深圳证券通信有限公司（以下简称</w:t>
      </w:r>
      <w:r>
        <w:rPr>
          <w:rFonts w:hint="eastAsia" w:cs="Times New Roman"/>
          <w:color w:val="000000" w:themeColor="text1"/>
          <w:sz w:val="30"/>
          <w:szCs w:val="30"/>
          <w14:textFill>
            <w14:solidFill>
              <w14:schemeClr w14:val="tx1"/>
            </w14:solidFill>
          </w14:textFill>
        </w:rPr>
        <w:t>“深证通”</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等</w:t>
      </w:r>
      <w:r>
        <w:rPr>
          <w:rFonts w:cs="Times New Roman"/>
          <w:color w:val="000000" w:themeColor="text1"/>
          <w:sz w:val="30"/>
          <w:szCs w:val="30"/>
          <w14:textFill>
            <w14:solidFill>
              <w14:schemeClr w14:val="tx1"/>
            </w14:solidFill>
          </w14:textFill>
        </w:rPr>
        <w:t>共同搭建测试环境</w:t>
      </w:r>
      <w:r>
        <w:rPr>
          <w:rFonts w:hint="eastAsia" w:cs="Times New Roman"/>
          <w:color w:val="000000" w:themeColor="text1"/>
          <w:sz w:val="30"/>
          <w:szCs w:val="30"/>
          <w14:textFill>
            <w14:solidFill>
              <w14:schemeClr w14:val="tx1"/>
            </w14:solidFill>
          </w14:textFill>
        </w:rPr>
        <w:t>供市场</w:t>
      </w:r>
      <w:r>
        <w:rPr>
          <w:rFonts w:cs="Times New Roman"/>
          <w:color w:val="000000" w:themeColor="text1"/>
          <w:sz w:val="30"/>
          <w:szCs w:val="30"/>
          <w14:textFill>
            <w14:solidFill>
              <w14:schemeClr w14:val="tx1"/>
            </w14:solidFill>
          </w14:textFill>
        </w:rPr>
        <w:t>进行</w:t>
      </w:r>
      <w:r>
        <w:rPr>
          <w:rFonts w:hint="eastAsia" w:cs="Times New Roman"/>
          <w:color w:val="000000" w:themeColor="text1"/>
          <w:sz w:val="30"/>
          <w:szCs w:val="30"/>
          <w14:textFill>
            <w14:solidFill>
              <w14:schemeClr w14:val="tx1"/>
            </w14:solidFill>
          </w14:textFill>
        </w:rPr>
        <w:t>全网测试。</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全网测试</w:t>
      </w:r>
      <w:r>
        <w:rPr>
          <w:rFonts w:cs="Times New Roman"/>
          <w:color w:val="000000" w:themeColor="text1"/>
          <w:sz w:val="30"/>
          <w:szCs w:val="30"/>
          <w14:textFill>
            <w14:solidFill>
              <w14:schemeClr w14:val="tx1"/>
            </w14:solidFill>
          </w14:textFill>
        </w:rPr>
        <w:t>各参与者请认真阅读本测试方案，在测试过程中按照要求进行充分测试。</w:t>
      </w:r>
    </w:p>
    <w:p>
      <w:pPr>
        <w:pStyle w:val="73"/>
        <w:spacing w:before="163" w:after="163"/>
        <w:ind w:firstLine="600"/>
      </w:pPr>
      <w:bookmarkStart w:id="11" w:name="_Toc376285220"/>
      <w:bookmarkStart w:id="12" w:name="_Toc375557958"/>
      <w:bookmarkStart w:id="13" w:name="_Toc374381912"/>
      <w:bookmarkStart w:id="14" w:name="_Toc375070722"/>
      <w:bookmarkStart w:id="15" w:name="_Toc376597517"/>
      <w:bookmarkStart w:id="16" w:name="_Toc374957904"/>
      <w:bookmarkStart w:id="17" w:name="_Toc374381846"/>
      <w:bookmarkStart w:id="18" w:name="_Toc1894743054"/>
      <w:bookmarkStart w:id="19" w:name="_Toc421043920"/>
      <w:r>
        <w:t>二</w:t>
      </w:r>
      <w:r>
        <w:rPr>
          <w:rFonts w:hint="eastAsia"/>
        </w:rPr>
        <w:t>、</w:t>
      </w:r>
      <w:r>
        <w:t>参测</w:t>
      </w:r>
      <w:bookmarkEnd w:id="11"/>
      <w:bookmarkEnd w:id="12"/>
      <w:bookmarkEnd w:id="13"/>
      <w:bookmarkEnd w:id="14"/>
      <w:bookmarkEnd w:id="15"/>
      <w:bookmarkEnd w:id="16"/>
      <w:bookmarkEnd w:id="17"/>
      <w:r>
        <w:rPr>
          <w:rFonts w:hint="eastAsia"/>
        </w:rPr>
        <w:t>机构</w:t>
      </w:r>
      <w:bookmarkEnd w:id="18"/>
      <w:bookmarkEnd w:id="19"/>
    </w:p>
    <w:p>
      <w:pPr>
        <w:pStyle w:val="101"/>
        <w:numPr>
          <w:ilvl w:val="0"/>
          <w:numId w:val="4"/>
        </w:numPr>
        <w:spacing w:line="240" w:lineRule="auto"/>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北京证券交易所</w:t>
      </w:r>
    </w:p>
    <w:p>
      <w:pPr>
        <w:pStyle w:val="101"/>
        <w:numPr>
          <w:ilvl w:val="0"/>
          <w:numId w:val="4"/>
        </w:numPr>
        <w:spacing w:line="240" w:lineRule="auto"/>
        <w:ind w:hanging="3" w:firstLineChars="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全国中小企业股份转让系统有限责任公司</w:t>
      </w:r>
    </w:p>
    <w:p>
      <w:pPr>
        <w:pStyle w:val="101"/>
        <w:numPr>
          <w:ilvl w:val="0"/>
          <w:numId w:val="4"/>
        </w:numPr>
        <w:spacing w:line="240" w:lineRule="auto"/>
        <w:ind w:hanging="3" w:firstLineChars="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中国证券登记结算有限责任公司</w:t>
      </w:r>
    </w:p>
    <w:p>
      <w:pPr>
        <w:pStyle w:val="101"/>
        <w:numPr>
          <w:ilvl w:val="0"/>
          <w:numId w:val="4"/>
        </w:numPr>
        <w:spacing w:line="240" w:lineRule="auto"/>
        <w:ind w:hanging="3" w:firstLineChars="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深圳证券通信有限公司</w:t>
      </w:r>
    </w:p>
    <w:p>
      <w:pPr>
        <w:pStyle w:val="101"/>
        <w:numPr>
          <w:ilvl w:val="0"/>
          <w:numId w:val="4"/>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开展北交所业务的证券公司</w:t>
      </w:r>
    </w:p>
    <w:p>
      <w:pPr>
        <w:pStyle w:val="101"/>
        <w:numPr>
          <w:ilvl w:val="0"/>
          <w:numId w:val="4"/>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开展北交所业务的基金公司</w:t>
      </w:r>
    </w:p>
    <w:p>
      <w:pPr>
        <w:pStyle w:val="101"/>
        <w:numPr>
          <w:ilvl w:val="0"/>
          <w:numId w:val="4"/>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提供北交所行情服务的信息商</w:t>
      </w:r>
    </w:p>
    <w:p>
      <w:pPr>
        <w:pStyle w:val="73"/>
        <w:spacing w:before="163" w:after="163"/>
        <w:ind w:firstLine="600"/>
      </w:pPr>
      <w:bookmarkStart w:id="20" w:name="_Toc375070726"/>
      <w:bookmarkStart w:id="21" w:name="_Toc376285224"/>
      <w:bookmarkStart w:id="22" w:name="_Toc257742172"/>
      <w:bookmarkStart w:id="23" w:name="_Toc375557962"/>
      <w:bookmarkStart w:id="24" w:name="_Toc374381916"/>
      <w:bookmarkStart w:id="25" w:name="_Toc376597521"/>
      <w:bookmarkStart w:id="26" w:name="_Toc1611892079"/>
      <w:bookmarkStart w:id="27" w:name="_Toc374957908"/>
      <w:bookmarkStart w:id="28" w:name="_Toc374381850"/>
      <w:r>
        <w:rPr>
          <w:rFonts w:hint="eastAsia"/>
        </w:rPr>
        <w:t>三、</w:t>
      </w:r>
      <w:r>
        <w:t>参测技术系统</w:t>
      </w:r>
      <w:bookmarkEnd w:id="20"/>
      <w:bookmarkEnd w:id="21"/>
      <w:bookmarkEnd w:id="22"/>
      <w:bookmarkEnd w:id="23"/>
      <w:bookmarkEnd w:id="24"/>
      <w:bookmarkEnd w:id="25"/>
      <w:bookmarkEnd w:id="26"/>
      <w:bookmarkEnd w:id="27"/>
      <w:bookmarkEnd w:id="28"/>
    </w:p>
    <w:p>
      <w:pPr>
        <w:pStyle w:val="101"/>
        <w:numPr>
          <w:ilvl w:val="0"/>
          <w:numId w:val="5"/>
        </w:numPr>
        <w:spacing w:line="240" w:lineRule="auto"/>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北交所和全国股转公司</w:t>
      </w:r>
      <w:r>
        <w:rPr>
          <w:rFonts w:cs="Times New Roman"/>
          <w:color w:val="000000" w:themeColor="text1"/>
          <w:sz w:val="30"/>
          <w:szCs w:val="30"/>
          <w14:textFill>
            <w14:solidFill>
              <w14:schemeClr w14:val="tx1"/>
            </w14:solidFill>
          </w14:textFill>
        </w:rPr>
        <w:t>交易支持平台</w:t>
      </w:r>
      <w:r>
        <w:rPr>
          <w:rFonts w:hint="eastAsia" w:cs="Times New Roman"/>
          <w:color w:val="000000" w:themeColor="text1"/>
          <w:sz w:val="30"/>
          <w:szCs w:val="30"/>
          <w14:textFill>
            <w14:solidFill>
              <w14:schemeClr w14:val="tx1"/>
            </w14:solidFill>
          </w14:textFill>
        </w:rPr>
        <w:t>全网测试</w:t>
      </w:r>
      <w:r>
        <w:rPr>
          <w:rFonts w:cs="Times New Roman"/>
          <w:color w:val="000000" w:themeColor="text1"/>
          <w:sz w:val="30"/>
          <w:szCs w:val="30"/>
          <w14:textFill>
            <w14:solidFill>
              <w14:schemeClr w14:val="tx1"/>
            </w14:solidFill>
          </w14:textFill>
        </w:rPr>
        <w:t>环境</w:t>
      </w:r>
    </w:p>
    <w:p>
      <w:pPr>
        <w:pStyle w:val="101"/>
        <w:numPr>
          <w:ilvl w:val="0"/>
          <w:numId w:val="5"/>
        </w:numPr>
        <w:spacing w:line="240" w:lineRule="auto"/>
        <w:ind w:hanging="3" w:firstLineChars="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中国结算</w:t>
      </w:r>
      <w:r>
        <w:rPr>
          <w:rFonts w:hint="eastAsia" w:cs="Times New Roman"/>
          <w:color w:val="000000" w:themeColor="text1"/>
          <w:sz w:val="30"/>
          <w:szCs w:val="30"/>
          <w14:textFill>
            <w14:solidFill>
              <w14:schemeClr w14:val="tx1"/>
            </w14:solidFill>
          </w14:textFill>
        </w:rPr>
        <w:t>北京</w:t>
      </w:r>
      <w:r>
        <w:rPr>
          <w:rFonts w:cs="Times New Roman"/>
          <w:color w:val="000000" w:themeColor="text1"/>
          <w:sz w:val="30"/>
          <w:szCs w:val="30"/>
          <w14:textFill>
            <w14:solidFill>
              <w14:schemeClr w14:val="tx1"/>
            </w14:solidFill>
          </w14:textFill>
        </w:rPr>
        <w:t>市场证券登记结算系统</w:t>
      </w:r>
      <w:r>
        <w:rPr>
          <w:rFonts w:hint="eastAsia" w:cs="Times New Roman"/>
          <w:color w:val="000000" w:themeColor="text1"/>
          <w:sz w:val="30"/>
          <w:szCs w:val="30"/>
          <w14:textFill>
            <w14:solidFill>
              <w14:schemeClr w14:val="tx1"/>
            </w14:solidFill>
          </w14:textFill>
        </w:rPr>
        <w:t>全网测试</w:t>
      </w:r>
      <w:r>
        <w:rPr>
          <w:rFonts w:cs="Times New Roman"/>
          <w:color w:val="000000" w:themeColor="text1"/>
          <w:sz w:val="30"/>
          <w:szCs w:val="30"/>
          <w14:textFill>
            <w14:solidFill>
              <w14:schemeClr w14:val="tx1"/>
            </w14:solidFill>
          </w14:textFill>
        </w:rPr>
        <w:t>环</w:t>
      </w:r>
      <w:r>
        <w:rPr>
          <w:rFonts w:cs="Times New Roman"/>
          <w:sz w:val="30"/>
          <w:szCs w:val="30"/>
        </w:rPr>
        <w:t>境</w:t>
      </w:r>
    </w:p>
    <w:p>
      <w:pPr>
        <w:pStyle w:val="101"/>
        <w:numPr>
          <w:ilvl w:val="0"/>
          <w:numId w:val="5"/>
        </w:numPr>
        <w:spacing w:line="240" w:lineRule="auto"/>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深证通</w:t>
      </w:r>
      <w:r>
        <w:rPr>
          <w:rFonts w:cs="Times New Roman"/>
          <w:color w:val="000000" w:themeColor="text1"/>
          <w:sz w:val="30"/>
          <w:szCs w:val="30"/>
          <w14:textFill>
            <w14:solidFill>
              <w14:schemeClr w14:val="tx1"/>
            </w14:solidFill>
          </w14:textFill>
        </w:rPr>
        <w:t>金融数据交换平台</w:t>
      </w:r>
      <w:r>
        <w:rPr>
          <w:rFonts w:hint="eastAsia" w:cs="Times New Roman"/>
          <w:color w:val="000000" w:themeColor="text1"/>
          <w:sz w:val="30"/>
          <w:szCs w:val="30"/>
          <w14:textFill>
            <w14:solidFill>
              <w14:schemeClr w14:val="tx1"/>
            </w14:solidFill>
          </w14:textFill>
        </w:rPr>
        <w:t>（FDEP）全网测试</w:t>
      </w:r>
      <w:r>
        <w:rPr>
          <w:rFonts w:cs="Times New Roman"/>
          <w:color w:val="000000" w:themeColor="text1"/>
          <w:sz w:val="30"/>
          <w:szCs w:val="30"/>
          <w14:textFill>
            <w14:solidFill>
              <w14:schemeClr w14:val="tx1"/>
            </w14:solidFill>
          </w14:textFill>
        </w:rPr>
        <w:t>环境</w:t>
      </w:r>
    </w:p>
    <w:p>
      <w:pPr>
        <w:pStyle w:val="101"/>
        <w:numPr>
          <w:ilvl w:val="0"/>
          <w:numId w:val="5"/>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开展北交所业务的证券公司相关测试环境</w:t>
      </w:r>
    </w:p>
    <w:p>
      <w:pPr>
        <w:pStyle w:val="101"/>
        <w:numPr>
          <w:ilvl w:val="0"/>
          <w:numId w:val="5"/>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开展北交所业务的基金公司相关</w:t>
      </w:r>
      <w:r>
        <w:rPr>
          <w:rFonts w:hint="eastAsia" w:cs="Times New Roman"/>
          <w:color w:val="000000" w:themeColor="text1"/>
          <w:sz w:val="30"/>
          <w:szCs w:val="30"/>
          <w:lang w:val="en"/>
          <w14:textFill>
            <w14:solidFill>
              <w14:schemeClr w14:val="tx1"/>
            </w14:solidFill>
          </w14:textFill>
        </w:rPr>
        <w:t>测试环境</w:t>
      </w:r>
    </w:p>
    <w:p>
      <w:pPr>
        <w:pStyle w:val="101"/>
        <w:numPr>
          <w:ilvl w:val="0"/>
          <w:numId w:val="5"/>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提供北交所行情服务的信息商相关测试环境</w:t>
      </w:r>
    </w:p>
    <w:p>
      <w:pPr>
        <w:pStyle w:val="73"/>
        <w:spacing w:before="163" w:after="163"/>
        <w:ind w:firstLine="600"/>
      </w:pPr>
      <w:bookmarkStart w:id="29" w:name="_Toc1647921772"/>
      <w:bookmarkStart w:id="30" w:name="_Toc1844447107"/>
      <w:r>
        <w:rPr>
          <w:rFonts w:hint="eastAsia"/>
        </w:rPr>
        <w:t>四、全网测试</w:t>
      </w:r>
      <w:r>
        <w:t>时间安排</w:t>
      </w:r>
      <w:bookmarkEnd w:id="29"/>
      <w:bookmarkEnd w:id="30"/>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全网测试日期：2025年4月19日</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拟于4月19日模拟代码切换和切换后数据稽核，代码切换测试流程安排参考《北京证券交易所存量上市公司证券代码切换试点阶段实施市场指南（V1.0）（征求意见稿）》。北交所按照数据接口规范重新发送新代码的业务数据供市场机构核对。重新发送文件列表和预计发送时间如下：</w:t>
      </w:r>
    </w:p>
    <w:tbl>
      <w:tblPr>
        <w:tblStyle w:val="38"/>
        <w:tblW w:w="98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3"/>
        <w:gridCol w:w="3811"/>
        <w:gridCol w:w="3423"/>
        <w:gridCol w:w="1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163" w:type="dxa"/>
            <w:shd w:val="clear" w:color="auto" w:fill="E7E6E6" w:themeFill="background2"/>
            <w:vAlign w:val="center"/>
          </w:tcPr>
          <w:p>
            <w:pPr>
              <w:ind w:firstLine="0" w:firstLineChars="0"/>
              <w:jc w:val="center"/>
              <w:rPr>
                <w:rFonts w:ascii="楷体" w:hAnsi="楷体" w:eastAsia="楷体"/>
                <w:b/>
                <w:szCs w:val="24"/>
              </w:rPr>
            </w:pPr>
            <w:r>
              <w:rPr>
                <w:rFonts w:hint="eastAsia" w:ascii="楷体" w:hAnsi="楷体" w:eastAsia="楷体"/>
                <w:b/>
                <w:szCs w:val="24"/>
              </w:rPr>
              <w:t>序号</w:t>
            </w:r>
          </w:p>
        </w:tc>
        <w:tc>
          <w:tcPr>
            <w:tcW w:w="3811" w:type="dxa"/>
            <w:shd w:val="clear" w:color="auto" w:fill="E7E6E6" w:themeFill="background2"/>
            <w:vAlign w:val="center"/>
          </w:tcPr>
          <w:p>
            <w:pPr>
              <w:ind w:firstLine="0" w:firstLineChars="0"/>
              <w:jc w:val="center"/>
              <w:rPr>
                <w:rFonts w:ascii="楷体" w:hAnsi="楷体" w:eastAsia="楷体"/>
                <w:b/>
                <w:szCs w:val="24"/>
              </w:rPr>
            </w:pPr>
            <w:r>
              <w:rPr>
                <w:rFonts w:hint="eastAsia" w:ascii="楷体" w:hAnsi="楷体" w:eastAsia="楷体"/>
                <w:b/>
                <w:szCs w:val="24"/>
              </w:rPr>
              <w:t>文件名称</w:t>
            </w:r>
          </w:p>
        </w:tc>
        <w:tc>
          <w:tcPr>
            <w:tcW w:w="3423" w:type="dxa"/>
            <w:shd w:val="clear" w:color="auto" w:fill="E7E6E6" w:themeFill="background2"/>
            <w:vAlign w:val="center"/>
          </w:tcPr>
          <w:p>
            <w:pPr>
              <w:ind w:firstLine="0" w:firstLineChars="0"/>
              <w:jc w:val="center"/>
              <w:rPr>
                <w:rFonts w:ascii="楷体" w:hAnsi="楷体" w:eastAsia="楷体"/>
                <w:b/>
                <w:szCs w:val="24"/>
              </w:rPr>
            </w:pPr>
            <w:r>
              <w:rPr>
                <w:rFonts w:hint="eastAsia" w:ascii="楷体" w:hAnsi="楷体" w:eastAsia="楷体"/>
                <w:b/>
                <w:szCs w:val="24"/>
              </w:rPr>
              <w:t>文件描述</w:t>
            </w:r>
          </w:p>
        </w:tc>
        <w:tc>
          <w:tcPr>
            <w:tcW w:w="1479" w:type="dxa"/>
            <w:shd w:val="clear" w:color="auto" w:fill="E7E6E6" w:themeFill="background2"/>
            <w:vAlign w:val="center"/>
          </w:tcPr>
          <w:p>
            <w:pPr>
              <w:ind w:firstLine="0" w:firstLineChars="0"/>
              <w:jc w:val="center"/>
              <w:rPr>
                <w:rFonts w:ascii="楷体" w:hAnsi="楷体" w:eastAsia="楷体"/>
                <w:b/>
                <w:szCs w:val="24"/>
              </w:rPr>
            </w:pPr>
            <w:r>
              <w:rPr>
                <w:rFonts w:hint="eastAsia" w:ascii="楷体" w:hAnsi="楷体" w:eastAsia="楷体"/>
                <w:b/>
                <w:szCs w:val="24"/>
              </w:rPr>
              <w:t>时点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jc w:val="center"/>
        </w:trPr>
        <w:tc>
          <w:tcPr>
            <w:tcW w:w="116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1</w:t>
            </w:r>
          </w:p>
        </w:tc>
        <w:tc>
          <w:tcPr>
            <w:tcW w:w="3811"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kern w:val="0"/>
                <w:szCs w:val="24"/>
              </w:rPr>
              <w:t>NQSXTZZ.DBF</w:t>
            </w:r>
          </w:p>
        </w:tc>
        <w:tc>
          <w:tcPr>
            <w:tcW w:w="342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kern w:val="0"/>
                <w:szCs w:val="24"/>
              </w:rPr>
              <w:t>受限投资者可交易证券信息库</w:t>
            </w:r>
          </w:p>
        </w:tc>
        <w:tc>
          <w:tcPr>
            <w:tcW w:w="1479"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15</w:t>
            </w:r>
            <w:r>
              <w:rPr>
                <w:rFonts w:hint="eastAsia" w:eastAsia="方正仿宋_GBK" w:cs="方正仿宋_GBK"/>
                <w:szCs w:val="24"/>
                <w:lang w:val="en"/>
              </w:rPr>
              <w:t>:00前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16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2</w:t>
            </w:r>
          </w:p>
        </w:tc>
        <w:tc>
          <w:tcPr>
            <w:tcW w:w="3811"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kern w:val="0"/>
                <w:szCs w:val="24"/>
              </w:rPr>
              <w:t>NQFC.DBF</w:t>
            </w:r>
          </w:p>
        </w:tc>
        <w:tc>
          <w:tcPr>
            <w:tcW w:w="342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kern w:val="0"/>
                <w:szCs w:val="24"/>
              </w:rPr>
              <w:t>分层信息库</w:t>
            </w:r>
          </w:p>
        </w:tc>
        <w:tc>
          <w:tcPr>
            <w:tcW w:w="1479"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15</w:t>
            </w:r>
            <w:r>
              <w:rPr>
                <w:rFonts w:hint="eastAsia" w:eastAsia="方正仿宋_GBK" w:cs="方正仿宋_GBK"/>
                <w:szCs w:val="24"/>
                <w:lang w:val="en"/>
              </w:rPr>
              <w:t>:00前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hRule="atLeast"/>
          <w:jc w:val="center"/>
        </w:trPr>
        <w:tc>
          <w:tcPr>
            <w:tcW w:w="116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3</w:t>
            </w:r>
          </w:p>
        </w:tc>
        <w:tc>
          <w:tcPr>
            <w:tcW w:w="3811"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kern w:val="0"/>
                <w:szCs w:val="24"/>
              </w:rPr>
              <w:t>NQDGD.DBF</w:t>
            </w:r>
          </w:p>
        </w:tc>
        <w:tc>
          <w:tcPr>
            <w:tcW w:w="342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kern w:val="0"/>
                <w:szCs w:val="24"/>
              </w:rPr>
              <w:t>大股东信息库</w:t>
            </w:r>
          </w:p>
        </w:tc>
        <w:tc>
          <w:tcPr>
            <w:tcW w:w="1479"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15</w:t>
            </w:r>
            <w:r>
              <w:rPr>
                <w:rFonts w:hint="eastAsia" w:eastAsia="方正仿宋_GBK" w:cs="方正仿宋_GBK"/>
                <w:szCs w:val="24"/>
                <w:lang w:val="en"/>
              </w:rPr>
              <w:t>:00前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16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4</w:t>
            </w:r>
          </w:p>
        </w:tc>
        <w:tc>
          <w:tcPr>
            <w:tcW w:w="3811"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kern w:val="0"/>
                <w:szCs w:val="24"/>
              </w:rPr>
              <w:t>NQDJG.DBF</w:t>
            </w:r>
          </w:p>
        </w:tc>
        <w:tc>
          <w:tcPr>
            <w:tcW w:w="342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kern w:val="0"/>
                <w:szCs w:val="24"/>
              </w:rPr>
              <w:t>董监高库</w:t>
            </w:r>
          </w:p>
        </w:tc>
        <w:tc>
          <w:tcPr>
            <w:tcW w:w="1479"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15</w:t>
            </w:r>
            <w:r>
              <w:rPr>
                <w:rFonts w:hint="eastAsia" w:eastAsia="方正仿宋_GBK" w:cs="方正仿宋_GBK"/>
                <w:szCs w:val="24"/>
                <w:lang w:val="en"/>
              </w:rPr>
              <w:t>:00前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16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5</w:t>
            </w:r>
          </w:p>
        </w:tc>
        <w:tc>
          <w:tcPr>
            <w:tcW w:w="3811" w:type="dxa"/>
            <w:vAlign w:val="center"/>
          </w:tcPr>
          <w:p>
            <w:pPr>
              <w:spacing w:line="600" w:lineRule="exact"/>
              <w:ind w:firstLine="0" w:firstLineChars="0"/>
              <w:jc w:val="center"/>
              <w:rPr>
                <w:rFonts w:eastAsia="方正仿宋_GBK" w:cs="方正仿宋_GBK"/>
                <w:szCs w:val="24"/>
                <w:lang w:val="en"/>
              </w:rPr>
            </w:pPr>
            <w:r>
              <w:rPr>
                <w:rFonts w:hint="eastAsia" w:eastAsia="方正仿宋_GBK" w:cs="方正仿宋_GBK"/>
                <w:szCs w:val="24"/>
              </w:rPr>
              <w:t>NQDBWJZD</w:t>
            </w:r>
            <w:r>
              <w:rPr>
                <w:rFonts w:hint="eastAsia" w:eastAsia="方正仿宋_GBK" w:cs="方正仿宋_GBK"/>
                <w:szCs w:val="24"/>
                <w:lang w:val="en"/>
              </w:rPr>
              <w:t>.DBF</w:t>
            </w:r>
          </w:p>
        </w:tc>
        <w:tc>
          <w:tcPr>
            <w:tcW w:w="3423" w:type="dxa"/>
            <w:vAlign w:val="center"/>
          </w:tcPr>
          <w:p>
            <w:pPr>
              <w:spacing w:line="600" w:lineRule="exact"/>
              <w:ind w:firstLine="0" w:firstLineChars="0"/>
              <w:jc w:val="center"/>
              <w:rPr>
                <w:rFonts w:eastAsia="方正仿宋_GBK" w:cs="方正仿宋_GBK"/>
                <w:szCs w:val="24"/>
                <w:lang w:val="en"/>
              </w:rPr>
            </w:pPr>
            <w:r>
              <w:rPr>
                <w:rFonts w:hint="eastAsia" w:eastAsia="方正仿宋_GBK" w:cs="方正仿宋_GBK"/>
                <w:szCs w:val="24"/>
                <w:lang w:val="en"/>
              </w:rPr>
              <w:t>担保物集中度</w:t>
            </w:r>
            <w:r>
              <w:rPr>
                <w:rFonts w:hint="eastAsia" w:eastAsia="方正仿宋_GBK" w:cs="方正仿宋_GBK"/>
                <w:szCs w:val="24"/>
              </w:rPr>
              <w:t>库</w:t>
            </w:r>
          </w:p>
        </w:tc>
        <w:tc>
          <w:tcPr>
            <w:tcW w:w="1479"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15</w:t>
            </w:r>
            <w:r>
              <w:rPr>
                <w:rFonts w:hint="eastAsia" w:eastAsia="方正仿宋_GBK" w:cs="方正仿宋_GBK"/>
                <w:szCs w:val="24"/>
                <w:lang w:val="en"/>
              </w:rPr>
              <w:t>:00前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16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6</w:t>
            </w:r>
          </w:p>
        </w:tc>
        <w:tc>
          <w:tcPr>
            <w:tcW w:w="3811" w:type="dxa"/>
            <w:vAlign w:val="center"/>
          </w:tcPr>
          <w:p>
            <w:pPr>
              <w:spacing w:line="600" w:lineRule="exact"/>
              <w:ind w:firstLine="0" w:firstLineChars="0"/>
              <w:jc w:val="center"/>
              <w:rPr>
                <w:rFonts w:eastAsia="方正仿宋_GBK" w:cs="方正仿宋_GBK"/>
                <w:szCs w:val="24"/>
                <w:lang w:val="en"/>
              </w:rPr>
            </w:pPr>
            <w:r>
              <w:rPr>
                <w:rFonts w:hint="eastAsia" w:eastAsia="方正仿宋_GBK" w:cs="方正仿宋_GBK"/>
                <w:szCs w:val="24"/>
                <w:lang w:val="en"/>
              </w:rPr>
              <w:t>NQXX</w:t>
            </w:r>
            <w:r>
              <w:rPr>
                <w:rFonts w:hint="eastAsia" w:eastAsia="方正仿宋_GBK" w:cs="方正仿宋_GBK"/>
                <w:szCs w:val="24"/>
              </w:rPr>
              <w:t>YYYYMMDD</w:t>
            </w:r>
            <w:r>
              <w:rPr>
                <w:rFonts w:hint="eastAsia" w:eastAsia="方正仿宋_GBK" w:cs="方正仿宋_GBK"/>
                <w:szCs w:val="24"/>
                <w:lang w:val="en"/>
              </w:rPr>
              <w:t>.DBF（日期取上一交易日）</w:t>
            </w:r>
          </w:p>
        </w:tc>
        <w:tc>
          <w:tcPr>
            <w:tcW w:w="342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证券信息库</w:t>
            </w:r>
          </w:p>
        </w:tc>
        <w:tc>
          <w:tcPr>
            <w:tcW w:w="1479"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15</w:t>
            </w:r>
            <w:r>
              <w:rPr>
                <w:rFonts w:hint="eastAsia" w:eastAsia="方正仿宋_GBK" w:cs="方正仿宋_GBK"/>
                <w:szCs w:val="24"/>
                <w:lang w:val="en"/>
              </w:rPr>
              <w:t>:00前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jc w:val="center"/>
        </w:trPr>
        <w:tc>
          <w:tcPr>
            <w:tcW w:w="1163" w:type="dxa"/>
            <w:vAlign w:val="center"/>
          </w:tcPr>
          <w:p>
            <w:pPr>
              <w:spacing w:line="600" w:lineRule="exact"/>
              <w:ind w:firstLine="0" w:firstLineChars="0"/>
              <w:jc w:val="center"/>
              <w:rPr>
                <w:rFonts w:eastAsia="方正仿宋_GBK" w:cs="方正仿宋_GBK"/>
                <w:szCs w:val="24"/>
                <w:lang w:val="en"/>
              </w:rPr>
            </w:pPr>
            <w:r>
              <w:rPr>
                <w:rFonts w:hint="eastAsia" w:eastAsia="方正仿宋_GBK" w:cs="方正仿宋_GBK"/>
                <w:szCs w:val="24"/>
                <w:lang w:val="en"/>
              </w:rPr>
              <w:t>7</w:t>
            </w:r>
          </w:p>
        </w:tc>
        <w:tc>
          <w:tcPr>
            <w:tcW w:w="3811" w:type="dxa"/>
            <w:vAlign w:val="center"/>
          </w:tcPr>
          <w:p>
            <w:pPr>
              <w:spacing w:line="600" w:lineRule="exact"/>
              <w:ind w:firstLine="0" w:firstLineChars="0"/>
              <w:jc w:val="center"/>
              <w:rPr>
                <w:rFonts w:eastAsia="方正仿宋_GBK" w:cs="方正仿宋_GBK"/>
                <w:szCs w:val="24"/>
                <w:lang w:val="en"/>
              </w:rPr>
            </w:pPr>
            <w:r>
              <w:rPr>
                <w:rFonts w:hint="eastAsia" w:eastAsia="方正仿宋_GBK" w:cs="方正仿宋_GBK"/>
                <w:szCs w:val="24"/>
                <w:lang w:val="en"/>
              </w:rPr>
              <w:t>NQHQ</w:t>
            </w:r>
            <w:r>
              <w:rPr>
                <w:rFonts w:hint="eastAsia" w:eastAsia="方正仿宋_GBK" w:cs="方正仿宋_GBK"/>
                <w:szCs w:val="24"/>
              </w:rPr>
              <w:t>YYYYMMDD</w:t>
            </w:r>
            <w:r>
              <w:rPr>
                <w:rFonts w:hint="eastAsia" w:eastAsia="方正仿宋_GBK" w:cs="方正仿宋_GBK"/>
                <w:szCs w:val="24"/>
                <w:lang w:val="en"/>
              </w:rPr>
              <w:t>.DBF（日期取上一交易日）</w:t>
            </w:r>
          </w:p>
        </w:tc>
        <w:tc>
          <w:tcPr>
            <w:tcW w:w="342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证券行情库</w:t>
            </w:r>
          </w:p>
        </w:tc>
        <w:tc>
          <w:tcPr>
            <w:tcW w:w="1479"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15</w:t>
            </w:r>
            <w:r>
              <w:rPr>
                <w:rFonts w:hint="eastAsia" w:eastAsia="方正仿宋_GBK" w:cs="方正仿宋_GBK"/>
                <w:szCs w:val="24"/>
                <w:lang w:val="en"/>
              </w:rPr>
              <w:t>:00前</w:t>
            </w:r>
          </w:p>
        </w:tc>
      </w:tr>
    </w:tbl>
    <w:p>
      <w:pPr>
        <w:spacing w:line="360" w:lineRule="auto"/>
        <w:ind w:firstLine="0" w:firstLineChars="0"/>
        <w:jc w:val="both"/>
        <w:rPr>
          <w:rFonts w:cs="Times New Roman"/>
        </w:rPr>
      </w:pPr>
      <w:bookmarkStart w:id="31" w:name="_Toc376597522"/>
    </w:p>
    <w:p>
      <w:pPr>
        <w:pStyle w:val="73"/>
        <w:spacing w:before="163" w:after="163"/>
        <w:ind w:firstLine="600"/>
      </w:pPr>
      <w:bookmarkStart w:id="32" w:name="_Toc1133556059"/>
      <w:bookmarkStart w:id="33" w:name="_Toc1455581406"/>
      <w:r>
        <w:rPr>
          <w:rFonts w:hint="eastAsia"/>
        </w:rPr>
        <w:t>五、全网测试</w:t>
      </w:r>
      <w:r>
        <w:t>内容</w:t>
      </w:r>
      <w:bookmarkEnd w:id="31"/>
      <w:bookmarkEnd w:id="32"/>
      <w:bookmarkEnd w:id="33"/>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验证各参测机构技术系统已完成代码切换相关改造，达到上线要求。</w:t>
      </w:r>
    </w:p>
    <w:p>
      <w:pPr>
        <w:numPr>
          <w:ilvl w:val="0"/>
          <w:numId w:val="6"/>
        </w:num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验证北交所交易支持平台能正确完成代码切换并向市场发送新代码的业务数据。</w:t>
      </w:r>
    </w:p>
    <w:p>
      <w:pPr>
        <w:numPr>
          <w:ilvl w:val="0"/>
          <w:numId w:val="6"/>
        </w:num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验证中国结算北京</w:t>
      </w:r>
      <w:r>
        <w:rPr>
          <w:rFonts w:cs="Times New Roman"/>
          <w:color w:val="000000" w:themeColor="text1"/>
          <w:sz w:val="30"/>
          <w:szCs w:val="30"/>
          <w14:textFill>
            <w14:solidFill>
              <w14:schemeClr w14:val="tx1"/>
            </w14:solidFill>
          </w14:textFill>
        </w:rPr>
        <w:t>市场证券结算系统能够</w:t>
      </w:r>
      <w:r>
        <w:rPr>
          <w:rFonts w:hint="eastAsia" w:cs="Times New Roman"/>
          <w:color w:val="000000" w:themeColor="text1"/>
          <w:sz w:val="30"/>
          <w:szCs w:val="30"/>
          <w14:textFill>
            <w14:solidFill>
              <w14:schemeClr w14:val="tx1"/>
            </w14:solidFill>
          </w14:textFill>
        </w:rPr>
        <w:t>正确完成持仓等代码切换，</w:t>
      </w:r>
      <w:r>
        <w:rPr>
          <w:rFonts w:cs="Times New Roman"/>
          <w:color w:val="000000" w:themeColor="text1"/>
          <w:sz w:val="30"/>
          <w:szCs w:val="30"/>
          <w14:textFill>
            <w14:solidFill>
              <w14:schemeClr w14:val="tx1"/>
            </w14:solidFill>
          </w14:textFill>
        </w:rPr>
        <w:t>生成</w:t>
      </w:r>
      <w:r>
        <w:rPr>
          <w:rFonts w:hint="eastAsia" w:cs="Times New Roman"/>
          <w:color w:val="000000" w:themeColor="text1"/>
          <w:sz w:val="30"/>
          <w:szCs w:val="30"/>
          <w14:textFill>
            <w14:solidFill>
              <w14:schemeClr w14:val="tx1"/>
            </w14:solidFill>
          </w14:textFill>
        </w:rPr>
        <w:t>相关</w:t>
      </w:r>
      <w:r>
        <w:rPr>
          <w:rFonts w:cs="Times New Roman"/>
          <w:color w:val="000000" w:themeColor="text1"/>
          <w:sz w:val="30"/>
          <w:szCs w:val="30"/>
          <w14:textFill>
            <w14:solidFill>
              <w14:schemeClr w14:val="tx1"/>
            </w14:solidFill>
          </w14:textFill>
        </w:rPr>
        <w:t>数据并</w:t>
      </w:r>
      <w:r>
        <w:rPr>
          <w:rFonts w:hint="eastAsia" w:cs="Times New Roman"/>
          <w:color w:val="000000" w:themeColor="text1"/>
          <w:sz w:val="30"/>
          <w:szCs w:val="30"/>
          <w14:textFill>
            <w14:solidFill>
              <w14:schemeClr w14:val="tx1"/>
            </w14:solidFill>
          </w14:textFill>
        </w:rPr>
        <w:t>下发市场。</w:t>
      </w:r>
    </w:p>
    <w:p>
      <w:pPr>
        <w:numPr>
          <w:ilvl w:val="0"/>
          <w:numId w:val="6"/>
        </w:num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验证各证券公司</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基金公司能够按照《关于做好北京证券交易所存量上市公司证券代码切换准备工作的通知》（北证公告〔2024〕231号）要求完成代码切换。</w:t>
      </w:r>
    </w:p>
    <w:p>
      <w:pPr>
        <w:numPr>
          <w:ilvl w:val="0"/>
          <w:numId w:val="6"/>
        </w:num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验证各提供北交所行情服务的信息商能够完成代码切换并按照《关于做好北京证券交易所存量上市公司证券代码切换准备工作的通知》（北证公告〔2024〕231号）行情展示相关要求进行代码切换后行情展示等。</w:t>
      </w:r>
      <w:bookmarkStart w:id="34" w:name="_Toc1037702227"/>
    </w:p>
    <w:p>
      <w:pPr>
        <w:pStyle w:val="73"/>
        <w:spacing w:before="163" w:after="163"/>
        <w:ind w:firstLine="600"/>
      </w:pPr>
      <w:bookmarkStart w:id="35" w:name="_Toc1434585370"/>
      <w:r>
        <w:rPr>
          <w:rFonts w:hint="eastAsia"/>
        </w:rPr>
        <w:t>六、测试场景及相关说明</w:t>
      </w:r>
      <w:bookmarkEnd w:id="34"/>
      <w:bookmarkEnd w:id="35"/>
    </w:p>
    <w:p>
      <w:pPr>
        <w:pStyle w:val="74"/>
        <w:numPr>
          <w:ilvl w:val="0"/>
          <w:numId w:val="7"/>
        </w:numPr>
        <w:spacing w:before="163" w:after="163"/>
        <w:ind w:firstLineChars="0"/>
      </w:pPr>
      <w:bookmarkStart w:id="36" w:name="_Toc77661067"/>
      <w:bookmarkStart w:id="37" w:name="_Toc221508924"/>
      <w:r>
        <w:rPr>
          <w:rFonts w:hint="eastAsia"/>
        </w:rPr>
        <w:t>拟切换股票新旧代码对照</w:t>
      </w:r>
      <w:bookmarkEnd w:id="36"/>
      <w:bookmarkEnd w:id="37"/>
    </w:p>
    <w:p>
      <w:pPr>
        <w:spacing w:line="240" w:lineRule="auto"/>
        <w:ind w:firstLine="600"/>
        <w:jc w:val="both"/>
      </w:pPr>
      <w:r>
        <w:rPr>
          <w:rFonts w:hint="eastAsia" w:cs="Times New Roman"/>
          <w:color w:val="000000" w:themeColor="text1"/>
          <w:sz w:val="30"/>
          <w:szCs w:val="30"/>
          <w14:textFill>
            <w14:solidFill>
              <w14:schemeClr w14:val="tx1"/>
            </w14:solidFill>
          </w14:textFill>
        </w:rPr>
        <w:t>本次测试拟切换股票以北交所官网发布的北交所存量上市公司代码切换试点股票名单为准。</w:t>
      </w:r>
      <w:bookmarkStart w:id="133" w:name="_GoBack"/>
      <w:bookmarkEnd w:id="133"/>
    </w:p>
    <w:p>
      <w:pPr>
        <w:pStyle w:val="74"/>
        <w:numPr>
          <w:ilvl w:val="0"/>
          <w:numId w:val="7"/>
        </w:numPr>
        <w:spacing w:before="163" w:after="163"/>
        <w:ind w:firstLineChars="0"/>
      </w:pPr>
      <w:bookmarkStart w:id="38" w:name="_Toc2079628422"/>
      <w:bookmarkStart w:id="39" w:name="_Toc836006634"/>
      <w:r>
        <w:rPr>
          <w:rFonts w:hint="eastAsia"/>
        </w:rPr>
        <w:t>测试要求和说明</w:t>
      </w:r>
      <w:bookmarkEnd w:id="38"/>
      <w:bookmarkEnd w:id="39"/>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代码切换后，上市公司主体身份的连续性、投资者权益及相关业务办理的连续性不受影响。</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代码切换后，上市公司股票在北交所上市以来的行情信息按照新代码连续展示；全国中小企业股份转让系统（以下简称全国股转系统）原精选层平移至北交所的公司，行情自其进入精选层挂牌时起连续展示。上市公司股票在全国股转系统基础层和创新层挂牌期间的行情不再与北交所上市期间的行情连续展示。代码切换后首个交易日，股票前收盘价以其前一交易日原代码收盘价为其前收盘价。</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投资者所持原代码下的证券持仓，自切换日起变更为新代码，切换前后投资者持股相关信息除证券代码外均保持不变，持股时间连续计算。</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代码切换完成后，按原代码产生的融资融券未了结合约按照新代码继续有效，办理展期、保证金余额计算、维保比例计算等投资者权益不受代码切换影响。对大股东、董事、监事（如有）、高级管理人员、持有原始股的股东等的融资融券交易限制应当按照新代码进行控制。券商融资融券余额数据应使用新代码报送。</w:t>
      </w:r>
    </w:p>
    <w:p>
      <w:pPr>
        <w:spacing w:line="240" w:lineRule="auto"/>
        <w:ind w:firstLine="600"/>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北交所做市权限将由旧代码切换至新代码。</w:t>
      </w:r>
    </w:p>
    <w:p>
      <w:pPr>
        <w:spacing w:line="240" w:lineRule="auto"/>
        <w:ind w:firstLine="600"/>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参测机构需满足《关于做好北京证券交易所存量上市公司证券代码切换准备工作的通知》（北证公告〔2024〕231号）中其余所有要求。</w:t>
      </w:r>
    </w:p>
    <w:p>
      <w:pPr>
        <w:pStyle w:val="2"/>
        <w:ind w:firstLine="600"/>
        <w:rPr>
          <w:rFonts w:ascii="Times New Roman" w:hAnsi="Times New Roman" w:eastAsia="仿宋"/>
          <w:color w:val="000000" w:themeColor="text1"/>
          <w:sz w:val="30"/>
          <w:szCs w:val="30"/>
          <w14:textFill>
            <w14:solidFill>
              <w14:schemeClr w14:val="tx1"/>
            </w14:solidFill>
          </w14:textFill>
        </w:rPr>
      </w:pPr>
      <w:r>
        <w:rPr>
          <w:rFonts w:hint="eastAsia" w:ascii="Times New Roman" w:hAnsi="Times New Roman" w:eastAsia="仿宋"/>
          <w:color w:val="000000" w:themeColor="text1"/>
          <w:sz w:val="30"/>
          <w:szCs w:val="30"/>
          <w14:textFill>
            <w14:solidFill>
              <w14:schemeClr w14:val="tx1"/>
            </w14:solidFill>
          </w14:textFill>
        </w:rPr>
        <w:t>代码切换完成后，参测机构需保证所有已开展业务的功能正确。</w:t>
      </w:r>
    </w:p>
    <w:p>
      <w:pPr>
        <w:spacing w:line="240" w:lineRule="auto"/>
        <w:ind w:firstLine="600"/>
      </w:pPr>
      <w:r>
        <w:rPr>
          <w:rFonts w:hint="eastAsia" w:cs="Times New Roman"/>
          <w:color w:val="000000" w:themeColor="text1"/>
          <w:sz w:val="30"/>
          <w:szCs w:val="30"/>
          <w14:textFill>
            <w14:solidFill>
              <w14:schemeClr w14:val="tx1"/>
            </w14:solidFill>
          </w14:textFill>
        </w:rPr>
        <w:t>中国结算相关业务测试要求以中国结算测试方案为准。</w:t>
      </w:r>
    </w:p>
    <w:p>
      <w:pPr>
        <w:pStyle w:val="73"/>
        <w:spacing w:before="163" w:after="163"/>
        <w:ind w:firstLine="600"/>
      </w:pPr>
      <w:bookmarkStart w:id="40" w:name="_Toc307429228"/>
      <w:bookmarkStart w:id="41" w:name="_Toc652945123"/>
      <w:r>
        <w:rPr>
          <w:rFonts w:hint="eastAsia"/>
        </w:rPr>
        <w:t>七、全网测试</w:t>
      </w:r>
      <w:r>
        <w:t>数据准备</w:t>
      </w:r>
      <w:bookmarkEnd w:id="40"/>
      <w:bookmarkEnd w:id="41"/>
    </w:p>
    <w:p>
      <w:pPr>
        <w:pStyle w:val="73"/>
        <w:widowControl w:val="0"/>
        <w:spacing w:before="163" w:after="163" w:line="600" w:lineRule="exact"/>
        <w:ind w:firstLine="560"/>
        <w:rPr>
          <w:rFonts w:ascii="楷体" w:hAnsi="楷体" w:eastAsia="楷体"/>
          <w:sz w:val="28"/>
          <w:szCs w:val="28"/>
        </w:rPr>
      </w:pPr>
      <w:bookmarkStart w:id="42" w:name="_Toc244309874"/>
      <w:bookmarkStart w:id="43" w:name="_Toc1763740745"/>
      <w:bookmarkStart w:id="44" w:name="_Toc90935432"/>
      <w:bookmarkStart w:id="45" w:name="_Toc502217616"/>
      <w:bookmarkStart w:id="46" w:name="_Toc2132387384"/>
      <w:bookmarkStart w:id="47" w:name="_Toc12033606"/>
      <w:bookmarkStart w:id="48" w:name="_Toc556989453"/>
      <w:bookmarkStart w:id="49" w:name="_Toc583442579"/>
      <w:bookmarkStart w:id="50" w:name="_Toc502216522"/>
      <w:bookmarkStart w:id="51" w:name="_Toc25940495"/>
      <w:bookmarkStart w:id="52" w:name="_Toc1160428971"/>
      <w:bookmarkStart w:id="53" w:name="_Toc375557974"/>
      <w:bookmarkStart w:id="54" w:name="_Toc376597526"/>
      <w:bookmarkStart w:id="55" w:name="_Toc1386646997"/>
      <w:bookmarkStart w:id="56" w:name="_Toc374381928"/>
      <w:bookmarkStart w:id="57" w:name="_Toc375070738"/>
      <w:bookmarkStart w:id="58" w:name="_Toc376285233"/>
      <w:bookmarkStart w:id="59" w:name="_Toc374381862"/>
      <w:bookmarkStart w:id="60" w:name="_Toc374957920"/>
      <w:r>
        <w:rPr>
          <w:rFonts w:hint="eastAsia" w:ascii="楷体" w:hAnsi="楷体" w:eastAsia="楷体"/>
          <w:sz w:val="28"/>
          <w:szCs w:val="28"/>
        </w:rPr>
        <w:t>（一）</w:t>
      </w:r>
      <w:r>
        <w:rPr>
          <w:rFonts w:ascii="楷体" w:hAnsi="楷体" w:eastAsia="楷体"/>
          <w:sz w:val="28"/>
          <w:szCs w:val="28"/>
        </w:rPr>
        <w:t>证券行情信息和证券信息</w:t>
      </w:r>
      <w:bookmarkEnd w:id="42"/>
      <w:bookmarkEnd w:id="43"/>
      <w:bookmarkEnd w:id="44"/>
      <w:bookmarkEnd w:id="45"/>
      <w:bookmarkEnd w:id="46"/>
      <w:bookmarkEnd w:id="47"/>
      <w:bookmarkEnd w:id="48"/>
      <w:bookmarkEnd w:id="49"/>
      <w:bookmarkEnd w:id="50"/>
      <w:bookmarkEnd w:id="51"/>
      <w:bookmarkEnd w:id="52"/>
    </w:p>
    <w:p>
      <w:pPr>
        <w:widowControl w:val="0"/>
        <w:spacing w:line="600" w:lineRule="exact"/>
        <w:ind w:firstLine="600"/>
        <w:jc w:val="both"/>
        <w:rPr>
          <w:rFonts w:cs="Times New Roman"/>
          <w:sz w:val="30"/>
          <w:szCs w:val="30"/>
        </w:rPr>
      </w:pPr>
      <w:r>
        <w:rPr>
          <w:rFonts w:cs="Times New Roman"/>
          <w:sz w:val="30"/>
          <w:szCs w:val="30"/>
        </w:rPr>
        <w:t>证券初始行情信息和初始信息以</w:t>
      </w:r>
      <w:r>
        <w:rPr>
          <w:rFonts w:cs="Times New Roman"/>
          <w:color w:val="000000" w:themeColor="text1"/>
          <w:sz w:val="30"/>
          <w:szCs w:val="30"/>
          <w14:textFill>
            <w14:solidFill>
              <w14:schemeClr w14:val="tx1"/>
            </w14:solidFill>
          </w14:textFill>
        </w:rPr>
        <w:t>全网测试前一</w:t>
      </w:r>
      <w:r>
        <w:rPr>
          <w:rFonts w:hint="eastAsia" w:cs="Times New Roman"/>
          <w:color w:val="000000" w:themeColor="text1"/>
          <w:sz w:val="30"/>
          <w:szCs w:val="30"/>
          <w14:textFill>
            <w14:solidFill>
              <w14:schemeClr w14:val="tx1"/>
            </w14:solidFill>
          </w14:textFill>
        </w:rPr>
        <w:t>交易</w:t>
      </w:r>
      <w:r>
        <w:rPr>
          <w:rFonts w:cs="Times New Roman"/>
          <w:color w:val="000000" w:themeColor="text1"/>
          <w:sz w:val="30"/>
          <w:szCs w:val="30"/>
          <w14:textFill>
            <w14:solidFill>
              <w14:schemeClr w14:val="tx1"/>
            </w14:solidFill>
          </w14:textFill>
        </w:rPr>
        <w:t>日</w:t>
      </w:r>
      <w:r>
        <w:rPr>
          <w:rFonts w:hint="eastAsia" w:cs="Times New Roman"/>
          <w:color w:val="000000" w:themeColor="text1"/>
          <w:sz w:val="30"/>
          <w:szCs w:val="30"/>
          <w14:textFill>
            <w14:solidFill>
              <w14:schemeClr w14:val="tx1"/>
            </w14:solidFill>
          </w14:textFill>
        </w:rPr>
        <w:t>（2025年4月18日）</w:t>
      </w:r>
      <w:r>
        <w:rPr>
          <w:rFonts w:hint="eastAsia" w:cs="Times New Roman"/>
          <w:sz w:val="30"/>
          <w:szCs w:val="30"/>
        </w:rPr>
        <w:t>交易支持平台生产</w:t>
      </w:r>
      <w:r>
        <w:rPr>
          <w:rFonts w:cs="Times New Roman"/>
          <w:sz w:val="30"/>
          <w:szCs w:val="30"/>
        </w:rPr>
        <w:t>环境收盘行情（NQHQ.DBF）和证券信息（NQXX.DBF）为准。</w:t>
      </w:r>
    </w:p>
    <w:p>
      <w:pPr>
        <w:pStyle w:val="73"/>
        <w:widowControl w:val="0"/>
        <w:spacing w:before="163" w:after="163" w:line="600" w:lineRule="exact"/>
        <w:ind w:firstLine="560"/>
        <w:rPr>
          <w:rFonts w:ascii="楷体" w:hAnsi="楷体" w:eastAsia="楷体"/>
          <w:sz w:val="28"/>
          <w:szCs w:val="28"/>
        </w:rPr>
      </w:pPr>
      <w:bookmarkStart w:id="61" w:name="_Toc1255984761"/>
      <w:bookmarkStart w:id="62" w:name="_Toc1941614481"/>
      <w:bookmarkStart w:id="63" w:name="_Toc565712442"/>
      <w:bookmarkStart w:id="64" w:name="_Toc569342026"/>
      <w:bookmarkStart w:id="65" w:name="_Toc1239533139"/>
      <w:bookmarkStart w:id="66" w:name="_Toc996045584"/>
      <w:bookmarkStart w:id="67" w:name="_Toc502216523"/>
      <w:bookmarkStart w:id="68" w:name="_Toc502217617"/>
      <w:bookmarkStart w:id="69" w:name="_Toc2090309685"/>
      <w:bookmarkStart w:id="70" w:name="_Toc659676107"/>
      <w:bookmarkStart w:id="71" w:name="_Toc439689166"/>
      <w:r>
        <w:rPr>
          <w:rFonts w:hint="eastAsia" w:ascii="楷体" w:hAnsi="楷体" w:eastAsia="楷体"/>
          <w:sz w:val="28"/>
          <w:szCs w:val="28"/>
        </w:rPr>
        <w:t>（二）</w:t>
      </w:r>
      <w:r>
        <w:rPr>
          <w:rFonts w:ascii="楷体" w:hAnsi="楷体" w:eastAsia="楷体"/>
          <w:sz w:val="28"/>
          <w:szCs w:val="28"/>
        </w:rPr>
        <w:t>证券账户、交易单元、托管单元及持仓</w:t>
      </w:r>
      <w:bookmarkEnd w:id="61"/>
      <w:bookmarkEnd w:id="62"/>
      <w:bookmarkEnd w:id="63"/>
      <w:bookmarkEnd w:id="64"/>
      <w:bookmarkEnd w:id="65"/>
      <w:bookmarkEnd w:id="66"/>
      <w:bookmarkEnd w:id="67"/>
      <w:bookmarkEnd w:id="68"/>
      <w:bookmarkEnd w:id="69"/>
      <w:bookmarkEnd w:id="70"/>
      <w:bookmarkEnd w:id="71"/>
    </w:p>
    <w:p>
      <w:pPr>
        <w:widowControl w:val="0"/>
        <w:spacing w:line="600" w:lineRule="exact"/>
        <w:ind w:firstLine="600"/>
        <w:jc w:val="both"/>
        <w:rPr>
          <w:rFonts w:cs="Times New Roman"/>
          <w:sz w:val="30"/>
          <w:szCs w:val="30"/>
        </w:rPr>
      </w:pPr>
      <w:r>
        <w:rPr>
          <w:rFonts w:cs="Times New Roman"/>
          <w:sz w:val="30"/>
          <w:szCs w:val="30"/>
        </w:rPr>
        <w:t>证券账户及持仓的初始信息以</w:t>
      </w:r>
      <w:r>
        <w:rPr>
          <w:rFonts w:cs="Times New Roman"/>
          <w:color w:val="000000" w:themeColor="text1"/>
          <w:sz w:val="30"/>
          <w:szCs w:val="30"/>
          <w14:textFill>
            <w14:solidFill>
              <w14:schemeClr w14:val="tx1"/>
            </w14:solidFill>
          </w14:textFill>
        </w:rPr>
        <w:t>全网测试前一</w:t>
      </w:r>
      <w:r>
        <w:rPr>
          <w:rFonts w:hint="eastAsia" w:cs="Times New Roman"/>
          <w:color w:val="000000" w:themeColor="text1"/>
          <w:sz w:val="30"/>
          <w:szCs w:val="30"/>
          <w14:textFill>
            <w14:solidFill>
              <w14:schemeClr w14:val="tx1"/>
            </w14:solidFill>
          </w14:textFill>
        </w:rPr>
        <w:t>交易</w:t>
      </w:r>
      <w:r>
        <w:rPr>
          <w:rFonts w:cs="Times New Roman"/>
          <w:color w:val="000000" w:themeColor="text1"/>
          <w:sz w:val="30"/>
          <w:szCs w:val="30"/>
          <w14:textFill>
            <w14:solidFill>
              <w14:schemeClr w14:val="tx1"/>
            </w14:solidFill>
          </w14:textFill>
        </w:rPr>
        <w:t>日</w:t>
      </w:r>
      <w:r>
        <w:rPr>
          <w:rFonts w:hint="eastAsia" w:cs="Times New Roman"/>
          <w:color w:val="000000" w:themeColor="text1"/>
          <w:sz w:val="30"/>
          <w:szCs w:val="30"/>
          <w14:textFill>
            <w14:solidFill>
              <w14:schemeClr w14:val="tx1"/>
            </w14:solidFill>
          </w14:textFill>
        </w:rPr>
        <w:t>（2025年4月18日）</w:t>
      </w:r>
      <w:r>
        <w:rPr>
          <w:rFonts w:cs="Times New Roman"/>
          <w:sz w:val="30"/>
          <w:szCs w:val="30"/>
        </w:rPr>
        <w:t>中国结算</w:t>
      </w:r>
      <w:r>
        <w:rPr>
          <w:rFonts w:hint="eastAsia" w:cs="Times New Roman"/>
          <w:sz w:val="30"/>
          <w:szCs w:val="30"/>
        </w:rPr>
        <w:t>生产</w:t>
      </w:r>
      <w:r>
        <w:rPr>
          <w:rFonts w:cs="Times New Roman"/>
          <w:sz w:val="30"/>
          <w:szCs w:val="30"/>
        </w:rPr>
        <w:t>环境日终数据为准</w:t>
      </w:r>
      <w:r>
        <w:rPr>
          <w:rFonts w:hint="eastAsia" w:cs="Times New Roman"/>
          <w:sz w:val="30"/>
          <w:szCs w:val="30"/>
        </w:rPr>
        <w:t>。</w:t>
      </w:r>
    </w:p>
    <w:p>
      <w:pPr>
        <w:pStyle w:val="73"/>
        <w:widowControl w:val="0"/>
        <w:spacing w:before="163" w:after="163" w:line="600" w:lineRule="exact"/>
        <w:ind w:firstLine="560"/>
        <w:rPr>
          <w:rFonts w:ascii="楷体" w:hAnsi="楷体" w:eastAsia="楷体"/>
          <w:sz w:val="28"/>
          <w:szCs w:val="28"/>
        </w:rPr>
      </w:pPr>
      <w:bookmarkStart w:id="72" w:name="_Toc168334757"/>
      <w:bookmarkStart w:id="73" w:name="_Toc502217622"/>
      <w:bookmarkStart w:id="74" w:name="_Toc886147810"/>
      <w:bookmarkStart w:id="75" w:name="_Toc1262494566"/>
      <w:bookmarkStart w:id="76" w:name="_Toc502216528"/>
      <w:bookmarkStart w:id="77" w:name="_Toc120990873"/>
      <w:bookmarkStart w:id="78" w:name="_Toc732958685"/>
      <w:bookmarkStart w:id="79" w:name="_Toc1638636822"/>
      <w:bookmarkStart w:id="80" w:name="_Toc960123003"/>
      <w:bookmarkStart w:id="81" w:name="_Toc1620748154"/>
      <w:bookmarkStart w:id="82" w:name="_Toc712580437"/>
      <w:r>
        <w:rPr>
          <w:rFonts w:hint="eastAsia" w:ascii="楷体" w:hAnsi="楷体" w:eastAsia="楷体"/>
          <w:sz w:val="28"/>
          <w:szCs w:val="28"/>
        </w:rPr>
        <w:t>（三）</w:t>
      </w:r>
      <w:r>
        <w:rPr>
          <w:rFonts w:ascii="楷体" w:hAnsi="楷体" w:eastAsia="楷体"/>
          <w:sz w:val="28"/>
          <w:szCs w:val="28"/>
        </w:rPr>
        <w:t>交易网关、行情网关和结算网关</w:t>
      </w:r>
      <w:bookmarkEnd w:id="72"/>
      <w:bookmarkEnd w:id="73"/>
      <w:bookmarkEnd w:id="74"/>
      <w:bookmarkEnd w:id="75"/>
      <w:bookmarkEnd w:id="76"/>
      <w:bookmarkEnd w:id="77"/>
      <w:bookmarkEnd w:id="78"/>
      <w:bookmarkEnd w:id="79"/>
      <w:bookmarkEnd w:id="80"/>
      <w:bookmarkEnd w:id="81"/>
      <w:bookmarkEnd w:id="82"/>
    </w:p>
    <w:p>
      <w:pPr>
        <w:widowControl w:val="0"/>
        <w:spacing w:line="600" w:lineRule="exact"/>
        <w:ind w:firstLine="600"/>
        <w:jc w:val="both"/>
        <w:rPr>
          <w:rFonts w:cs="Times New Roman"/>
          <w:sz w:val="30"/>
          <w:szCs w:val="30"/>
        </w:rPr>
      </w:pPr>
      <w:r>
        <w:rPr>
          <w:rFonts w:cs="Times New Roman"/>
          <w:sz w:val="30"/>
          <w:szCs w:val="30"/>
        </w:rPr>
        <w:t>交易网关、行情网关、结算网关的初始用户与密码以</w:t>
      </w:r>
      <w:r>
        <w:rPr>
          <w:rFonts w:cs="Times New Roman"/>
          <w:color w:val="000000" w:themeColor="text1"/>
          <w:sz w:val="30"/>
          <w:szCs w:val="30"/>
          <w14:textFill>
            <w14:solidFill>
              <w14:schemeClr w14:val="tx1"/>
            </w14:solidFill>
          </w14:textFill>
        </w:rPr>
        <w:t>全网测试前一</w:t>
      </w:r>
      <w:r>
        <w:rPr>
          <w:rFonts w:hint="eastAsia" w:cs="Times New Roman"/>
          <w:color w:val="000000" w:themeColor="text1"/>
          <w:sz w:val="30"/>
          <w:szCs w:val="30"/>
          <w14:textFill>
            <w14:solidFill>
              <w14:schemeClr w14:val="tx1"/>
            </w14:solidFill>
          </w14:textFill>
        </w:rPr>
        <w:t>交易</w:t>
      </w:r>
      <w:r>
        <w:rPr>
          <w:rFonts w:cs="Times New Roman"/>
          <w:color w:val="000000" w:themeColor="text1"/>
          <w:sz w:val="30"/>
          <w:szCs w:val="30"/>
          <w14:textFill>
            <w14:solidFill>
              <w14:schemeClr w14:val="tx1"/>
            </w14:solidFill>
          </w14:textFill>
        </w:rPr>
        <w:t>日</w:t>
      </w:r>
      <w:r>
        <w:rPr>
          <w:rFonts w:hint="eastAsia" w:cs="Times New Roman"/>
          <w:color w:val="000000" w:themeColor="text1"/>
          <w:sz w:val="30"/>
          <w:szCs w:val="30"/>
          <w14:textFill>
            <w14:solidFill>
              <w14:schemeClr w14:val="tx1"/>
            </w14:solidFill>
          </w14:textFill>
        </w:rPr>
        <w:t>（2025年4月18日）</w:t>
      </w:r>
      <w:r>
        <w:rPr>
          <w:rFonts w:cs="Times New Roman"/>
          <w:sz w:val="30"/>
          <w:szCs w:val="30"/>
        </w:rPr>
        <w:t>深证通</w:t>
      </w:r>
      <w:r>
        <w:rPr>
          <w:rFonts w:hint="eastAsia" w:cs="Times New Roman"/>
          <w:sz w:val="30"/>
          <w:szCs w:val="30"/>
        </w:rPr>
        <w:t>生产</w:t>
      </w:r>
      <w:r>
        <w:rPr>
          <w:rFonts w:cs="Times New Roman"/>
          <w:sz w:val="30"/>
          <w:szCs w:val="30"/>
        </w:rPr>
        <w:t>环境闭市时数据为准。</w:t>
      </w:r>
    </w:p>
    <w:p>
      <w:pPr>
        <w:pStyle w:val="73"/>
        <w:widowControl w:val="0"/>
        <w:spacing w:before="163" w:after="163" w:line="600" w:lineRule="exact"/>
        <w:ind w:firstLine="560"/>
        <w:rPr>
          <w:rFonts w:eastAsia="楷体" w:cs="Times New Roman"/>
          <w:sz w:val="28"/>
          <w:szCs w:val="28"/>
        </w:rPr>
      </w:pPr>
      <w:bookmarkStart w:id="83" w:name="_Toc1313986375"/>
      <w:bookmarkStart w:id="84" w:name="_Toc1913828385"/>
      <w:bookmarkStart w:id="85" w:name="_Toc640317283"/>
      <w:bookmarkStart w:id="86" w:name="_Toc484947395"/>
      <w:bookmarkStart w:id="87" w:name="_Toc676088891"/>
      <w:bookmarkStart w:id="88" w:name="_Toc685899992"/>
      <w:bookmarkStart w:id="89" w:name="_Toc233371306"/>
      <w:bookmarkStart w:id="90" w:name="_Toc386055763"/>
      <w:bookmarkStart w:id="91" w:name="_Toc938010188"/>
      <w:r>
        <w:rPr>
          <w:rFonts w:eastAsia="楷体" w:cs="Times New Roman"/>
          <w:sz w:val="28"/>
          <w:szCs w:val="28"/>
        </w:rPr>
        <w:t>（四）FDEP小站</w:t>
      </w:r>
      <w:bookmarkEnd w:id="83"/>
      <w:bookmarkEnd w:id="84"/>
      <w:bookmarkEnd w:id="85"/>
      <w:bookmarkEnd w:id="86"/>
      <w:bookmarkEnd w:id="87"/>
      <w:bookmarkEnd w:id="88"/>
      <w:bookmarkEnd w:id="89"/>
      <w:bookmarkEnd w:id="90"/>
      <w:bookmarkEnd w:id="91"/>
    </w:p>
    <w:p>
      <w:pPr>
        <w:widowControl w:val="0"/>
        <w:spacing w:line="600" w:lineRule="exact"/>
        <w:ind w:firstLine="600"/>
        <w:jc w:val="both"/>
        <w:rPr>
          <w:rFonts w:cs="Times New Roman"/>
          <w:sz w:val="30"/>
          <w:szCs w:val="30"/>
        </w:rPr>
      </w:pPr>
      <w:r>
        <w:rPr>
          <w:rFonts w:hint="eastAsia" w:cs="Times New Roman"/>
          <w:sz w:val="30"/>
          <w:szCs w:val="30"/>
        </w:rPr>
        <w:t>证券公司用于接收交易支持平台下发文件的FDEP小站号</w:t>
      </w:r>
      <w:r>
        <w:rPr>
          <w:rFonts w:cs="Times New Roman"/>
          <w:sz w:val="30"/>
          <w:szCs w:val="30"/>
        </w:rPr>
        <w:t>以</w:t>
      </w:r>
      <w:r>
        <w:rPr>
          <w:rFonts w:cs="Times New Roman"/>
          <w:color w:val="000000" w:themeColor="text1"/>
          <w:sz w:val="30"/>
          <w:szCs w:val="30"/>
          <w14:textFill>
            <w14:solidFill>
              <w14:schemeClr w14:val="tx1"/>
            </w14:solidFill>
          </w14:textFill>
        </w:rPr>
        <w:t>全网测试前一</w:t>
      </w:r>
      <w:r>
        <w:rPr>
          <w:rFonts w:hint="eastAsia" w:cs="Times New Roman"/>
          <w:color w:val="000000" w:themeColor="text1"/>
          <w:sz w:val="30"/>
          <w:szCs w:val="30"/>
          <w14:textFill>
            <w14:solidFill>
              <w14:schemeClr w14:val="tx1"/>
            </w14:solidFill>
          </w14:textFill>
        </w:rPr>
        <w:t>交易</w:t>
      </w:r>
      <w:r>
        <w:rPr>
          <w:rFonts w:cs="Times New Roman"/>
          <w:color w:val="000000" w:themeColor="text1"/>
          <w:sz w:val="30"/>
          <w:szCs w:val="30"/>
          <w14:textFill>
            <w14:solidFill>
              <w14:schemeClr w14:val="tx1"/>
            </w14:solidFill>
          </w14:textFill>
        </w:rPr>
        <w:t>日</w:t>
      </w:r>
      <w:r>
        <w:rPr>
          <w:rFonts w:hint="eastAsia" w:cs="Times New Roman"/>
          <w:color w:val="000000" w:themeColor="text1"/>
          <w:sz w:val="30"/>
          <w:szCs w:val="30"/>
          <w14:textFill>
            <w14:solidFill>
              <w14:schemeClr w14:val="tx1"/>
            </w14:solidFill>
          </w14:textFill>
        </w:rPr>
        <w:t>（2025年4月18日）</w:t>
      </w:r>
      <w:r>
        <w:rPr>
          <w:rFonts w:hint="eastAsia" w:cs="Times New Roman"/>
          <w:sz w:val="30"/>
          <w:szCs w:val="30"/>
        </w:rPr>
        <w:t>深证通生产</w:t>
      </w:r>
      <w:r>
        <w:rPr>
          <w:rFonts w:cs="Times New Roman"/>
          <w:sz w:val="30"/>
          <w:szCs w:val="30"/>
        </w:rPr>
        <w:t>环境闭市时数据为准</w:t>
      </w:r>
      <w:r>
        <w:rPr>
          <w:rFonts w:hint="eastAsia" w:cs="Times New Roman"/>
          <w:sz w:val="30"/>
          <w:szCs w:val="30"/>
        </w:rPr>
        <w:t>。全国股转公司北交所FDEP小站号为k</w:t>
      </w:r>
      <w:r>
        <w:rPr>
          <w:rFonts w:cs="Times New Roman"/>
          <w:sz w:val="30"/>
          <w:szCs w:val="30"/>
        </w:rPr>
        <w:t>0903</w:t>
      </w:r>
      <w:r>
        <w:rPr>
          <w:rFonts w:hint="eastAsia" w:cs="Times New Roman"/>
          <w:sz w:val="30"/>
          <w:szCs w:val="30"/>
        </w:rPr>
        <w:t>。</w:t>
      </w:r>
    </w:p>
    <w:p>
      <w:pPr>
        <w:pStyle w:val="73"/>
        <w:spacing w:before="163" w:after="163"/>
        <w:ind w:firstLine="600"/>
      </w:pPr>
      <w:bookmarkStart w:id="92" w:name="_Toc1530534207"/>
      <w:r>
        <w:rPr>
          <w:rFonts w:hint="eastAsia"/>
        </w:rPr>
        <w:t>八、全网测试</w:t>
      </w:r>
      <w:r>
        <w:t>系统接入方式</w:t>
      </w:r>
      <w:bookmarkEnd w:id="53"/>
      <w:bookmarkEnd w:id="54"/>
      <w:bookmarkEnd w:id="55"/>
      <w:bookmarkEnd w:id="56"/>
      <w:bookmarkEnd w:id="57"/>
      <w:bookmarkEnd w:id="58"/>
      <w:bookmarkEnd w:id="59"/>
      <w:bookmarkEnd w:id="60"/>
      <w:bookmarkEnd w:id="92"/>
    </w:p>
    <w:p>
      <w:pPr>
        <w:pStyle w:val="73"/>
        <w:spacing w:before="163" w:after="163"/>
        <w:ind w:firstLine="560"/>
        <w:rPr>
          <w:rFonts w:eastAsia="楷体" w:cs="Times New Roman"/>
          <w:sz w:val="28"/>
          <w:szCs w:val="28"/>
        </w:rPr>
      </w:pPr>
      <w:bookmarkStart w:id="93" w:name="_Toc157623432"/>
      <w:bookmarkStart w:id="94" w:name="_Toc502850310"/>
      <w:bookmarkStart w:id="95" w:name="_Toc2081286836"/>
      <w:bookmarkStart w:id="96" w:name="_Toc2141292316"/>
      <w:bookmarkStart w:id="97" w:name="_Toc416422123"/>
      <w:bookmarkStart w:id="98" w:name="_Toc374957922"/>
      <w:bookmarkStart w:id="99" w:name="_Toc374381864"/>
      <w:bookmarkStart w:id="100" w:name="_Toc375070740"/>
      <w:bookmarkStart w:id="101" w:name="_Toc376285235"/>
      <w:bookmarkStart w:id="102" w:name="_Toc375557976"/>
      <w:bookmarkStart w:id="103" w:name="_Toc376597528"/>
      <w:bookmarkStart w:id="104" w:name="_Toc374381930"/>
      <w:bookmarkStart w:id="105" w:name="_Toc376285237"/>
      <w:bookmarkStart w:id="106" w:name="_Toc1509349101"/>
      <w:bookmarkStart w:id="107" w:name="_Toc374381866"/>
      <w:bookmarkStart w:id="108" w:name="_Toc375070742"/>
      <w:bookmarkStart w:id="109" w:name="_Toc374381932"/>
      <w:bookmarkStart w:id="110" w:name="_Toc375557978"/>
      <w:bookmarkStart w:id="111" w:name="_Toc374957924"/>
      <w:bookmarkStart w:id="112" w:name="_Toc376597530"/>
      <w:r>
        <w:rPr>
          <w:rFonts w:hint="eastAsia" w:eastAsia="楷体" w:cs="Times New Roman"/>
          <w:sz w:val="28"/>
          <w:szCs w:val="28"/>
        </w:rPr>
        <w:t>（一）</w:t>
      </w:r>
      <w:r>
        <w:rPr>
          <w:rFonts w:eastAsia="楷体" w:cs="Times New Roman"/>
          <w:sz w:val="28"/>
          <w:szCs w:val="28"/>
        </w:rPr>
        <w:t>参测</w:t>
      </w:r>
      <w:r>
        <w:rPr>
          <w:rFonts w:hint="eastAsia" w:eastAsia="楷体" w:cs="Times New Roman"/>
          <w:sz w:val="28"/>
          <w:szCs w:val="28"/>
        </w:rPr>
        <w:t>机构</w:t>
      </w:r>
      <w:r>
        <w:rPr>
          <w:rFonts w:eastAsia="楷体" w:cs="Times New Roman"/>
          <w:sz w:val="28"/>
          <w:szCs w:val="28"/>
        </w:rPr>
        <w:t>接入深证通</w:t>
      </w:r>
      <w:bookmarkEnd w:id="93"/>
      <w:bookmarkEnd w:id="94"/>
      <w:bookmarkEnd w:id="95"/>
      <w:bookmarkEnd w:id="96"/>
      <w:bookmarkEnd w:id="97"/>
    </w:p>
    <w:p>
      <w:pPr>
        <w:spacing w:line="240" w:lineRule="auto"/>
        <w:ind w:firstLine="600"/>
        <w:jc w:val="both"/>
        <w:rPr>
          <w:rFonts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参测机构通过</w:t>
      </w:r>
      <w:r>
        <w:rPr>
          <w:rFonts w:hint="eastAsia" w:ascii="仿宋" w:hAnsi="仿宋" w:cs="Times New Roman"/>
          <w:color w:val="000000" w:themeColor="text1"/>
          <w:sz w:val="30"/>
          <w:szCs w:val="30"/>
          <w14:textFill>
            <w14:solidFill>
              <w14:schemeClr w14:val="tx1"/>
            </w14:solidFill>
          </w14:textFill>
        </w:rPr>
        <w:t>生产</w:t>
      </w:r>
      <w:r>
        <w:rPr>
          <w:rFonts w:ascii="仿宋" w:hAnsi="仿宋" w:cs="Times New Roman"/>
          <w:color w:val="000000" w:themeColor="text1"/>
          <w:sz w:val="30"/>
          <w:szCs w:val="30"/>
          <w14:textFill>
            <w14:solidFill>
              <w14:schemeClr w14:val="tx1"/>
            </w14:solidFill>
          </w14:textFill>
        </w:rPr>
        <w:t>环境线路接入深证通提供的全网测试环境，如有问题，及时联系深证通。</w:t>
      </w:r>
    </w:p>
    <w:p>
      <w:pPr>
        <w:pStyle w:val="73"/>
        <w:spacing w:before="163" w:after="163"/>
        <w:ind w:firstLine="560"/>
        <w:rPr>
          <w:rFonts w:eastAsia="楷体" w:cs="Times New Roman"/>
          <w:sz w:val="28"/>
          <w:szCs w:val="28"/>
        </w:rPr>
      </w:pPr>
      <w:bookmarkStart w:id="113" w:name="_Toc157623433"/>
      <w:bookmarkStart w:id="114" w:name="_Toc1120961083"/>
      <w:bookmarkStart w:id="115" w:name="_Toc1377912424"/>
      <w:bookmarkStart w:id="116" w:name="_Toc1905794060"/>
      <w:bookmarkStart w:id="117" w:name="_Toc386964499"/>
      <w:bookmarkStart w:id="118" w:name="_Toc416422124"/>
      <w:r>
        <w:rPr>
          <w:rFonts w:hint="eastAsia" w:eastAsia="楷体" w:cs="Times New Roman"/>
          <w:sz w:val="28"/>
          <w:szCs w:val="28"/>
        </w:rPr>
        <w:t>（二）</w:t>
      </w:r>
      <w:r>
        <w:rPr>
          <w:rFonts w:eastAsia="楷体" w:cs="Times New Roman"/>
          <w:sz w:val="28"/>
          <w:szCs w:val="28"/>
        </w:rPr>
        <w:t>参测</w:t>
      </w:r>
      <w:r>
        <w:rPr>
          <w:rFonts w:hint="eastAsia" w:eastAsia="楷体" w:cs="Times New Roman"/>
          <w:sz w:val="28"/>
          <w:szCs w:val="28"/>
        </w:rPr>
        <w:t>机构</w:t>
      </w:r>
      <w:r>
        <w:rPr>
          <w:rFonts w:eastAsia="楷体" w:cs="Times New Roman"/>
          <w:sz w:val="28"/>
          <w:szCs w:val="28"/>
        </w:rPr>
        <w:t>接入</w:t>
      </w:r>
      <w:r>
        <w:rPr>
          <w:rFonts w:hint="eastAsia" w:eastAsia="楷体" w:cs="Times New Roman"/>
          <w:sz w:val="28"/>
          <w:szCs w:val="28"/>
        </w:rPr>
        <w:t>中国结算</w:t>
      </w:r>
      <w:bookmarkEnd w:id="113"/>
      <w:bookmarkEnd w:id="114"/>
      <w:bookmarkEnd w:id="115"/>
      <w:bookmarkEnd w:id="116"/>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参见中国</w:t>
      </w:r>
      <w:r>
        <w:rPr>
          <w:rFonts w:cs="Times New Roman"/>
          <w:color w:val="000000" w:themeColor="text1"/>
          <w:sz w:val="30"/>
          <w:szCs w:val="30"/>
          <w14:textFill>
            <w14:solidFill>
              <w14:schemeClr w14:val="tx1"/>
            </w14:solidFill>
          </w14:textFill>
        </w:rPr>
        <w:t>结算测试方案</w:t>
      </w:r>
      <w:r>
        <w:rPr>
          <w:rFonts w:hint="eastAsia" w:cs="Times New Roman"/>
          <w:color w:val="000000" w:themeColor="text1"/>
          <w:sz w:val="30"/>
          <w:szCs w:val="30"/>
          <w14:textFill>
            <w14:solidFill>
              <w14:schemeClr w14:val="tx1"/>
            </w14:solidFill>
          </w14:textFill>
        </w:rPr>
        <w:t>。</w:t>
      </w:r>
    </w:p>
    <w:p>
      <w:pPr>
        <w:pStyle w:val="73"/>
        <w:spacing w:before="163" w:after="163"/>
        <w:ind w:firstLine="560"/>
        <w:rPr>
          <w:rFonts w:eastAsia="楷体" w:cs="Times New Roman"/>
          <w:sz w:val="28"/>
          <w:szCs w:val="28"/>
        </w:rPr>
      </w:pPr>
      <w:bookmarkStart w:id="119" w:name="_Toc9178415"/>
      <w:bookmarkStart w:id="120" w:name="_Toc2113471817"/>
      <w:bookmarkStart w:id="121" w:name="_Toc157623434"/>
      <w:bookmarkStart w:id="122" w:name="_Toc716568656"/>
      <w:r>
        <w:rPr>
          <w:rFonts w:hint="eastAsia" w:eastAsia="楷体" w:cs="Times New Roman"/>
          <w:sz w:val="28"/>
          <w:szCs w:val="28"/>
        </w:rPr>
        <w:t>（三）</w:t>
      </w:r>
      <w:r>
        <w:rPr>
          <w:rFonts w:eastAsia="楷体" w:cs="Times New Roman"/>
          <w:sz w:val="28"/>
          <w:szCs w:val="28"/>
        </w:rPr>
        <w:t>测试相关软件下载</w:t>
      </w:r>
      <w:bookmarkEnd w:id="117"/>
      <w:bookmarkEnd w:id="118"/>
      <w:bookmarkEnd w:id="119"/>
      <w:bookmarkEnd w:id="120"/>
      <w:bookmarkEnd w:id="121"/>
      <w:bookmarkEnd w:id="122"/>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本次测试所需</w:t>
      </w:r>
      <w:r>
        <w:rPr>
          <w:rFonts w:hint="eastAsia" w:cs="Times New Roman"/>
          <w:color w:val="000000" w:themeColor="text1"/>
          <w:sz w:val="30"/>
          <w:szCs w:val="30"/>
          <w14:textFill>
            <w14:solidFill>
              <w14:schemeClr w14:val="tx1"/>
            </w14:solidFill>
          </w14:textFill>
        </w:rPr>
        <w:t>的</w:t>
      </w:r>
      <w:r>
        <w:rPr>
          <w:rFonts w:cs="Times New Roman"/>
          <w:color w:val="000000" w:themeColor="text1"/>
          <w:sz w:val="30"/>
          <w:szCs w:val="30"/>
          <w14:textFill>
            <w14:solidFill>
              <w14:schemeClr w14:val="tx1"/>
            </w14:solidFill>
          </w14:textFill>
        </w:rPr>
        <w:t>交易网关</w:t>
      </w:r>
      <w:r>
        <w:rPr>
          <w:rFonts w:hint="eastAsia" w:cs="Times New Roman"/>
          <w:color w:val="000000" w:themeColor="text1"/>
          <w:sz w:val="30"/>
          <w:szCs w:val="30"/>
          <w14:textFill>
            <w14:solidFill>
              <w14:schemeClr w14:val="tx1"/>
            </w14:solidFill>
          </w14:textFill>
        </w:rPr>
        <w:t>、行情网关均为现有生产</w:t>
      </w:r>
      <w:r>
        <w:rPr>
          <w:rFonts w:cs="Times New Roman"/>
          <w:color w:val="000000" w:themeColor="text1"/>
          <w:sz w:val="30"/>
          <w:szCs w:val="30"/>
          <w14:textFill>
            <w14:solidFill>
              <w14:schemeClr w14:val="tx1"/>
            </w14:solidFill>
          </w14:textFill>
        </w:rPr>
        <w:t>版本，</w:t>
      </w:r>
      <w:r>
        <w:rPr>
          <w:rFonts w:hint="eastAsia" w:cs="Times New Roman"/>
          <w:color w:val="000000" w:themeColor="text1"/>
          <w:sz w:val="30"/>
          <w:szCs w:val="30"/>
          <w14:textFill>
            <w14:solidFill>
              <w14:schemeClr w14:val="tx1"/>
            </w14:solidFill>
          </w14:textFill>
        </w:rPr>
        <w:t>可通过深证通官网（http://biz.sscc.com/download.html）页面下载。</w:t>
      </w:r>
    </w:p>
    <w:bookmarkEnd w:id="98"/>
    <w:bookmarkEnd w:id="99"/>
    <w:bookmarkEnd w:id="100"/>
    <w:bookmarkEnd w:id="101"/>
    <w:bookmarkEnd w:id="102"/>
    <w:bookmarkEnd w:id="103"/>
    <w:bookmarkEnd w:id="104"/>
    <w:p>
      <w:pPr>
        <w:pStyle w:val="73"/>
        <w:spacing w:before="163" w:after="163"/>
        <w:ind w:firstLine="600"/>
      </w:pPr>
      <w:bookmarkStart w:id="123" w:name="_Toc1908365568"/>
      <w:r>
        <w:rPr>
          <w:rFonts w:hint="eastAsia"/>
        </w:rPr>
        <w:t>九、</w:t>
      </w:r>
      <w:r>
        <w:t>测试要求及注意事项</w:t>
      </w:r>
      <w:bookmarkEnd w:id="105"/>
      <w:bookmarkEnd w:id="106"/>
      <w:bookmarkEnd w:id="107"/>
      <w:bookmarkEnd w:id="108"/>
      <w:bookmarkEnd w:id="109"/>
      <w:bookmarkEnd w:id="110"/>
      <w:bookmarkEnd w:id="111"/>
      <w:bookmarkEnd w:id="112"/>
      <w:bookmarkEnd w:id="123"/>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1.</w:t>
      </w:r>
      <w:r>
        <w:rPr>
          <w:rFonts w:cs="Times New Roman"/>
          <w:color w:val="000000" w:themeColor="text1"/>
          <w:sz w:val="30"/>
          <w:szCs w:val="30"/>
          <w14:textFill>
            <w14:solidFill>
              <w14:schemeClr w14:val="tx1"/>
            </w14:solidFill>
          </w14:textFill>
        </w:rPr>
        <w:t>各参测机构应认真做好技术准备和测试环境</w:t>
      </w:r>
      <w:r>
        <w:rPr>
          <w:rFonts w:hint="eastAsia" w:cs="Times New Roman"/>
          <w:color w:val="000000" w:themeColor="text1"/>
          <w:sz w:val="30"/>
          <w:szCs w:val="30"/>
          <w14:textFill>
            <w14:solidFill>
              <w14:schemeClr w14:val="tx1"/>
            </w14:solidFill>
          </w14:textFill>
        </w:rPr>
        <w:t>准备工作</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制定</w:t>
      </w:r>
      <w:r>
        <w:rPr>
          <w:rFonts w:cs="Times New Roman"/>
          <w:color w:val="000000" w:themeColor="text1"/>
          <w:sz w:val="30"/>
          <w:szCs w:val="30"/>
          <w14:textFill>
            <w14:solidFill>
              <w14:schemeClr w14:val="tx1"/>
            </w14:solidFill>
          </w14:textFill>
        </w:rPr>
        <w:t>详尽的</w:t>
      </w:r>
      <w:r>
        <w:rPr>
          <w:rFonts w:hint="eastAsia" w:cs="Times New Roman"/>
          <w:color w:val="000000" w:themeColor="text1"/>
          <w:sz w:val="30"/>
          <w:szCs w:val="30"/>
          <w14:textFill>
            <w14:solidFill>
              <w14:schemeClr w14:val="tx1"/>
            </w14:solidFill>
          </w14:textFill>
        </w:rPr>
        <w:t>代码切换方案和</w:t>
      </w:r>
      <w:r>
        <w:rPr>
          <w:rFonts w:cs="Times New Roman"/>
          <w:color w:val="000000" w:themeColor="text1"/>
          <w:sz w:val="30"/>
          <w:szCs w:val="30"/>
          <w14:textFill>
            <w14:solidFill>
              <w14:schemeClr w14:val="tx1"/>
            </w14:solidFill>
          </w14:textFill>
        </w:rPr>
        <w:t>测试计划，并指定专人负责本次</w:t>
      </w:r>
      <w:r>
        <w:rPr>
          <w:rFonts w:hint="eastAsia" w:cs="Times New Roman"/>
          <w:color w:val="000000" w:themeColor="text1"/>
          <w:sz w:val="30"/>
          <w:szCs w:val="30"/>
          <w14:textFill>
            <w14:solidFill>
              <w14:schemeClr w14:val="tx1"/>
            </w14:solidFill>
          </w14:textFill>
        </w:rPr>
        <w:t>全网测试</w:t>
      </w:r>
      <w:r>
        <w:rPr>
          <w:rFonts w:cs="Times New Roman"/>
          <w:color w:val="000000" w:themeColor="text1"/>
          <w:sz w:val="30"/>
          <w:szCs w:val="30"/>
          <w14:textFill>
            <w14:solidFill>
              <w14:schemeClr w14:val="tx1"/>
            </w14:solidFill>
          </w14:textFill>
        </w:rPr>
        <w:t>工作。</w:t>
      </w:r>
    </w:p>
    <w:p>
      <w:pPr>
        <w:spacing w:line="240" w:lineRule="auto"/>
        <w:ind w:firstLine="600"/>
        <w:jc w:val="both"/>
        <w:rPr>
          <w:rFonts w:cs="Times New Roman"/>
          <w:color w:val="000000" w:themeColor="text1"/>
          <w:sz w:val="30"/>
          <w:szCs w:val="30"/>
          <w:lang w:val="en"/>
          <w14:textFill>
            <w14:solidFill>
              <w14:schemeClr w14:val="tx1"/>
            </w14:solidFill>
          </w14:textFill>
        </w:rPr>
      </w:pPr>
      <w:r>
        <w:rPr>
          <w:rFonts w:hint="eastAsia" w:cs="Times New Roman"/>
          <w:color w:val="000000" w:themeColor="text1"/>
          <w:sz w:val="30"/>
          <w:szCs w:val="30"/>
          <w14:textFill>
            <w14:solidFill>
              <w14:schemeClr w14:val="tx1"/>
            </w14:solidFill>
          </w14:textFill>
        </w:rPr>
        <w:t>2.开展北交所业务的全体证券公司</w:t>
      </w:r>
      <w:r>
        <w:rPr>
          <w:rFonts w:hint="eastAsia" w:cs="Times New Roman"/>
          <w:color w:val="000000" w:themeColor="text1"/>
          <w:sz w:val="30"/>
          <w:szCs w:val="30"/>
          <w:lang w:val="en"/>
          <w14:textFill>
            <w14:solidFill>
              <w14:schemeClr w14:val="tx1"/>
            </w14:solidFill>
          </w14:textFill>
        </w:rPr>
        <w:t>应参加测试，已开展融资融券或北交所做市交易业务的证券公司应安排参测相关业务场景。证券公司应通知</w:t>
      </w:r>
      <w:r>
        <w:rPr>
          <w:rFonts w:hint="eastAsia" w:cs="Times New Roman"/>
          <w:sz w:val="30"/>
          <w:szCs w:val="30"/>
          <w:lang w:val="en"/>
        </w:rPr>
        <w:t>租用其交易单元的基金公司参加</w:t>
      </w:r>
      <w:r>
        <w:rPr>
          <w:rFonts w:hint="eastAsia" w:cs="Times New Roman"/>
          <w:color w:val="000000" w:themeColor="text1"/>
          <w:sz w:val="30"/>
          <w:szCs w:val="30"/>
          <w:lang w:val="en"/>
          <w14:textFill>
            <w14:solidFill>
              <w14:schemeClr w14:val="tx1"/>
            </w14:solidFill>
          </w14:textFill>
        </w:rPr>
        <w:t>测试。</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3.开展北交所业务的基金公司和提供北交所行情服务的信息商应参加测试。</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4.</w:t>
      </w:r>
      <w:r>
        <w:rPr>
          <w:rFonts w:cs="Times New Roman"/>
          <w:color w:val="000000" w:themeColor="text1"/>
          <w:sz w:val="30"/>
          <w:szCs w:val="30"/>
          <w14:textFill>
            <w14:solidFill>
              <w14:schemeClr w14:val="tx1"/>
            </w14:solidFill>
          </w14:textFill>
        </w:rPr>
        <w:t>在测试过程中，各参测机构应</w:t>
      </w:r>
      <w:r>
        <w:rPr>
          <w:rFonts w:hint="eastAsia" w:cs="Times New Roman"/>
          <w:color w:val="000000" w:themeColor="text1"/>
          <w:sz w:val="30"/>
          <w:szCs w:val="30"/>
          <w14:textFill>
            <w14:solidFill>
              <w14:schemeClr w14:val="tx1"/>
            </w14:solidFill>
          </w14:textFill>
        </w:rPr>
        <w:t>按要求达到测试用例数量，并</w:t>
      </w:r>
      <w:r>
        <w:rPr>
          <w:rFonts w:cs="Times New Roman"/>
          <w:color w:val="000000" w:themeColor="text1"/>
          <w:sz w:val="30"/>
          <w:szCs w:val="30"/>
          <w14:textFill>
            <w14:solidFill>
              <w14:schemeClr w14:val="tx1"/>
            </w14:solidFill>
          </w14:textFill>
        </w:rPr>
        <w:t>详细记载测试现象与结果，检查其正确性。如发现异常现象，请及时通过电话或QQ群与</w:t>
      </w:r>
      <w:r>
        <w:rPr>
          <w:rFonts w:hint="eastAsia" w:cs="Times New Roman"/>
          <w:color w:val="000000" w:themeColor="text1"/>
          <w:sz w:val="30"/>
          <w:szCs w:val="30"/>
          <w14:textFill>
            <w14:solidFill>
              <w14:schemeClr w14:val="tx1"/>
            </w14:solidFill>
          </w14:textFill>
        </w:rPr>
        <w:t>北交所</w:t>
      </w:r>
      <w:r>
        <w:rPr>
          <w:rFonts w:cs="Times New Roman"/>
          <w:color w:val="000000" w:themeColor="text1"/>
          <w:sz w:val="30"/>
          <w:szCs w:val="30"/>
          <w14:textFill>
            <w14:solidFill>
              <w14:schemeClr w14:val="tx1"/>
            </w14:solidFill>
          </w14:textFill>
        </w:rPr>
        <w:t>沟通联系。</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5.</w:t>
      </w:r>
      <w:r>
        <w:rPr>
          <w:rFonts w:cs="Times New Roman"/>
          <w:color w:val="000000" w:themeColor="text1"/>
          <w:sz w:val="30"/>
          <w:szCs w:val="30"/>
          <w14:textFill>
            <w14:solidFill>
              <w14:schemeClr w14:val="tx1"/>
            </w14:solidFill>
          </w14:textFill>
        </w:rPr>
        <w:t>测试结束后，各</w:t>
      </w:r>
      <w:r>
        <w:rPr>
          <w:rFonts w:hint="eastAsia" w:cs="Times New Roman"/>
          <w:color w:val="000000" w:themeColor="text1"/>
          <w:sz w:val="30"/>
          <w:szCs w:val="30"/>
          <w14:textFill>
            <w14:solidFill>
              <w14:schemeClr w14:val="tx1"/>
            </w14:solidFill>
          </w14:textFill>
        </w:rPr>
        <w:t>证券公司、参测基金公司和信息商应收集各自</w:t>
      </w:r>
      <w:r>
        <w:rPr>
          <w:rFonts w:cs="Times New Roman"/>
          <w:color w:val="000000" w:themeColor="text1"/>
          <w:sz w:val="30"/>
          <w:szCs w:val="30"/>
          <w14:textFill>
            <w14:solidFill>
              <w14:schemeClr w14:val="tx1"/>
            </w14:solidFill>
          </w14:textFill>
        </w:rPr>
        <w:t>技术系统的测试情况，</w:t>
      </w:r>
      <w:r>
        <w:rPr>
          <w:rFonts w:hint="eastAsia" w:cs="Times New Roman"/>
          <w:color w:val="000000" w:themeColor="text1"/>
          <w:sz w:val="30"/>
          <w:szCs w:val="30"/>
          <w14:textFill>
            <w14:solidFill>
              <w14:schemeClr w14:val="tx1"/>
            </w14:solidFill>
          </w14:textFill>
        </w:rPr>
        <w:t>并于测试结束当日（2025年4月19日）18:</w:t>
      </w:r>
      <w:r>
        <w:rPr>
          <w:rFonts w:cs="Times New Roman"/>
          <w:color w:val="000000" w:themeColor="text1"/>
          <w:sz w:val="30"/>
          <w:szCs w:val="30"/>
          <w14:textFill>
            <w14:solidFill>
              <w14:schemeClr w14:val="tx1"/>
            </w14:solidFill>
          </w14:textFill>
        </w:rPr>
        <w:t>00之前通过</w:t>
      </w:r>
      <w:r>
        <w:rPr>
          <w:rFonts w:hint="eastAsia" w:cs="Times New Roman"/>
          <w:color w:val="000000" w:themeColor="text1"/>
          <w:sz w:val="30"/>
          <w:szCs w:val="30"/>
          <w14:textFill>
            <w14:solidFill>
              <w14:schemeClr w14:val="tx1"/>
            </w14:solidFill>
          </w14:textFill>
        </w:rPr>
        <w:t>电子邮件</w:t>
      </w:r>
      <w:r>
        <w:rPr>
          <w:rFonts w:cs="Times New Roman"/>
          <w:color w:val="000000" w:themeColor="text1"/>
          <w:sz w:val="30"/>
          <w:szCs w:val="30"/>
          <w14:textFill>
            <w14:solidFill>
              <w14:schemeClr w14:val="tx1"/>
            </w14:solidFill>
          </w14:textFill>
        </w:rPr>
        <w:t>提交测试报告（</w:t>
      </w:r>
      <w:r>
        <w:rPr>
          <w:rFonts w:hint="eastAsia" w:cs="Times New Roman"/>
          <w:color w:val="000000" w:themeColor="text1"/>
          <w:sz w:val="30"/>
          <w:szCs w:val="30"/>
          <w14:textFill>
            <w14:solidFill>
              <w14:schemeClr w14:val="tx1"/>
            </w14:solidFill>
          </w14:textFill>
        </w:rPr>
        <w:t>无需盖章</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邮件主题</w:t>
      </w:r>
      <w:r>
        <w:rPr>
          <w:rFonts w:hint="eastAsia" w:cs="Times New Roman"/>
          <w:color w:val="000000" w:themeColor="text1"/>
          <w:sz w:val="30"/>
          <w:szCs w:val="30"/>
          <w14:textFill>
            <w14:solidFill>
              <w14:schemeClr w14:val="tx1"/>
            </w14:solidFill>
          </w14:textFill>
        </w:rPr>
        <w:t>和附件名称</w:t>
      </w:r>
      <w:r>
        <w:rPr>
          <w:rFonts w:cs="Times New Roman"/>
          <w:color w:val="000000" w:themeColor="text1"/>
          <w:sz w:val="30"/>
          <w:szCs w:val="30"/>
          <w14:textFill>
            <w14:solidFill>
              <w14:schemeClr w14:val="tx1"/>
            </w14:solidFill>
          </w14:textFill>
        </w:rPr>
        <w:t>均为：</w:t>
      </w:r>
      <w:r>
        <w:rPr>
          <w:rFonts w:hint="eastAsia" w:cs="Times New Roman"/>
          <w:color w:val="000000" w:themeColor="text1"/>
          <w:sz w:val="30"/>
          <w:szCs w:val="30"/>
          <w14:textFill>
            <w14:solidFill>
              <w14:schemeClr w14:val="tx1"/>
            </w14:solidFill>
          </w14:textFill>
        </w:rPr>
        <w:t>机构</w:t>
      </w:r>
      <w:r>
        <w:rPr>
          <w:rFonts w:cs="Times New Roman"/>
          <w:color w:val="000000" w:themeColor="text1"/>
          <w:sz w:val="30"/>
          <w:szCs w:val="30"/>
          <w14:textFill>
            <w14:solidFill>
              <w14:schemeClr w14:val="tx1"/>
            </w14:solidFill>
          </w14:textFill>
        </w:rPr>
        <w:t>名称+</w:t>
      </w:r>
      <w:r>
        <w:rPr>
          <w:rFonts w:hint="eastAsia" w:cs="Times New Roman"/>
          <w:color w:val="000000" w:themeColor="text1"/>
          <w:sz w:val="30"/>
          <w:szCs w:val="30"/>
          <w14:textFill>
            <w14:solidFill>
              <w14:schemeClr w14:val="tx1"/>
            </w14:solidFill>
          </w14:textFill>
        </w:rPr>
        <w:t>北交所存量上市公司代码切换（试点）</w:t>
      </w:r>
      <w:r>
        <w:rPr>
          <w:rFonts w:hint="eastAsia" w:cs="Times New Roman"/>
          <w:color w:val="000000" w:themeColor="text1"/>
          <w:sz w:val="30"/>
          <w:szCs w:val="30"/>
          <w:lang w:val="en"/>
          <w14:textFill>
            <w14:solidFill>
              <w14:schemeClr w14:val="tx1"/>
            </w14:solidFill>
          </w14:textFill>
        </w:rPr>
        <w:t>第三次</w:t>
      </w:r>
      <w:r>
        <w:rPr>
          <w:rFonts w:hint="eastAsia" w:cs="Times New Roman"/>
          <w:color w:val="000000" w:themeColor="text1"/>
          <w:sz w:val="30"/>
          <w:szCs w:val="30"/>
          <w14:textFill>
            <w14:solidFill>
              <w14:schemeClr w14:val="tx1"/>
            </w14:solidFill>
          </w14:textFill>
        </w:rPr>
        <w:t>全网测试报告，</w:t>
      </w:r>
      <w:r>
        <w:rPr>
          <w:rFonts w:cs="Times New Roman"/>
          <w:color w:val="000000" w:themeColor="text1"/>
          <w:sz w:val="30"/>
          <w:szCs w:val="30"/>
          <w14:textFill>
            <w14:solidFill>
              <w14:schemeClr w14:val="tx1"/>
            </w14:solidFill>
          </w14:textFill>
        </w:rPr>
        <w:t>收件邮箱为</w:t>
      </w:r>
      <w:r>
        <w:rPr>
          <w:rFonts w:hint="eastAsia" w:cs="Times New Roman"/>
          <w:color w:val="000000" w:themeColor="text1"/>
          <w:sz w:val="30"/>
          <w:szCs w:val="30"/>
          <w14:textFill>
            <w14:solidFill>
              <w14:schemeClr w14:val="tx1"/>
            </w14:solidFill>
          </w14:textFill>
        </w:rPr>
        <w:t>：</w:t>
      </w:r>
      <w:r>
        <w:fldChar w:fldCharType="begin"/>
      </w:r>
      <w:r>
        <w:instrText xml:space="preserve"> HYPERLINK "mailto:techservice@neeq.com.cn" </w:instrText>
      </w:r>
      <w:r>
        <w:fldChar w:fldCharType="separate"/>
      </w:r>
      <w:r>
        <w:rPr>
          <w:rFonts w:hint="eastAsia" w:cs="Times New Roman"/>
          <w:color w:val="000000" w:themeColor="text1"/>
          <w:sz w:val="30"/>
          <w:szCs w:val="30"/>
          <w14:textFill>
            <w14:solidFill>
              <w14:schemeClr w14:val="tx1"/>
            </w14:solidFill>
          </w14:textFill>
        </w:rPr>
        <w:t>techservice@neeq.com.cn</w:t>
      </w:r>
      <w:r>
        <w:rPr>
          <w:rFonts w:hint="eastAsia" w:cs="Times New Roman"/>
          <w:color w:val="000000" w:themeColor="text1"/>
          <w:sz w:val="30"/>
          <w:szCs w:val="30"/>
          <w14:textFill>
            <w14:solidFill>
              <w14:schemeClr w14:val="tx1"/>
            </w14:solidFill>
          </w14:textFill>
        </w:rPr>
        <w:fldChar w:fldCharType="end"/>
      </w:r>
      <w:r>
        <w:rPr>
          <w:rFonts w:cs="Times New Roman"/>
          <w:color w:val="000000" w:themeColor="text1"/>
          <w:sz w:val="30"/>
          <w:szCs w:val="30"/>
          <w14:textFill>
            <w14:solidFill>
              <w14:schemeClr w14:val="tx1"/>
            </w14:solidFill>
          </w14:textFill>
        </w:rPr>
        <w:t>。</w:t>
      </w:r>
    </w:p>
    <w:p>
      <w:pPr>
        <w:spacing w:line="240" w:lineRule="auto"/>
        <w:ind w:firstLine="600"/>
        <w:jc w:val="both"/>
        <w:rPr>
          <w:rFonts w:cs="Times New Roman"/>
          <w:color w:val="000000" w:themeColor="text1"/>
          <w:sz w:val="30"/>
          <w:szCs w:val="30"/>
          <w14:textFill>
            <w14:solidFill>
              <w14:schemeClr w14:val="tx1"/>
            </w14:solidFill>
          </w14:textFill>
        </w:rPr>
      </w:pPr>
    </w:p>
    <w:p>
      <w:pPr>
        <w:pStyle w:val="73"/>
        <w:spacing w:before="163" w:after="163"/>
        <w:ind w:firstLine="600"/>
      </w:pPr>
      <w:bookmarkStart w:id="124" w:name="_Toc374957927"/>
      <w:bookmarkStart w:id="125" w:name="_Toc375070745"/>
      <w:bookmarkStart w:id="126" w:name="_Toc374381869"/>
      <w:bookmarkStart w:id="127" w:name="_Toc376597533"/>
      <w:bookmarkStart w:id="128" w:name="_Toc754987178"/>
      <w:bookmarkStart w:id="129" w:name="_Toc2062526509"/>
      <w:bookmarkStart w:id="130" w:name="_Toc375557981"/>
      <w:bookmarkStart w:id="131" w:name="_Toc374381935"/>
      <w:bookmarkStart w:id="132" w:name="_Toc376285240"/>
      <w:r>
        <w:t>十</w:t>
      </w:r>
      <w:r>
        <w:rPr>
          <w:rFonts w:hint="eastAsia"/>
        </w:rPr>
        <w:t>、</w:t>
      </w:r>
      <w:r>
        <w:t>联系方式</w:t>
      </w:r>
      <w:bookmarkEnd w:id="124"/>
      <w:bookmarkEnd w:id="125"/>
      <w:bookmarkEnd w:id="126"/>
      <w:bookmarkEnd w:id="127"/>
      <w:bookmarkEnd w:id="128"/>
      <w:bookmarkEnd w:id="129"/>
      <w:bookmarkEnd w:id="130"/>
      <w:bookmarkEnd w:id="131"/>
      <w:bookmarkEnd w:id="132"/>
    </w:p>
    <w:tbl>
      <w:tblPr>
        <w:tblStyle w:val="37"/>
        <w:tblW w:w="47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3"/>
        <w:gridCol w:w="5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32"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ind w:firstLine="0" w:firstLineChars="0"/>
              <w:jc w:val="center"/>
              <w:rPr>
                <w:rFonts w:eastAsia="楷体" w:cs="Times New Roman"/>
                <w:b/>
                <w:color w:val="000000" w:themeColor="text1"/>
                <w:szCs w:val="24"/>
                <w14:textFill>
                  <w14:solidFill>
                    <w14:schemeClr w14:val="tx1"/>
                  </w14:solidFill>
                </w14:textFill>
              </w:rPr>
            </w:pPr>
            <w:r>
              <w:rPr>
                <w:rFonts w:hint="eastAsia" w:eastAsia="楷体" w:cs="Times New Roman"/>
                <w:b/>
                <w:color w:val="000000" w:themeColor="text1"/>
                <w:szCs w:val="24"/>
                <w14:textFill>
                  <w14:solidFill>
                    <w14:schemeClr w14:val="tx1"/>
                  </w14:solidFill>
                </w14:textFill>
              </w:rPr>
              <w:t>全网测试</w:t>
            </w:r>
            <w:r>
              <w:rPr>
                <w:rFonts w:eastAsia="楷体" w:cs="Times New Roman"/>
                <w:b/>
                <w:color w:val="000000" w:themeColor="text1"/>
                <w:szCs w:val="24"/>
                <w14:textFill>
                  <w14:solidFill>
                    <w14:schemeClr w14:val="tx1"/>
                  </w14:solidFill>
                </w14:textFill>
              </w:rPr>
              <w:t>联系单位（人）</w:t>
            </w:r>
          </w:p>
        </w:tc>
        <w:tc>
          <w:tcPr>
            <w:tcW w:w="3067"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ind w:firstLine="0" w:firstLineChars="0"/>
              <w:jc w:val="center"/>
              <w:rPr>
                <w:rFonts w:eastAsia="楷体" w:cs="Times New Roman"/>
                <w:b/>
                <w:color w:val="000000" w:themeColor="text1"/>
                <w:szCs w:val="24"/>
                <w14:textFill>
                  <w14:solidFill>
                    <w14:schemeClr w14:val="tx1"/>
                  </w14:solidFill>
                </w14:textFill>
              </w:rPr>
            </w:pPr>
            <w:r>
              <w:rPr>
                <w:rFonts w:eastAsia="楷体" w:cs="Times New Roman"/>
                <w:b/>
                <w:color w:val="000000" w:themeColor="text1"/>
                <w:szCs w:val="24"/>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32"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北交所/</w:t>
            </w:r>
            <w:r>
              <w:rPr>
                <w:rFonts w:cs="Times New Roman"/>
                <w:color w:val="000000" w:themeColor="text1"/>
                <w:szCs w:val="24"/>
                <w14:textFill>
                  <w14:solidFill>
                    <w14:schemeClr w14:val="tx1"/>
                  </w14:solidFill>
                </w14:textFill>
              </w:rPr>
              <w:t>全国股转</w:t>
            </w:r>
            <w:r>
              <w:rPr>
                <w:rFonts w:hint="eastAsia" w:cs="Times New Roman"/>
                <w:color w:val="000000" w:themeColor="text1"/>
                <w:szCs w:val="24"/>
                <w14:textFill>
                  <w14:solidFill>
                    <w14:schemeClr w14:val="tx1"/>
                  </w14:solidFill>
                </w14:textFill>
              </w:rPr>
              <w:t>公司</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运行控制中心</w:t>
            </w:r>
          </w:p>
        </w:tc>
        <w:tc>
          <w:tcPr>
            <w:tcW w:w="3067"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010-63889855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32"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深圳证券通信公司</w:t>
            </w:r>
          </w:p>
        </w:tc>
        <w:tc>
          <w:tcPr>
            <w:tcW w:w="3067"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0755-83182222（运行咨询）</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0755-88666462（专线、VPN接入）</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0755-88666464（交易、行情）</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0755-88666470（CCNET、FDEP）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32"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测试QQ群</w:t>
            </w:r>
          </w:p>
        </w:tc>
        <w:tc>
          <w:tcPr>
            <w:tcW w:w="3067" w:type="pct"/>
            <w:tcBorders>
              <w:top w:val="single" w:color="auto" w:sz="4" w:space="0"/>
              <w:left w:val="single" w:color="auto" w:sz="4" w:space="0"/>
              <w:bottom w:val="single" w:color="auto" w:sz="4" w:space="0"/>
              <w:right w:val="single" w:color="auto" w:sz="4" w:space="0"/>
            </w:tcBorders>
            <w:vAlign w:val="center"/>
          </w:tcPr>
          <w:p>
            <w:pPr>
              <w:ind w:firstLine="0" w:firstLineChars="0"/>
              <w:jc w:val="both"/>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全国股转公司交易运行维护群：</w:t>
            </w:r>
            <w:r>
              <w:rPr>
                <w:rFonts w:cs="Times New Roman"/>
                <w:color w:val="000000" w:themeColor="text1"/>
                <w:szCs w:val="24"/>
                <w14:textFill>
                  <w14:solidFill>
                    <w14:schemeClr w14:val="tx1"/>
                  </w14:solidFill>
                </w14:textFill>
              </w:rPr>
              <w:t>338167838</w:t>
            </w:r>
          </w:p>
          <w:p>
            <w:pPr>
              <w:ind w:firstLine="0" w:firstLineChars="0"/>
              <w:jc w:val="both"/>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全国股转北交所技术通知群：536137764</w:t>
            </w:r>
          </w:p>
          <w:p>
            <w:pPr>
              <w:pStyle w:val="2"/>
              <w:ind w:firstLine="0" w:firstLineChars="0"/>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全国股转北交所交易运行维护一群：682283623</w:t>
            </w:r>
          </w:p>
          <w:p>
            <w:pPr>
              <w:ind w:firstLine="0" w:firstLineChars="0"/>
              <w:jc w:val="both"/>
              <w:rPr>
                <w:rFonts w:cs="Times New Roman"/>
                <w:color w:val="000000" w:themeColor="text1"/>
                <w:szCs w:val="24"/>
                <w:lang w:val="en"/>
                <w14:textFill>
                  <w14:solidFill>
                    <w14:schemeClr w14:val="tx1"/>
                  </w14:solidFill>
                </w14:textFill>
              </w:rPr>
            </w:pPr>
            <w:r>
              <w:rPr>
                <w:rFonts w:hint="eastAsia" w:cs="Times New Roman"/>
                <w:color w:val="000000" w:themeColor="text1"/>
                <w:szCs w:val="24"/>
                <w14:textFill>
                  <w14:solidFill>
                    <w14:schemeClr w14:val="tx1"/>
                  </w14:solidFill>
                </w14:textFill>
              </w:rPr>
              <w:t>全国股转北交所交易运行维护二群：362089063</w:t>
            </w:r>
          </w:p>
        </w:tc>
      </w:tr>
    </w:tbl>
    <w:p>
      <w:pPr>
        <w:pStyle w:val="11"/>
        <w:spacing w:after="163" w:line="240" w:lineRule="auto"/>
        <w:ind w:firstLine="0" w:firstLineChars="0"/>
        <w:rPr>
          <w:rFonts w:eastAsia="方正仿宋简体"/>
          <w:color w:val="000000" w:themeColor="text1"/>
          <w:sz w:val="28"/>
          <w14:textFill>
            <w14:solidFill>
              <w14:schemeClr w14:val="tx1"/>
            </w14:solidFill>
          </w14:textFill>
        </w:rPr>
      </w:pPr>
    </w:p>
    <w:p>
      <w:pPr>
        <w:spacing w:line="240" w:lineRule="auto"/>
        <w:ind w:firstLine="600"/>
        <w:jc w:val="right"/>
        <w:rPr>
          <w:rFonts w:ascii="仿宋" w:hAnsi="仿宋" w:cs="Times New Roman"/>
          <w:color w:val="000000" w:themeColor="text1"/>
          <w:sz w:val="30"/>
          <w:szCs w:val="30"/>
          <w14:textFill>
            <w14:solidFill>
              <w14:schemeClr w14:val="tx1"/>
            </w14:solidFill>
          </w14:textFill>
        </w:rPr>
      </w:pPr>
    </w:p>
    <w:p>
      <w:pPr>
        <w:spacing w:line="240" w:lineRule="auto"/>
        <w:ind w:firstLine="600"/>
        <w:jc w:val="right"/>
        <w:rPr>
          <w:rFonts w:ascii="仿宋" w:hAnsi="仿宋" w:cs="Times New Roman"/>
          <w:color w:val="000000" w:themeColor="text1"/>
          <w:sz w:val="30"/>
          <w:szCs w:val="30"/>
          <w14:textFill>
            <w14:solidFill>
              <w14:schemeClr w14:val="tx1"/>
            </w14:solidFill>
          </w14:textFill>
        </w:rPr>
      </w:pPr>
    </w:p>
    <w:p>
      <w:pPr>
        <w:spacing w:line="240" w:lineRule="auto"/>
        <w:ind w:firstLine="600"/>
        <w:jc w:val="right"/>
        <w:rPr>
          <w:rFonts w:ascii="仿宋" w:hAnsi="仿宋" w:cs="Times New Roman"/>
          <w:color w:val="000000" w:themeColor="text1"/>
          <w:sz w:val="30"/>
          <w:szCs w:val="30"/>
          <w14:textFill>
            <w14:solidFill>
              <w14:schemeClr w14:val="tx1"/>
            </w14:solidFill>
          </w14:textFill>
        </w:rPr>
      </w:pPr>
      <w:r>
        <w:rPr>
          <w:rFonts w:hint="eastAsia" w:ascii="仿宋" w:hAnsi="仿宋" w:cs="Times New Roman"/>
          <w:color w:val="000000" w:themeColor="text1"/>
          <w:sz w:val="30"/>
          <w:szCs w:val="30"/>
          <w14:textFill>
            <w14:solidFill>
              <w14:schemeClr w14:val="tx1"/>
            </w14:solidFill>
          </w14:textFill>
        </w:rPr>
        <w:t>北京证券交易所</w:t>
      </w:r>
    </w:p>
    <w:p>
      <w:pPr>
        <w:spacing w:line="240" w:lineRule="auto"/>
        <w:ind w:firstLine="600"/>
        <w:jc w:val="right"/>
        <w:rPr>
          <w:rFonts w:ascii="仿宋" w:hAnsi="仿宋"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全国中小企业股份转让系统有限责任公司</w:t>
      </w:r>
    </w:p>
    <w:p>
      <w:pPr>
        <w:spacing w:line="240" w:lineRule="auto"/>
        <w:ind w:firstLine="600"/>
        <w:jc w:val="right"/>
        <w:rPr>
          <w:rFonts w:ascii="仿宋" w:hAnsi="仿宋"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深圳证券通信有限公司</w:t>
      </w:r>
    </w:p>
    <w:p>
      <w:pPr>
        <w:spacing w:line="240" w:lineRule="auto"/>
        <w:ind w:firstLine="600"/>
        <w:jc w:val="right"/>
        <w:rPr>
          <w:rFonts w:ascii="仿宋" w:hAnsi="仿宋"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二○二</w:t>
      </w:r>
      <w:r>
        <w:rPr>
          <w:rFonts w:hint="eastAsia" w:ascii="仿宋" w:hAnsi="仿宋" w:cs="Times New Roman"/>
          <w:color w:val="000000" w:themeColor="text1"/>
          <w:sz w:val="30"/>
          <w:szCs w:val="30"/>
          <w14:textFill>
            <w14:solidFill>
              <w14:schemeClr w14:val="tx1"/>
            </w14:solidFill>
          </w14:textFill>
        </w:rPr>
        <w:t>五</w:t>
      </w:r>
      <w:r>
        <w:rPr>
          <w:rFonts w:ascii="仿宋" w:hAnsi="仿宋" w:cs="Times New Roman"/>
          <w:color w:val="000000" w:themeColor="text1"/>
          <w:sz w:val="30"/>
          <w:szCs w:val="30"/>
          <w14:textFill>
            <w14:solidFill>
              <w14:schemeClr w14:val="tx1"/>
            </w14:solidFill>
          </w14:textFill>
        </w:rPr>
        <w:t>年</w:t>
      </w:r>
      <w:r>
        <w:rPr>
          <w:rFonts w:hint="eastAsia" w:ascii="仿宋" w:hAnsi="仿宋" w:cs="Times New Roman"/>
          <w:color w:val="000000" w:themeColor="text1"/>
          <w:sz w:val="30"/>
          <w:szCs w:val="30"/>
          <w14:textFill>
            <w14:solidFill>
              <w14:schemeClr w14:val="tx1"/>
            </w14:solidFill>
          </w14:textFill>
        </w:rPr>
        <w:t>三</w:t>
      </w:r>
      <w:r>
        <w:rPr>
          <w:rFonts w:ascii="仿宋" w:hAnsi="仿宋" w:cs="Times New Roman"/>
          <w:color w:val="000000" w:themeColor="text1"/>
          <w:sz w:val="30"/>
          <w:szCs w:val="30"/>
          <w14:textFill>
            <w14:solidFill>
              <w14:schemeClr w14:val="tx1"/>
            </w14:solidFill>
          </w14:textFill>
        </w:rPr>
        <w:t>月</w:t>
      </w:r>
      <w:bookmarkEnd w:id="10"/>
    </w:p>
    <w:sectPr>
      <w:footerReference r:id="rId11" w:type="default"/>
      <w:footerReference r:id="rId12" w:type="even"/>
      <w:pgSz w:w="11906" w:h="16838"/>
      <w:pgMar w:top="1588" w:right="1701" w:bottom="1588" w:left="1701" w:header="907" w:footer="907" w:gutter="0"/>
      <w:pgNumType w:fmt="numberInDash"/>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0000019F" w:csb1="00000000"/>
  </w:font>
  <w:font w:name="CG Times">
    <w:altName w:val="DejaVu Sans"/>
    <w:panose1 w:val="00000000000000000000"/>
    <w:charset w:val="00"/>
    <w:family w:val="roman"/>
    <w:pitch w:val="default"/>
    <w:sig w:usb0="00000000" w:usb1="00000000" w:usb2="00000000" w:usb3="00000000" w:csb0="00000001"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Courier New">
    <w:altName w:val="DejaVu Sans"/>
    <w:panose1 w:val="02070309020205020404"/>
    <w:charset w:val="00"/>
    <w:family w:val="modern"/>
    <w:pitch w:val="default"/>
    <w:sig w:usb0="00000000" w:usb1="00000000" w:usb2="00000009" w:usb3="00000000" w:csb0="000001FF" w:csb1="00000000"/>
  </w:font>
  <w:font w:name="Tahoma">
    <w:altName w:val="DejaVu Sans"/>
    <w:panose1 w:val="020B0604030504040204"/>
    <w:charset w:val="00"/>
    <w:family w:val="swiss"/>
    <w:pitch w:val="default"/>
    <w:sig w:usb0="00000000" w:usb1="00000000" w:usb2="00000029" w:usb3="00000000" w:csb0="000101FF" w:csb1="00000000"/>
  </w:font>
  <w:font w:name="Verdana">
    <w:altName w:val="DejaVu Sans"/>
    <w:panose1 w:val="020B0604030504040204"/>
    <w:charset w:val="00"/>
    <w:family w:val="swiss"/>
    <w:pitch w:val="default"/>
    <w:sig w:usb0="00000000" w:usb1="00000000" w:usb2="00000010"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TimesNewRomanPSMT">
    <w:altName w:val="DejaVu Sans"/>
    <w:panose1 w:val="00000000000000000000"/>
    <w:charset w:val="00"/>
    <w:family w:val="roman"/>
    <w:pitch w:val="default"/>
    <w:sig w:usb0="00000000" w:usb1="00000000" w:usb2="00000000" w:usb3="00000000" w:csb0="00000000" w:csb1="00000000"/>
  </w:font>
  <w:font w:name="方正大标宋简体">
    <w:altName w:val="方正书宋_GBK"/>
    <w:panose1 w:val="02010601030101010101"/>
    <w:charset w:val="86"/>
    <w:family w:val="auto"/>
    <w:pitch w:val="default"/>
    <w:sig w:usb0="00000000" w:usb1="00000000" w:usb2="0000001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楷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rPr>
        <w:rFonts w:asciiTheme="minorEastAsia" w:hAnsiTheme="minorEastAsia" w:eastAsiaTheme="minor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084978"/>
    </w:sdtPr>
    <w:sdtEndPr>
      <w:rPr>
        <w:rFonts w:asciiTheme="minorEastAsia" w:hAnsiTheme="minorEastAsia" w:eastAsiaTheme="minorEastAsia"/>
        <w:sz w:val="28"/>
        <w:szCs w:val="28"/>
      </w:rPr>
    </w:sdtEndPr>
    <w:sdtContent>
      <w:p>
        <w:pPr>
          <w:pStyle w:val="24"/>
          <w:ind w:left="2400" w:firstLine="36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11 -</w:t>
        </w:r>
        <w:r>
          <w:rPr>
            <w:rFonts w:asciiTheme="minorEastAsia" w:hAnsiTheme="minorEastAsia" w:eastAsiaTheme="min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
    </w:sdtPr>
    <w:sdtEndPr>
      <w:rPr>
        <w:rFonts w:asciiTheme="minorEastAsia" w:hAnsiTheme="minorEastAsia" w:eastAsiaTheme="minorEastAsia"/>
        <w:sz w:val="28"/>
        <w:szCs w:val="28"/>
      </w:rPr>
    </w:sdtEndPr>
    <w:sdtContent>
      <w:p>
        <w:pPr>
          <w:pStyle w:val="24"/>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10 -</w:t>
        </w:r>
        <w:r>
          <w:rPr>
            <w:rFonts w:asciiTheme="minorEastAsia" w:hAnsiTheme="minorEastAsia" w:eastAsia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thickThinSmallGap" w:color="622423" w:sz="24" w:space="1"/>
      </w:pBdr>
      <w:spacing w:before="144"/>
      <w:ind w:firstLine="0" w:firstLineChars="0"/>
      <w:jc w:val="right"/>
      <w:rPr>
        <w:rFonts w:ascii="Cambria" w:hAnsi="Cambria" w:cs="黑体"/>
        <w:sz w:val="32"/>
        <w:szCs w:val="32"/>
      </w:rPr>
    </w:pPr>
    <w:r>
      <w:rPr>
        <w:b/>
        <w:sz w:val="32"/>
      </w:rPr>
      <w:t xml:space="preserve">             </w:t>
    </w:r>
    <w:r>
      <w:rPr>
        <w:rFonts w:hint="eastAsia"/>
        <w:sz w:val="21"/>
        <w:szCs w:val="21"/>
      </w:rPr>
      <w:t>全网测试方案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thickThinSmallGap" w:color="622423" w:sz="24" w:space="1"/>
      </w:pBdr>
      <w:spacing w:before="144"/>
      <w:ind w:firstLine="0" w:firstLineChars="0"/>
      <w:jc w:val="right"/>
      <w:rPr>
        <w:rFonts w:ascii="Cambria" w:hAnsi="Cambria" w:cs="黑体"/>
        <w:sz w:val="32"/>
        <w:szCs w:val="32"/>
      </w:rPr>
    </w:pPr>
    <w:r>
      <w:rPr>
        <w:b/>
        <w:sz w:val="32"/>
      </w:rPr>
      <w:t xml:space="preserve">             </w:t>
    </w:r>
    <w:r>
      <w:rPr>
        <w:rFonts w:hint="eastAsia"/>
        <w:sz w:val="21"/>
        <w:szCs w:val="21"/>
      </w:rPr>
      <w:t>全网测试方案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3C694"/>
    <w:multiLevelType w:val="singleLevel"/>
    <w:tmpl w:val="D6B3C694"/>
    <w:lvl w:ilvl="0" w:tentative="0">
      <w:start w:val="1"/>
      <w:numFmt w:val="decimal"/>
      <w:suff w:val="nothing"/>
      <w:lvlText w:val="%1．"/>
      <w:lvlJc w:val="left"/>
    </w:lvl>
  </w:abstractNum>
  <w:abstractNum w:abstractNumId="1">
    <w:nsid w:val="09AA602B"/>
    <w:multiLevelType w:val="multilevel"/>
    <w:tmpl w:val="09AA602B"/>
    <w:lvl w:ilvl="0" w:tentative="0">
      <w:start w:val="1"/>
      <w:numFmt w:val="decimal"/>
      <w:lvlText w:val="%1."/>
      <w:lvlJc w:val="left"/>
      <w:pPr>
        <w:ind w:left="570" w:hanging="420"/>
      </w:pPr>
    </w:lvl>
    <w:lvl w:ilvl="1" w:tentative="0">
      <w:start w:val="1"/>
      <w:numFmt w:val="lowerLetter"/>
      <w:lvlText w:val="%2)"/>
      <w:lvlJc w:val="left"/>
      <w:pPr>
        <w:ind w:left="990" w:hanging="420"/>
      </w:pPr>
    </w:lvl>
    <w:lvl w:ilvl="2" w:tentative="0">
      <w:start w:val="1"/>
      <w:numFmt w:val="lowerRoman"/>
      <w:lvlText w:val="%3."/>
      <w:lvlJc w:val="right"/>
      <w:pPr>
        <w:ind w:left="1410" w:hanging="420"/>
      </w:pPr>
    </w:lvl>
    <w:lvl w:ilvl="3" w:tentative="0">
      <w:start w:val="1"/>
      <w:numFmt w:val="decimal"/>
      <w:lvlText w:val="%4."/>
      <w:lvlJc w:val="left"/>
      <w:pPr>
        <w:ind w:left="1830" w:hanging="420"/>
      </w:pPr>
    </w:lvl>
    <w:lvl w:ilvl="4" w:tentative="0">
      <w:start w:val="1"/>
      <w:numFmt w:val="lowerLetter"/>
      <w:lvlText w:val="%5)"/>
      <w:lvlJc w:val="left"/>
      <w:pPr>
        <w:ind w:left="2250" w:hanging="420"/>
      </w:pPr>
    </w:lvl>
    <w:lvl w:ilvl="5" w:tentative="0">
      <w:start w:val="1"/>
      <w:numFmt w:val="lowerRoman"/>
      <w:lvlText w:val="%6."/>
      <w:lvlJc w:val="right"/>
      <w:pPr>
        <w:ind w:left="2670" w:hanging="420"/>
      </w:pPr>
    </w:lvl>
    <w:lvl w:ilvl="6" w:tentative="0">
      <w:start w:val="1"/>
      <w:numFmt w:val="decimal"/>
      <w:lvlText w:val="%7."/>
      <w:lvlJc w:val="left"/>
      <w:pPr>
        <w:ind w:left="3090" w:hanging="420"/>
      </w:pPr>
    </w:lvl>
    <w:lvl w:ilvl="7" w:tentative="0">
      <w:start w:val="1"/>
      <w:numFmt w:val="lowerLetter"/>
      <w:lvlText w:val="%8)"/>
      <w:lvlJc w:val="left"/>
      <w:pPr>
        <w:ind w:left="3510" w:hanging="420"/>
      </w:pPr>
    </w:lvl>
    <w:lvl w:ilvl="8" w:tentative="0">
      <w:start w:val="1"/>
      <w:numFmt w:val="lowerRoman"/>
      <w:lvlText w:val="%9."/>
      <w:lvlJc w:val="right"/>
      <w:pPr>
        <w:ind w:left="3930" w:hanging="420"/>
      </w:pPr>
    </w:lvl>
  </w:abstractNum>
  <w:abstractNum w:abstractNumId="2">
    <w:nsid w:val="0D57684F"/>
    <w:multiLevelType w:val="multilevel"/>
    <w:tmpl w:val="0D57684F"/>
    <w:lvl w:ilvl="0" w:tentative="0">
      <w:start w:val="1"/>
      <w:numFmt w:val="decimal"/>
      <w:lvlText w:val="%1."/>
      <w:lvlJc w:val="left"/>
      <w:pPr>
        <w:ind w:left="570" w:hanging="420"/>
      </w:pPr>
    </w:lvl>
    <w:lvl w:ilvl="1" w:tentative="0">
      <w:start w:val="1"/>
      <w:numFmt w:val="lowerLetter"/>
      <w:lvlText w:val="%2)"/>
      <w:lvlJc w:val="left"/>
      <w:pPr>
        <w:ind w:left="990" w:hanging="420"/>
      </w:pPr>
    </w:lvl>
    <w:lvl w:ilvl="2" w:tentative="0">
      <w:start w:val="1"/>
      <w:numFmt w:val="lowerRoman"/>
      <w:lvlText w:val="%3."/>
      <w:lvlJc w:val="right"/>
      <w:pPr>
        <w:ind w:left="1410" w:hanging="420"/>
      </w:pPr>
    </w:lvl>
    <w:lvl w:ilvl="3" w:tentative="0">
      <w:start w:val="1"/>
      <w:numFmt w:val="decimal"/>
      <w:lvlText w:val="%4."/>
      <w:lvlJc w:val="left"/>
      <w:pPr>
        <w:ind w:left="1830" w:hanging="420"/>
      </w:pPr>
    </w:lvl>
    <w:lvl w:ilvl="4" w:tentative="0">
      <w:start w:val="1"/>
      <w:numFmt w:val="lowerLetter"/>
      <w:lvlText w:val="%5)"/>
      <w:lvlJc w:val="left"/>
      <w:pPr>
        <w:ind w:left="2250" w:hanging="420"/>
      </w:pPr>
    </w:lvl>
    <w:lvl w:ilvl="5" w:tentative="0">
      <w:start w:val="1"/>
      <w:numFmt w:val="lowerRoman"/>
      <w:lvlText w:val="%6."/>
      <w:lvlJc w:val="right"/>
      <w:pPr>
        <w:ind w:left="2670" w:hanging="420"/>
      </w:pPr>
    </w:lvl>
    <w:lvl w:ilvl="6" w:tentative="0">
      <w:start w:val="1"/>
      <w:numFmt w:val="decimal"/>
      <w:lvlText w:val="%7."/>
      <w:lvlJc w:val="left"/>
      <w:pPr>
        <w:ind w:left="3090" w:hanging="420"/>
      </w:pPr>
    </w:lvl>
    <w:lvl w:ilvl="7" w:tentative="0">
      <w:start w:val="1"/>
      <w:numFmt w:val="lowerLetter"/>
      <w:lvlText w:val="%8)"/>
      <w:lvlJc w:val="left"/>
      <w:pPr>
        <w:ind w:left="3510" w:hanging="420"/>
      </w:pPr>
    </w:lvl>
    <w:lvl w:ilvl="8" w:tentative="0">
      <w:start w:val="1"/>
      <w:numFmt w:val="lowerRoman"/>
      <w:lvlText w:val="%9."/>
      <w:lvlJc w:val="right"/>
      <w:pPr>
        <w:ind w:left="3930" w:hanging="420"/>
      </w:pPr>
    </w:lvl>
  </w:abstractNum>
  <w:abstractNum w:abstractNumId="3">
    <w:nsid w:val="3B514489"/>
    <w:multiLevelType w:val="multilevel"/>
    <w:tmpl w:val="3B514489"/>
    <w:lvl w:ilvl="0" w:tentative="0">
      <w:start w:val="1"/>
      <w:numFmt w:val="chineseCountingThousand"/>
      <w:lvlText w:val="%1、"/>
      <w:lvlJc w:val="left"/>
      <w:pPr>
        <w:ind w:left="420" w:hanging="420"/>
      </w:pPr>
      <w:rPr>
        <w:rFonts w:hint="eastAsia"/>
      </w:rPr>
    </w:lvl>
    <w:lvl w:ilvl="1" w:tentative="0">
      <w:start w:val="1"/>
      <w:numFmt w:val="decimal"/>
      <w:lvlText w:val="%1.%2"/>
      <w:lvlJc w:val="left"/>
      <w:pPr>
        <w:ind w:left="0" w:firstLine="0"/>
      </w:pPr>
      <w:rPr>
        <w:rFonts w:hint="eastAsia"/>
      </w:rPr>
    </w:lvl>
    <w:lvl w:ilvl="2" w:tentative="0">
      <w:start w:val="1"/>
      <w:numFmt w:val="decimal"/>
      <w:pStyle w:val="69"/>
      <w:lvlText w:val="（%3）"/>
      <w:lvlJc w:val="left"/>
      <w:pPr>
        <w:ind w:left="1200" w:hanging="1200"/>
      </w:pPr>
      <w:rPr>
        <w:rFonts w:hint="default"/>
      </w:rPr>
    </w:lvl>
    <w:lvl w:ilvl="3" w:tentative="0">
      <w:start w:val="1"/>
      <w:numFmt w:val="decimal"/>
      <w:pStyle w:val="70"/>
      <w:lvlText w:val="%1.%2.%3.%4"/>
      <w:lvlJc w:val="left"/>
      <w:pPr>
        <w:ind w:left="0" w:firstLine="0"/>
      </w:pPr>
      <w:rPr>
        <w:rFonts w:hint="eastAsia"/>
      </w:rPr>
    </w:lvl>
    <w:lvl w:ilvl="4" w:tentative="0">
      <w:start w:val="1"/>
      <w:numFmt w:val="decimal"/>
      <w:pStyle w:val="7"/>
      <w:lvlText w:val="%1.%2.%3.%4.%5"/>
      <w:lvlJc w:val="left"/>
      <w:pPr>
        <w:ind w:left="0" w:firstLine="0"/>
      </w:pPr>
      <w:rPr>
        <w:rFonts w:hint="eastAsia" w:cs="Times New Roman"/>
        <w:i w:val="0"/>
        <w:iCs w:val="0"/>
        <w:caps w:val="0"/>
        <w:smallCaps w:val="0"/>
        <w:strike w:val="0"/>
        <w:dstrike w:val="0"/>
        <w:color w:val="000000"/>
        <w:spacing w:val="0"/>
        <w:position w:val="0"/>
        <w:u w:val="no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57790E69"/>
    <w:multiLevelType w:val="multilevel"/>
    <w:tmpl w:val="57790E69"/>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
    <w:nsid w:val="58184730"/>
    <w:multiLevelType w:val="multilevel"/>
    <w:tmpl w:val="58184730"/>
    <w:lvl w:ilvl="0" w:tentative="0">
      <w:start w:val="1"/>
      <w:numFmt w:val="chineseCountingThousand"/>
      <w:pStyle w:val="77"/>
      <w:lvlText w:val="第%1条"/>
      <w:lvlJc w:val="left"/>
      <w:pPr>
        <w:tabs>
          <w:tab w:val="left" w:pos="360"/>
        </w:tabs>
      </w:pPr>
      <w:rPr>
        <w:rFonts w:hint="default"/>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7BC86D68"/>
    <w:multiLevelType w:val="multilevel"/>
    <w:tmpl w:val="7BC86D68"/>
    <w:lvl w:ilvl="0" w:tentative="0">
      <w:start w:val="1"/>
      <w:numFmt w:val="chineseCountingThousand"/>
      <w:pStyle w:val="88"/>
      <w:lvlText w:val="%1、"/>
      <w:lvlJc w:val="left"/>
      <w:pPr>
        <w:tabs>
          <w:tab w:val="left" w:pos="425"/>
        </w:tabs>
        <w:ind w:left="425" w:hanging="425"/>
      </w:pPr>
      <w:rPr>
        <w:rFonts w:hint="eastAsia"/>
      </w:rPr>
    </w:lvl>
    <w:lvl w:ilvl="1" w:tentative="0">
      <w:start w:val="1"/>
      <w:numFmt w:val="decimal"/>
      <w:isLgl/>
      <w:lvlText w:val="%1.%2 "/>
      <w:lvlJc w:val="left"/>
      <w:pPr>
        <w:tabs>
          <w:tab w:val="left" w:pos="567"/>
        </w:tabs>
        <w:ind w:left="567" w:hanging="567"/>
      </w:pPr>
      <w:rPr>
        <w:rFonts w:hint="default" w:ascii="Times New Roman" w:hAnsi="Times New Roman" w:eastAsia="楷体_GB2312" w:cs="Times New Roman"/>
      </w:rPr>
    </w:lvl>
    <w:lvl w:ilvl="2" w:tentative="0">
      <w:start w:val="1"/>
      <w:numFmt w:val="decimal"/>
      <w:isLgl/>
      <w:lvlText w:val="%1.%2.%3 "/>
      <w:lvlJc w:val="left"/>
      <w:pPr>
        <w:tabs>
          <w:tab w:val="left" w:pos="709"/>
        </w:tabs>
        <w:ind w:left="709" w:hanging="709"/>
      </w:pPr>
      <w:rPr>
        <w:rFonts w:hint="default" w:ascii="Times New Roman" w:hAnsi="Times New Roman" w:eastAsia="仿宋" w:cs="Times New Roman"/>
      </w:rPr>
    </w:lvl>
    <w:lvl w:ilvl="3" w:tentative="0">
      <w:start w:val="1"/>
      <w:numFmt w:val="decimal"/>
      <w:isLgl/>
      <w:lvlText w:val="%1.%2.%3.%4 "/>
      <w:lvlJc w:val="left"/>
      <w:pPr>
        <w:tabs>
          <w:tab w:val="left" w:pos="851"/>
        </w:tabs>
        <w:ind w:left="851" w:hanging="851"/>
      </w:pPr>
      <w:rPr>
        <w:rFonts w:hint="default"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4" w:tentative="0">
      <w:start w:val="1"/>
      <w:numFmt w:val="decimal"/>
      <w:isLgl/>
      <w:lvlText w:val="%1.%2.%3.%4.%5 "/>
      <w:lvlJc w:val="left"/>
      <w:pPr>
        <w:tabs>
          <w:tab w:val="left" w:pos="992"/>
        </w:tabs>
        <w:ind w:left="992" w:hanging="992"/>
      </w:pPr>
      <w:rPr>
        <w:rFonts w:hint="eastAsia"/>
      </w:rPr>
    </w:lvl>
    <w:lvl w:ilvl="5" w:tentative="0">
      <w:start w:val="1"/>
      <w:numFmt w:val="decimal"/>
      <w:isLg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evenAndOddHeaders w:val="true"/>
  <w:drawingGridHorizontalSpacing w:val="120"/>
  <w:drawingGridVerticalSpacing w:val="163"/>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99"/>
    <w:rsid w:val="000003D4"/>
    <w:rsid w:val="000008CD"/>
    <w:rsid w:val="000021F2"/>
    <w:rsid w:val="000042CA"/>
    <w:rsid w:val="000079A1"/>
    <w:rsid w:val="00012061"/>
    <w:rsid w:val="00014FCB"/>
    <w:rsid w:val="00015F0D"/>
    <w:rsid w:val="0001604C"/>
    <w:rsid w:val="000170DD"/>
    <w:rsid w:val="00022265"/>
    <w:rsid w:val="00023DC3"/>
    <w:rsid w:val="00025609"/>
    <w:rsid w:val="0003224B"/>
    <w:rsid w:val="000340E9"/>
    <w:rsid w:val="000356E8"/>
    <w:rsid w:val="0004235A"/>
    <w:rsid w:val="00044E9E"/>
    <w:rsid w:val="00046C0A"/>
    <w:rsid w:val="00052298"/>
    <w:rsid w:val="00060E86"/>
    <w:rsid w:val="000634E3"/>
    <w:rsid w:val="00072489"/>
    <w:rsid w:val="00074A7E"/>
    <w:rsid w:val="000804B5"/>
    <w:rsid w:val="00080895"/>
    <w:rsid w:val="00080B96"/>
    <w:rsid w:val="00081010"/>
    <w:rsid w:val="00091A09"/>
    <w:rsid w:val="000A2740"/>
    <w:rsid w:val="000A4D6D"/>
    <w:rsid w:val="000A5065"/>
    <w:rsid w:val="000A666E"/>
    <w:rsid w:val="000B0B0C"/>
    <w:rsid w:val="000B0C3E"/>
    <w:rsid w:val="000B1376"/>
    <w:rsid w:val="000C05E3"/>
    <w:rsid w:val="000C1477"/>
    <w:rsid w:val="000C267C"/>
    <w:rsid w:val="000C3BFD"/>
    <w:rsid w:val="000C7A4B"/>
    <w:rsid w:val="000C7BA4"/>
    <w:rsid w:val="000D0227"/>
    <w:rsid w:val="000D6685"/>
    <w:rsid w:val="000D75C2"/>
    <w:rsid w:val="000E2A65"/>
    <w:rsid w:val="000E3E52"/>
    <w:rsid w:val="000E4A53"/>
    <w:rsid w:val="000E6435"/>
    <w:rsid w:val="000F1908"/>
    <w:rsid w:val="000F6857"/>
    <w:rsid w:val="00100FBF"/>
    <w:rsid w:val="00101373"/>
    <w:rsid w:val="00107BA4"/>
    <w:rsid w:val="00113FBF"/>
    <w:rsid w:val="00115F86"/>
    <w:rsid w:val="00127BC9"/>
    <w:rsid w:val="00130333"/>
    <w:rsid w:val="00131398"/>
    <w:rsid w:val="0013179F"/>
    <w:rsid w:val="001340A3"/>
    <w:rsid w:val="00141196"/>
    <w:rsid w:val="00143D54"/>
    <w:rsid w:val="001450C4"/>
    <w:rsid w:val="0014549F"/>
    <w:rsid w:val="00146350"/>
    <w:rsid w:val="0014719A"/>
    <w:rsid w:val="001538F9"/>
    <w:rsid w:val="00165CA6"/>
    <w:rsid w:val="00167234"/>
    <w:rsid w:val="001703D1"/>
    <w:rsid w:val="0018007C"/>
    <w:rsid w:val="00180255"/>
    <w:rsid w:val="00183028"/>
    <w:rsid w:val="00185284"/>
    <w:rsid w:val="00186457"/>
    <w:rsid w:val="001902F0"/>
    <w:rsid w:val="00190447"/>
    <w:rsid w:val="00193B89"/>
    <w:rsid w:val="00193EB0"/>
    <w:rsid w:val="00193ECC"/>
    <w:rsid w:val="001949B0"/>
    <w:rsid w:val="0019725F"/>
    <w:rsid w:val="001978C8"/>
    <w:rsid w:val="001A70B7"/>
    <w:rsid w:val="001A7EE0"/>
    <w:rsid w:val="001B173B"/>
    <w:rsid w:val="001B23EC"/>
    <w:rsid w:val="001B7F01"/>
    <w:rsid w:val="001C3443"/>
    <w:rsid w:val="001D0A01"/>
    <w:rsid w:val="001D2164"/>
    <w:rsid w:val="001D2BAE"/>
    <w:rsid w:val="001D7798"/>
    <w:rsid w:val="001E150F"/>
    <w:rsid w:val="001E1C28"/>
    <w:rsid w:val="001F3017"/>
    <w:rsid w:val="001F4C2E"/>
    <w:rsid w:val="001F77A6"/>
    <w:rsid w:val="00200581"/>
    <w:rsid w:val="00206259"/>
    <w:rsid w:val="00221E9F"/>
    <w:rsid w:val="0023258F"/>
    <w:rsid w:val="00234E19"/>
    <w:rsid w:val="002406AF"/>
    <w:rsid w:val="00240BAB"/>
    <w:rsid w:val="00241718"/>
    <w:rsid w:val="00242A49"/>
    <w:rsid w:val="002436A0"/>
    <w:rsid w:val="00247AC2"/>
    <w:rsid w:val="00252AF6"/>
    <w:rsid w:val="00253C9D"/>
    <w:rsid w:val="00256BE1"/>
    <w:rsid w:val="002579A2"/>
    <w:rsid w:val="0026430A"/>
    <w:rsid w:val="0026626B"/>
    <w:rsid w:val="00266A8F"/>
    <w:rsid w:val="00266E71"/>
    <w:rsid w:val="00273CD5"/>
    <w:rsid w:val="0027405D"/>
    <w:rsid w:val="00275424"/>
    <w:rsid w:val="002759F4"/>
    <w:rsid w:val="00277AEC"/>
    <w:rsid w:val="00277C7D"/>
    <w:rsid w:val="00280D3D"/>
    <w:rsid w:val="00282E3C"/>
    <w:rsid w:val="00284448"/>
    <w:rsid w:val="00297152"/>
    <w:rsid w:val="00297B1D"/>
    <w:rsid w:val="002A0254"/>
    <w:rsid w:val="002A3D4C"/>
    <w:rsid w:val="002A52EA"/>
    <w:rsid w:val="002A6D34"/>
    <w:rsid w:val="002C1D49"/>
    <w:rsid w:val="002C7089"/>
    <w:rsid w:val="002D3F71"/>
    <w:rsid w:val="002D41A0"/>
    <w:rsid w:val="002D797A"/>
    <w:rsid w:val="002E33C4"/>
    <w:rsid w:val="002E4041"/>
    <w:rsid w:val="002E578C"/>
    <w:rsid w:val="002E74FD"/>
    <w:rsid w:val="002E7548"/>
    <w:rsid w:val="002F0A5F"/>
    <w:rsid w:val="002F3286"/>
    <w:rsid w:val="002F7C80"/>
    <w:rsid w:val="00300C20"/>
    <w:rsid w:val="00306BDB"/>
    <w:rsid w:val="00307F45"/>
    <w:rsid w:val="00311CE6"/>
    <w:rsid w:val="00312884"/>
    <w:rsid w:val="003138C1"/>
    <w:rsid w:val="00320A48"/>
    <w:rsid w:val="00320EEE"/>
    <w:rsid w:val="00335E68"/>
    <w:rsid w:val="0033640B"/>
    <w:rsid w:val="00336769"/>
    <w:rsid w:val="003435C8"/>
    <w:rsid w:val="0034490A"/>
    <w:rsid w:val="00345A5A"/>
    <w:rsid w:val="00362F19"/>
    <w:rsid w:val="00363B70"/>
    <w:rsid w:val="003642E5"/>
    <w:rsid w:val="00370795"/>
    <w:rsid w:val="00373C01"/>
    <w:rsid w:val="00374DAD"/>
    <w:rsid w:val="00376C12"/>
    <w:rsid w:val="00385178"/>
    <w:rsid w:val="00387E17"/>
    <w:rsid w:val="003A18ED"/>
    <w:rsid w:val="003A3C96"/>
    <w:rsid w:val="003A3D7E"/>
    <w:rsid w:val="003B261C"/>
    <w:rsid w:val="003B5A65"/>
    <w:rsid w:val="003B644C"/>
    <w:rsid w:val="003B662E"/>
    <w:rsid w:val="003C1112"/>
    <w:rsid w:val="003C23AB"/>
    <w:rsid w:val="003C5E51"/>
    <w:rsid w:val="003C5F2F"/>
    <w:rsid w:val="003C7CCB"/>
    <w:rsid w:val="003E4A8B"/>
    <w:rsid w:val="003F01F0"/>
    <w:rsid w:val="003F2AA4"/>
    <w:rsid w:val="00401621"/>
    <w:rsid w:val="00407FF3"/>
    <w:rsid w:val="00414BA6"/>
    <w:rsid w:val="0042028F"/>
    <w:rsid w:val="004243EC"/>
    <w:rsid w:val="00425E28"/>
    <w:rsid w:val="00427365"/>
    <w:rsid w:val="0043256A"/>
    <w:rsid w:val="00436F29"/>
    <w:rsid w:val="00437D28"/>
    <w:rsid w:val="0044032D"/>
    <w:rsid w:val="004522B0"/>
    <w:rsid w:val="004568C9"/>
    <w:rsid w:val="00456985"/>
    <w:rsid w:val="004612E9"/>
    <w:rsid w:val="0046391E"/>
    <w:rsid w:val="00463E9C"/>
    <w:rsid w:val="00467A63"/>
    <w:rsid w:val="00472ED3"/>
    <w:rsid w:val="0047526B"/>
    <w:rsid w:val="004821DA"/>
    <w:rsid w:val="00484635"/>
    <w:rsid w:val="00487504"/>
    <w:rsid w:val="0049165A"/>
    <w:rsid w:val="004921BC"/>
    <w:rsid w:val="00492EA6"/>
    <w:rsid w:val="0049466C"/>
    <w:rsid w:val="00495886"/>
    <w:rsid w:val="00495945"/>
    <w:rsid w:val="00496D8F"/>
    <w:rsid w:val="00497D1B"/>
    <w:rsid w:val="004A4F42"/>
    <w:rsid w:val="004B07C1"/>
    <w:rsid w:val="004B0EA0"/>
    <w:rsid w:val="004B115B"/>
    <w:rsid w:val="004B2611"/>
    <w:rsid w:val="004B55CC"/>
    <w:rsid w:val="004C64A5"/>
    <w:rsid w:val="004D1909"/>
    <w:rsid w:val="004E21F8"/>
    <w:rsid w:val="004E3D4D"/>
    <w:rsid w:val="004E587F"/>
    <w:rsid w:val="004F1807"/>
    <w:rsid w:val="004F1AC3"/>
    <w:rsid w:val="005006A8"/>
    <w:rsid w:val="00512808"/>
    <w:rsid w:val="00526307"/>
    <w:rsid w:val="00530549"/>
    <w:rsid w:val="00533919"/>
    <w:rsid w:val="00533984"/>
    <w:rsid w:val="00534172"/>
    <w:rsid w:val="00534793"/>
    <w:rsid w:val="00543365"/>
    <w:rsid w:val="00545001"/>
    <w:rsid w:val="005466AD"/>
    <w:rsid w:val="00547616"/>
    <w:rsid w:val="00550DE4"/>
    <w:rsid w:val="00551324"/>
    <w:rsid w:val="0056297E"/>
    <w:rsid w:val="00564776"/>
    <w:rsid w:val="00564FEE"/>
    <w:rsid w:val="00566302"/>
    <w:rsid w:val="005670D6"/>
    <w:rsid w:val="00576139"/>
    <w:rsid w:val="00577876"/>
    <w:rsid w:val="00580C9D"/>
    <w:rsid w:val="00581FF8"/>
    <w:rsid w:val="00585660"/>
    <w:rsid w:val="0059060E"/>
    <w:rsid w:val="00591716"/>
    <w:rsid w:val="005A2515"/>
    <w:rsid w:val="005B076F"/>
    <w:rsid w:val="005C0530"/>
    <w:rsid w:val="005C0D5D"/>
    <w:rsid w:val="005D0387"/>
    <w:rsid w:val="005D2DAD"/>
    <w:rsid w:val="005D4749"/>
    <w:rsid w:val="005E1F19"/>
    <w:rsid w:val="005E2335"/>
    <w:rsid w:val="005E628B"/>
    <w:rsid w:val="005E6751"/>
    <w:rsid w:val="005F3660"/>
    <w:rsid w:val="005F6332"/>
    <w:rsid w:val="005F760C"/>
    <w:rsid w:val="00600CA6"/>
    <w:rsid w:val="00605FEB"/>
    <w:rsid w:val="006063DD"/>
    <w:rsid w:val="00607D03"/>
    <w:rsid w:val="006117DB"/>
    <w:rsid w:val="006157E1"/>
    <w:rsid w:val="00616628"/>
    <w:rsid w:val="006216FC"/>
    <w:rsid w:val="00624CC1"/>
    <w:rsid w:val="006263CC"/>
    <w:rsid w:val="00627371"/>
    <w:rsid w:val="006304E5"/>
    <w:rsid w:val="006338D2"/>
    <w:rsid w:val="00641376"/>
    <w:rsid w:val="00641D82"/>
    <w:rsid w:val="0065270F"/>
    <w:rsid w:val="00655003"/>
    <w:rsid w:val="0065516D"/>
    <w:rsid w:val="006572ED"/>
    <w:rsid w:val="00665C84"/>
    <w:rsid w:val="00665E3C"/>
    <w:rsid w:val="006722C2"/>
    <w:rsid w:val="00675AD2"/>
    <w:rsid w:val="00675C3D"/>
    <w:rsid w:val="00677BB3"/>
    <w:rsid w:val="00681A8C"/>
    <w:rsid w:val="00682A05"/>
    <w:rsid w:val="006830AC"/>
    <w:rsid w:val="00683D29"/>
    <w:rsid w:val="00684C30"/>
    <w:rsid w:val="00684DA1"/>
    <w:rsid w:val="00687ECD"/>
    <w:rsid w:val="00694B1E"/>
    <w:rsid w:val="006A0848"/>
    <w:rsid w:val="006A0E95"/>
    <w:rsid w:val="006A36DF"/>
    <w:rsid w:val="006A40A0"/>
    <w:rsid w:val="006B0241"/>
    <w:rsid w:val="006B241C"/>
    <w:rsid w:val="006B2B18"/>
    <w:rsid w:val="006C0B8B"/>
    <w:rsid w:val="006C5775"/>
    <w:rsid w:val="006D77B5"/>
    <w:rsid w:val="006E2D38"/>
    <w:rsid w:val="006E503C"/>
    <w:rsid w:val="006E6881"/>
    <w:rsid w:val="006E6D42"/>
    <w:rsid w:val="006E7BA5"/>
    <w:rsid w:val="006E7DCA"/>
    <w:rsid w:val="006F05A8"/>
    <w:rsid w:val="006F34CB"/>
    <w:rsid w:val="006F4E09"/>
    <w:rsid w:val="00701F1B"/>
    <w:rsid w:val="00703C11"/>
    <w:rsid w:val="00706ECF"/>
    <w:rsid w:val="00710392"/>
    <w:rsid w:val="00711EC8"/>
    <w:rsid w:val="00715EBB"/>
    <w:rsid w:val="007211EC"/>
    <w:rsid w:val="00721CCB"/>
    <w:rsid w:val="0072630D"/>
    <w:rsid w:val="007306AE"/>
    <w:rsid w:val="00733F21"/>
    <w:rsid w:val="00753120"/>
    <w:rsid w:val="007544C5"/>
    <w:rsid w:val="00755F4B"/>
    <w:rsid w:val="00767E91"/>
    <w:rsid w:val="00767F1F"/>
    <w:rsid w:val="00774158"/>
    <w:rsid w:val="007835B6"/>
    <w:rsid w:val="00785FE5"/>
    <w:rsid w:val="00786A27"/>
    <w:rsid w:val="00786D46"/>
    <w:rsid w:val="00792C28"/>
    <w:rsid w:val="00793331"/>
    <w:rsid w:val="00794E83"/>
    <w:rsid w:val="00795E74"/>
    <w:rsid w:val="0079718C"/>
    <w:rsid w:val="007A083E"/>
    <w:rsid w:val="007A6CA5"/>
    <w:rsid w:val="007B0A94"/>
    <w:rsid w:val="007C007D"/>
    <w:rsid w:val="007C2325"/>
    <w:rsid w:val="007C6899"/>
    <w:rsid w:val="007C77E5"/>
    <w:rsid w:val="007D5B90"/>
    <w:rsid w:val="007D5E12"/>
    <w:rsid w:val="007D6CBD"/>
    <w:rsid w:val="007E783B"/>
    <w:rsid w:val="007F26C9"/>
    <w:rsid w:val="007F26FE"/>
    <w:rsid w:val="00803EB2"/>
    <w:rsid w:val="00806AD8"/>
    <w:rsid w:val="00810C54"/>
    <w:rsid w:val="0081304A"/>
    <w:rsid w:val="008166B5"/>
    <w:rsid w:val="0082095E"/>
    <w:rsid w:val="00820C3B"/>
    <w:rsid w:val="00821431"/>
    <w:rsid w:val="008244B7"/>
    <w:rsid w:val="0082472D"/>
    <w:rsid w:val="00824F21"/>
    <w:rsid w:val="00832685"/>
    <w:rsid w:val="00834071"/>
    <w:rsid w:val="00841245"/>
    <w:rsid w:val="00852DD5"/>
    <w:rsid w:val="0085463C"/>
    <w:rsid w:val="00855A28"/>
    <w:rsid w:val="00860ABB"/>
    <w:rsid w:val="0086111C"/>
    <w:rsid w:val="00864173"/>
    <w:rsid w:val="0086442D"/>
    <w:rsid w:val="008663D3"/>
    <w:rsid w:val="0087185D"/>
    <w:rsid w:val="00875B14"/>
    <w:rsid w:val="00884977"/>
    <w:rsid w:val="00885B06"/>
    <w:rsid w:val="00885D05"/>
    <w:rsid w:val="0089111C"/>
    <w:rsid w:val="00892181"/>
    <w:rsid w:val="008A2DA3"/>
    <w:rsid w:val="008B4B2F"/>
    <w:rsid w:val="008B78FE"/>
    <w:rsid w:val="008C02F4"/>
    <w:rsid w:val="008C098C"/>
    <w:rsid w:val="008C28DF"/>
    <w:rsid w:val="008C3622"/>
    <w:rsid w:val="008C5A31"/>
    <w:rsid w:val="008C702A"/>
    <w:rsid w:val="008D1EBB"/>
    <w:rsid w:val="008E0050"/>
    <w:rsid w:val="008E301B"/>
    <w:rsid w:val="008E4048"/>
    <w:rsid w:val="008F4B76"/>
    <w:rsid w:val="008F760D"/>
    <w:rsid w:val="009003E1"/>
    <w:rsid w:val="0090041B"/>
    <w:rsid w:val="00901440"/>
    <w:rsid w:val="00902A1E"/>
    <w:rsid w:val="00903270"/>
    <w:rsid w:val="00906DBF"/>
    <w:rsid w:val="00906EA2"/>
    <w:rsid w:val="00912987"/>
    <w:rsid w:val="00913CCA"/>
    <w:rsid w:val="00922895"/>
    <w:rsid w:val="0092661C"/>
    <w:rsid w:val="00933037"/>
    <w:rsid w:val="0093438C"/>
    <w:rsid w:val="0094370A"/>
    <w:rsid w:val="009452AB"/>
    <w:rsid w:val="009504F6"/>
    <w:rsid w:val="00952067"/>
    <w:rsid w:val="009541FF"/>
    <w:rsid w:val="009546DB"/>
    <w:rsid w:val="0095511D"/>
    <w:rsid w:val="00955F7E"/>
    <w:rsid w:val="00956537"/>
    <w:rsid w:val="00956A92"/>
    <w:rsid w:val="009607D5"/>
    <w:rsid w:val="0096362F"/>
    <w:rsid w:val="00966241"/>
    <w:rsid w:val="00972A4B"/>
    <w:rsid w:val="00973478"/>
    <w:rsid w:val="00981237"/>
    <w:rsid w:val="00985647"/>
    <w:rsid w:val="00986D1E"/>
    <w:rsid w:val="00992D72"/>
    <w:rsid w:val="009A20F1"/>
    <w:rsid w:val="009A35A9"/>
    <w:rsid w:val="009A4E1B"/>
    <w:rsid w:val="009A5843"/>
    <w:rsid w:val="009B239A"/>
    <w:rsid w:val="009B3AAB"/>
    <w:rsid w:val="009C3AA0"/>
    <w:rsid w:val="009C572A"/>
    <w:rsid w:val="009D0A20"/>
    <w:rsid w:val="009D0C8F"/>
    <w:rsid w:val="009D0E44"/>
    <w:rsid w:val="009D1606"/>
    <w:rsid w:val="009D20B5"/>
    <w:rsid w:val="009D55D5"/>
    <w:rsid w:val="009D7358"/>
    <w:rsid w:val="009E5A45"/>
    <w:rsid w:val="009E7116"/>
    <w:rsid w:val="009F36F5"/>
    <w:rsid w:val="009F3C68"/>
    <w:rsid w:val="009F42A0"/>
    <w:rsid w:val="00A02141"/>
    <w:rsid w:val="00A03A05"/>
    <w:rsid w:val="00A0558B"/>
    <w:rsid w:val="00A05A5A"/>
    <w:rsid w:val="00A0767D"/>
    <w:rsid w:val="00A10ACB"/>
    <w:rsid w:val="00A115BA"/>
    <w:rsid w:val="00A14205"/>
    <w:rsid w:val="00A164E1"/>
    <w:rsid w:val="00A242BC"/>
    <w:rsid w:val="00A24C70"/>
    <w:rsid w:val="00A2501B"/>
    <w:rsid w:val="00A26646"/>
    <w:rsid w:val="00A318EA"/>
    <w:rsid w:val="00A334AA"/>
    <w:rsid w:val="00A35AB7"/>
    <w:rsid w:val="00A37FD5"/>
    <w:rsid w:val="00A400F2"/>
    <w:rsid w:val="00A4126F"/>
    <w:rsid w:val="00A41BAD"/>
    <w:rsid w:val="00A41F2B"/>
    <w:rsid w:val="00A51B86"/>
    <w:rsid w:val="00A51FA6"/>
    <w:rsid w:val="00A55A9E"/>
    <w:rsid w:val="00A61174"/>
    <w:rsid w:val="00A61FBC"/>
    <w:rsid w:val="00A67D57"/>
    <w:rsid w:val="00A74D88"/>
    <w:rsid w:val="00A760AA"/>
    <w:rsid w:val="00A826A8"/>
    <w:rsid w:val="00A9049D"/>
    <w:rsid w:val="00A94575"/>
    <w:rsid w:val="00A97679"/>
    <w:rsid w:val="00AA2208"/>
    <w:rsid w:val="00AB1922"/>
    <w:rsid w:val="00AB3B27"/>
    <w:rsid w:val="00AB71D0"/>
    <w:rsid w:val="00AB7CF8"/>
    <w:rsid w:val="00AD2201"/>
    <w:rsid w:val="00AD3E28"/>
    <w:rsid w:val="00AD7FCE"/>
    <w:rsid w:val="00AE4E81"/>
    <w:rsid w:val="00AE5D76"/>
    <w:rsid w:val="00AF01DE"/>
    <w:rsid w:val="00AF37CC"/>
    <w:rsid w:val="00AF7D4C"/>
    <w:rsid w:val="00B018EC"/>
    <w:rsid w:val="00B04645"/>
    <w:rsid w:val="00B07BE6"/>
    <w:rsid w:val="00B102DC"/>
    <w:rsid w:val="00B10EA6"/>
    <w:rsid w:val="00B1162B"/>
    <w:rsid w:val="00B1277F"/>
    <w:rsid w:val="00B13611"/>
    <w:rsid w:val="00B143FA"/>
    <w:rsid w:val="00B17276"/>
    <w:rsid w:val="00B23131"/>
    <w:rsid w:val="00B232C4"/>
    <w:rsid w:val="00B24D7B"/>
    <w:rsid w:val="00B26090"/>
    <w:rsid w:val="00B30CC0"/>
    <w:rsid w:val="00B31BD0"/>
    <w:rsid w:val="00B3344A"/>
    <w:rsid w:val="00B37E3D"/>
    <w:rsid w:val="00B40308"/>
    <w:rsid w:val="00B44970"/>
    <w:rsid w:val="00B51370"/>
    <w:rsid w:val="00B54F2F"/>
    <w:rsid w:val="00B57D40"/>
    <w:rsid w:val="00B62B0E"/>
    <w:rsid w:val="00B84BBC"/>
    <w:rsid w:val="00B9585D"/>
    <w:rsid w:val="00BA01EB"/>
    <w:rsid w:val="00BA1E37"/>
    <w:rsid w:val="00BA268A"/>
    <w:rsid w:val="00BA3ADB"/>
    <w:rsid w:val="00BA59C2"/>
    <w:rsid w:val="00BB01EB"/>
    <w:rsid w:val="00BB11ED"/>
    <w:rsid w:val="00BC21BC"/>
    <w:rsid w:val="00BC2E4D"/>
    <w:rsid w:val="00BD128D"/>
    <w:rsid w:val="00BD4B36"/>
    <w:rsid w:val="00BD56EA"/>
    <w:rsid w:val="00BD6279"/>
    <w:rsid w:val="00BD6572"/>
    <w:rsid w:val="00BD7578"/>
    <w:rsid w:val="00BE1719"/>
    <w:rsid w:val="00BE522E"/>
    <w:rsid w:val="00C00622"/>
    <w:rsid w:val="00C03F91"/>
    <w:rsid w:val="00C05C47"/>
    <w:rsid w:val="00C11427"/>
    <w:rsid w:val="00C12207"/>
    <w:rsid w:val="00C14BE5"/>
    <w:rsid w:val="00C16ABA"/>
    <w:rsid w:val="00C21529"/>
    <w:rsid w:val="00C236DC"/>
    <w:rsid w:val="00C2520E"/>
    <w:rsid w:val="00C31A71"/>
    <w:rsid w:val="00C33ABB"/>
    <w:rsid w:val="00C33C06"/>
    <w:rsid w:val="00C33DC7"/>
    <w:rsid w:val="00C36DBA"/>
    <w:rsid w:val="00C37472"/>
    <w:rsid w:val="00C51B22"/>
    <w:rsid w:val="00C53A2D"/>
    <w:rsid w:val="00C5497C"/>
    <w:rsid w:val="00C5591D"/>
    <w:rsid w:val="00C60678"/>
    <w:rsid w:val="00C64131"/>
    <w:rsid w:val="00C64423"/>
    <w:rsid w:val="00C6502A"/>
    <w:rsid w:val="00C656F8"/>
    <w:rsid w:val="00C7138C"/>
    <w:rsid w:val="00C80CBE"/>
    <w:rsid w:val="00C81961"/>
    <w:rsid w:val="00C8479F"/>
    <w:rsid w:val="00C87C52"/>
    <w:rsid w:val="00C9188A"/>
    <w:rsid w:val="00C93829"/>
    <w:rsid w:val="00C94473"/>
    <w:rsid w:val="00C94C3D"/>
    <w:rsid w:val="00C9630C"/>
    <w:rsid w:val="00C9756F"/>
    <w:rsid w:val="00CA1A4B"/>
    <w:rsid w:val="00CA3BE1"/>
    <w:rsid w:val="00CA4BF4"/>
    <w:rsid w:val="00CA6EAB"/>
    <w:rsid w:val="00CB1A26"/>
    <w:rsid w:val="00CB3218"/>
    <w:rsid w:val="00CB7BA3"/>
    <w:rsid w:val="00CC0721"/>
    <w:rsid w:val="00CC390F"/>
    <w:rsid w:val="00CD004F"/>
    <w:rsid w:val="00CD0DA9"/>
    <w:rsid w:val="00CD3ADA"/>
    <w:rsid w:val="00CD3B46"/>
    <w:rsid w:val="00CD4258"/>
    <w:rsid w:val="00CD52C1"/>
    <w:rsid w:val="00CE621D"/>
    <w:rsid w:val="00CF54E4"/>
    <w:rsid w:val="00CF56B2"/>
    <w:rsid w:val="00D00542"/>
    <w:rsid w:val="00D00C9F"/>
    <w:rsid w:val="00D0254E"/>
    <w:rsid w:val="00D050DC"/>
    <w:rsid w:val="00D14351"/>
    <w:rsid w:val="00D14569"/>
    <w:rsid w:val="00D17350"/>
    <w:rsid w:val="00D32F2D"/>
    <w:rsid w:val="00D33719"/>
    <w:rsid w:val="00D36B25"/>
    <w:rsid w:val="00D37A4D"/>
    <w:rsid w:val="00D50B84"/>
    <w:rsid w:val="00D5553E"/>
    <w:rsid w:val="00D619FE"/>
    <w:rsid w:val="00D72715"/>
    <w:rsid w:val="00D731D7"/>
    <w:rsid w:val="00D73EC8"/>
    <w:rsid w:val="00D759AA"/>
    <w:rsid w:val="00D766E5"/>
    <w:rsid w:val="00D80DCA"/>
    <w:rsid w:val="00D83DE6"/>
    <w:rsid w:val="00D83EBC"/>
    <w:rsid w:val="00D8466F"/>
    <w:rsid w:val="00D85079"/>
    <w:rsid w:val="00D9068F"/>
    <w:rsid w:val="00D91228"/>
    <w:rsid w:val="00D91B1D"/>
    <w:rsid w:val="00D91F5D"/>
    <w:rsid w:val="00D929D0"/>
    <w:rsid w:val="00D959BA"/>
    <w:rsid w:val="00D967C6"/>
    <w:rsid w:val="00D9732B"/>
    <w:rsid w:val="00DA1317"/>
    <w:rsid w:val="00DA1F9D"/>
    <w:rsid w:val="00DA3F10"/>
    <w:rsid w:val="00DA3F36"/>
    <w:rsid w:val="00DA5075"/>
    <w:rsid w:val="00DA6588"/>
    <w:rsid w:val="00DA71AA"/>
    <w:rsid w:val="00DB3F07"/>
    <w:rsid w:val="00DB64C2"/>
    <w:rsid w:val="00DC2ACB"/>
    <w:rsid w:val="00DC3134"/>
    <w:rsid w:val="00DC4CD1"/>
    <w:rsid w:val="00DD0D50"/>
    <w:rsid w:val="00DD5E25"/>
    <w:rsid w:val="00DD6F4F"/>
    <w:rsid w:val="00DD727F"/>
    <w:rsid w:val="00DE1310"/>
    <w:rsid w:val="00DF28D8"/>
    <w:rsid w:val="00DF5FDC"/>
    <w:rsid w:val="00DF6C4C"/>
    <w:rsid w:val="00DF6D2F"/>
    <w:rsid w:val="00E0274E"/>
    <w:rsid w:val="00E077E0"/>
    <w:rsid w:val="00E14A59"/>
    <w:rsid w:val="00E1645A"/>
    <w:rsid w:val="00E24091"/>
    <w:rsid w:val="00E2539F"/>
    <w:rsid w:val="00E32C75"/>
    <w:rsid w:val="00E4391B"/>
    <w:rsid w:val="00E43C32"/>
    <w:rsid w:val="00E52FAE"/>
    <w:rsid w:val="00E55448"/>
    <w:rsid w:val="00E557A5"/>
    <w:rsid w:val="00E638C1"/>
    <w:rsid w:val="00E70340"/>
    <w:rsid w:val="00E70452"/>
    <w:rsid w:val="00E81942"/>
    <w:rsid w:val="00E84189"/>
    <w:rsid w:val="00E85B5F"/>
    <w:rsid w:val="00E85E20"/>
    <w:rsid w:val="00E95E00"/>
    <w:rsid w:val="00EA0CD1"/>
    <w:rsid w:val="00EA5F8D"/>
    <w:rsid w:val="00EB08C3"/>
    <w:rsid w:val="00EB0A7E"/>
    <w:rsid w:val="00EB498D"/>
    <w:rsid w:val="00EC25C5"/>
    <w:rsid w:val="00EC3ACD"/>
    <w:rsid w:val="00ED1A6A"/>
    <w:rsid w:val="00ED6518"/>
    <w:rsid w:val="00ED7AE7"/>
    <w:rsid w:val="00EE16E5"/>
    <w:rsid w:val="00EE375C"/>
    <w:rsid w:val="00EE5E8C"/>
    <w:rsid w:val="00EF4C9C"/>
    <w:rsid w:val="00F01128"/>
    <w:rsid w:val="00F02080"/>
    <w:rsid w:val="00F052BF"/>
    <w:rsid w:val="00F10A6C"/>
    <w:rsid w:val="00F11617"/>
    <w:rsid w:val="00F12F25"/>
    <w:rsid w:val="00F1638A"/>
    <w:rsid w:val="00F22F46"/>
    <w:rsid w:val="00F24F0B"/>
    <w:rsid w:val="00F3059E"/>
    <w:rsid w:val="00F425F6"/>
    <w:rsid w:val="00F42707"/>
    <w:rsid w:val="00F55B5B"/>
    <w:rsid w:val="00F56794"/>
    <w:rsid w:val="00F60079"/>
    <w:rsid w:val="00F61EBB"/>
    <w:rsid w:val="00F6534B"/>
    <w:rsid w:val="00F66A82"/>
    <w:rsid w:val="00F66B55"/>
    <w:rsid w:val="00F679A0"/>
    <w:rsid w:val="00F76970"/>
    <w:rsid w:val="00F80A56"/>
    <w:rsid w:val="00F8160F"/>
    <w:rsid w:val="00F86C14"/>
    <w:rsid w:val="00F9001F"/>
    <w:rsid w:val="00F9375E"/>
    <w:rsid w:val="00FA0EF3"/>
    <w:rsid w:val="00FA7045"/>
    <w:rsid w:val="00FA74CE"/>
    <w:rsid w:val="00FA75E7"/>
    <w:rsid w:val="00FB6AFD"/>
    <w:rsid w:val="00FC0319"/>
    <w:rsid w:val="00FC2970"/>
    <w:rsid w:val="00FC4B8B"/>
    <w:rsid w:val="00FC73C0"/>
    <w:rsid w:val="00FE1D16"/>
    <w:rsid w:val="00FE5600"/>
    <w:rsid w:val="00FF01F8"/>
    <w:rsid w:val="00FF0FE4"/>
    <w:rsid w:val="00FF5FB4"/>
    <w:rsid w:val="035A88D3"/>
    <w:rsid w:val="0E6D8802"/>
    <w:rsid w:val="0E94509B"/>
    <w:rsid w:val="0FABB11C"/>
    <w:rsid w:val="0FCF826C"/>
    <w:rsid w:val="0FDFBCCF"/>
    <w:rsid w:val="12660033"/>
    <w:rsid w:val="13FBB444"/>
    <w:rsid w:val="14D97A74"/>
    <w:rsid w:val="177C2306"/>
    <w:rsid w:val="17CF285E"/>
    <w:rsid w:val="1AFB273A"/>
    <w:rsid w:val="1B30BE67"/>
    <w:rsid w:val="1BD4F451"/>
    <w:rsid w:val="1BFD8A42"/>
    <w:rsid w:val="1BFE62C3"/>
    <w:rsid w:val="1CBDBE45"/>
    <w:rsid w:val="1E374714"/>
    <w:rsid w:val="1E4DA63C"/>
    <w:rsid w:val="1E7C5799"/>
    <w:rsid w:val="1EB44536"/>
    <w:rsid w:val="1F73E717"/>
    <w:rsid w:val="1F77FB84"/>
    <w:rsid w:val="1F7E13DA"/>
    <w:rsid w:val="1F7FBD08"/>
    <w:rsid w:val="1FAF85B8"/>
    <w:rsid w:val="1FBF3F6F"/>
    <w:rsid w:val="1FDEE27A"/>
    <w:rsid w:val="1FDF33B1"/>
    <w:rsid w:val="1FEE6A25"/>
    <w:rsid w:val="1FFDFB4D"/>
    <w:rsid w:val="22E571A1"/>
    <w:rsid w:val="25FDD84D"/>
    <w:rsid w:val="26718E42"/>
    <w:rsid w:val="27D91059"/>
    <w:rsid w:val="27EF644D"/>
    <w:rsid w:val="2AFEBA90"/>
    <w:rsid w:val="2B7F5988"/>
    <w:rsid w:val="2B9F2956"/>
    <w:rsid w:val="2BFA1BBC"/>
    <w:rsid w:val="2C2FB377"/>
    <w:rsid w:val="2CBD347F"/>
    <w:rsid w:val="2CF75A8D"/>
    <w:rsid w:val="2F0437DC"/>
    <w:rsid w:val="2F3803F6"/>
    <w:rsid w:val="2F5F9DE7"/>
    <w:rsid w:val="2F6550B8"/>
    <w:rsid w:val="2F6FAEA6"/>
    <w:rsid w:val="2FB71492"/>
    <w:rsid w:val="2FBFB258"/>
    <w:rsid w:val="2FCEB929"/>
    <w:rsid w:val="2FD56F04"/>
    <w:rsid w:val="2FE7A00B"/>
    <w:rsid w:val="2FF94E15"/>
    <w:rsid w:val="2FFBD442"/>
    <w:rsid w:val="2FFDD3D0"/>
    <w:rsid w:val="2FFE3B5F"/>
    <w:rsid w:val="2FFF97F0"/>
    <w:rsid w:val="333F478A"/>
    <w:rsid w:val="33B74C74"/>
    <w:rsid w:val="34F55495"/>
    <w:rsid w:val="35D69390"/>
    <w:rsid w:val="35FDD31B"/>
    <w:rsid w:val="36768EC5"/>
    <w:rsid w:val="36EE1359"/>
    <w:rsid w:val="373FB3F2"/>
    <w:rsid w:val="375D0D48"/>
    <w:rsid w:val="375FCD8E"/>
    <w:rsid w:val="377F46A4"/>
    <w:rsid w:val="377F62F6"/>
    <w:rsid w:val="37FE8900"/>
    <w:rsid w:val="3877FF77"/>
    <w:rsid w:val="3A276381"/>
    <w:rsid w:val="3ABD502E"/>
    <w:rsid w:val="3AFE8242"/>
    <w:rsid w:val="3B7BAF4F"/>
    <w:rsid w:val="3B7F1825"/>
    <w:rsid w:val="3B9DCF55"/>
    <w:rsid w:val="3BA647A7"/>
    <w:rsid w:val="3BBFDF02"/>
    <w:rsid w:val="3BED2D02"/>
    <w:rsid w:val="3BEE6FC4"/>
    <w:rsid w:val="3BF66BCB"/>
    <w:rsid w:val="3BFC52C2"/>
    <w:rsid w:val="3BFD884A"/>
    <w:rsid w:val="3BFF96F3"/>
    <w:rsid w:val="3BFFC07B"/>
    <w:rsid w:val="3BFFC366"/>
    <w:rsid w:val="3C5FDF98"/>
    <w:rsid w:val="3CFF6CC9"/>
    <w:rsid w:val="3D3FEDF9"/>
    <w:rsid w:val="3D5809FC"/>
    <w:rsid w:val="3D5EF811"/>
    <w:rsid w:val="3D9F8D0A"/>
    <w:rsid w:val="3DEDE560"/>
    <w:rsid w:val="3DF4EFAB"/>
    <w:rsid w:val="3DF9D479"/>
    <w:rsid w:val="3DFBA024"/>
    <w:rsid w:val="3E7F7604"/>
    <w:rsid w:val="3E9D26A9"/>
    <w:rsid w:val="3EB7931E"/>
    <w:rsid w:val="3EFEBD5A"/>
    <w:rsid w:val="3F0D7818"/>
    <w:rsid w:val="3F1B83A3"/>
    <w:rsid w:val="3F1FC95B"/>
    <w:rsid w:val="3F53C2AF"/>
    <w:rsid w:val="3F5E6598"/>
    <w:rsid w:val="3F6DB519"/>
    <w:rsid w:val="3F74D583"/>
    <w:rsid w:val="3F7A825F"/>
    <w:rsid w:val="3F7DDF8C"/>
    <w:rsid w:val="3F7FAE8B"/>
    <w:rsid w:val="3F7FC16D"/>
    <w:rsid w:val="3FBAAB1D"/>
    <w:rsid w:val="3FBF3A48"/>
    <w:rsid w:val="3FCDE2C9"/>
    <w:rsid w:val="3FD70DE1"/>
    <w:rsid w:val="3FDA9C52"/>
    <w:rsid w:val="3FDD2986"/>
    <w:rsid w:val="3FEF805F"/>
    <w:rsid w:val="3FEFD18E"/>
    <w:rsid w:val="3FF35298"/>
    <w:rsid w:val="3FF6C37C"/>
    <w:rsid w:val="3FF7AC63"/>
    <w:rsid w:val="41D39DAE"/>
    <w:rsid w:val="41DF6CC2"/>
    <w:rsid w:val="43DF2990"/>
    <w:rsid w:val="46FF8D68"/>
    <w:rsid w:val="47731B6A"/>
    <w:rsid w:val="47BEB979"/>
    <w:rsid w:val="47BF0041"/>
    <w:rsid w:val="47F6940D"/>
    <w:rsid w:val="47F77165"/>
    <w:rsid w:val="48B2183C"/>
    <w:rsid w:val="4A3C4AA7"/>
    <w:rsid w:val="4AFE6D9A"/>
    <w:rsid w:val="4BB6D580"/>
    <w:rsid w:val="4BD72FBC"/>
    <w:rsid w:val="4BDE9B44"/>
    <w:rsid w:val="4BFF4DC1"/>
    <w:rsid w:val="4D3ED65D"/>
    <w:rsid w:val="4DCFA4B1"/>
    <w:rsid w:val="4DDAE334"/>
    <w:rsid w:val="4DF3B493"/>
    <w:rsid w:val="4DFED698"/>
    <w:rsid w:val="4EFFC6C2"/>
    <w:rsid w:val="4F573039"/>
    <w:rsid w:val="4F778EF7"/>
    <w:rsid w:val="4FA793A0"/>
    <w:rsid w:val="4FD78212"/>
    <w:rsid w:val="4FD7AD40"/>
    <w:rsid w:val="4FE5C2EB"/>
    <w:rsid w:val="4FEFCD8C"/>
    <w:rsid w:val="4FFC5CE9"/>
    <w:rsid w:val="4FFF1D93"/>
    <w:rsid w:val="4FFF5FC2"/>
    <w:rsid w:val="4FFFDA9E"/>
    <w:rsid w:val="525D32A0"/>
    <w:rsid w:val="52D07C56"/>
    <w:rsid w:val="52EDABB8"/>
    <w:rsid w:val="53AC9643"/>
    <w:rsid w:val="53DF5945"/>
    <w:rsid w:val="56372B38"/>
    <w:rsid w:val="56DF5558"/>
    <w:rsid w:val="56EDD61D"/>
    <w:rsid w:val="56FFBFF8"/>
    <w:rsid w:val="57373A65"/>
    <w:rsid w:val="573BB712"/>
    <w:rsid w:val="57ACE125"/>
    <w:rsid w:val="57BF93A8"/>
    <w:rsid w:val="57CFCBAF"/>
    <w:rsid w:val="57D39885"/>
    <w:rsid w:val="57DFE3A1"/>
    <w:rsid w:val="57EB5A3B"/>
    <w:rsid w:val="57F3BFA1"/>
    <w:rsid w:val="57F7CBD5"/>
    <w:rsid w:val="57FBBF27"/>
    <w:rsid w:val="57FEBEC3"/>
    <w:rsid w:val="57FF6BA5"/>
    <w:rsid w:val="595B45BF"/>
    <w:rsid w:val="5A663819"/>
    <w:rsid w:val="5ABB26DD"/>
    <w:rsid w:val="5ABB2C49"/>
    <w:rsid w:val="5ACD6D89"/>
    <w:rsid w:val="5AEF981F"/>
    <w:rsid w:val="5AFE1AC7"/>
    <w:rsid w:val="5B6FE370"/>
    <w:rsid w:val="5BB9E575"/>
    <w:rsid w:val="5BEB5CC0"/>
    <w:rsid w:val="5BEBC172"/>
    <w:rsid w:val="5BEDC4C8"/>
    <w:rsid w:val="5BF596FF"/>
    <w:rsid w:val="5BFC63C4"/>
    <w:rsid w:val="5BFD876A"/>
    <w:rsid w:val="5BFFB4A3"/>
    <w:rsid w:val="5CE36829"/>
    <w:rsid w:val="5D7486BC"/>
    <w:rsid w:val="5D7F437A"/>
    <w:rsid w:val="5DAF1258"/>
    <w:rsid w:val="5DCF7828"/>
    <w:rsid w:val="5DF7DA5F"/>
    <w:rsid w:val="5DF7F6A3"/>
    <w:rsid w:val="5DFE5065"/>
    <w:rsid w:val="5DFFCC51"/>
    <w:rsid w:val="5DFFD042"/>
    <w:rsid w:val="5E7F6FF7"/>
    <w:rsid w:val="5E7FBA52"/>
    <w:rsid w:val="5E8716AE"/>
    <w:rsid w:val="5ECDB12A"/>
    <w:rsid w:val="5EDB9D51"/>
    <w:rsid w:val="5EDF2744"/>
    <w:rsid w:val="5EDFC2F0"/>
    <w:rsid w:val="5EE52C5F"/>
    <w:rsid w:val="5EF62128"/>
    <w:rsid w:val="5EFE1DDA"/>
    <w:rsid w:val="5F3A6236"/>
    <w:rsid w:val="5F4F948A"/>
    <w:rsid w:val="5F69D64E"/>
    <w:rsid w:val="5F722246"/>
    <w:rsid w:val="5F74353A"/>
    <w:rsid w:val="5F779DAC"/>
    <w:rsid w:val="5F7FEFB9"/>
    <w:rsid w:val="5FAFC941"/>
    <w:rsid w:val="5FB344CB"/>
    <w:rsid w:val="5FBBFB66"/>
    <w:rsid w:val="5FBEC7D9"/>
    <w:rsid w:val="5FBF5F68"/>
    <w:rsid w:val="5FCA807C"/>
    <w:rsid w:val="5FCD8584"/>
    <w:rsid w:val="5FD7F873"/>
    <w:rsid w:val="5FDD4BFA"/>
    <w:rsid w:val="5FDF6F49"/>
    <w:rsid w:val="5FEE82C5"/>
    <w:rsid w:val="5FF726EE"/>
    <w:rsid w:val="5FF7ADF1"/>
    <w:rsid w:val="5FFABE54"/>
    <w:rsid w:val="5FFBE19E"/>
    <w:rsid w:val="5FFCE75D"/>
    <w:rsid w:val="5FFFAAEF"/>
    <w:rsid w:val="5FFFE037"/>
    <w:rsid w:val="61BF9D14"/>
    <w:rsid w:val="6374C2B6"/>
    <w:rsid w:val="63EB89CB"/>
    <w:rsid w:val="63FE266C"/>
    <w:rsid w:val="655F8489"/>
    <w:rsid w:val="657B946B"/>
    <w:rsid w:val="65BD7D43"/>
    <w:rsid w:val="65CF4AF8"/>
    <w:rsid w:val="65FE4E40"/>
    <w:rsid w:val="65FF52CB"/>
    <w:rsid w:val="660F4A2D"/>
    <w:rsid w:val="664D8D55"/>
    <w:rsid w:val="664FBABC"/>
    <w:rsid w:val="667CF980"/>
    <w:rsid w:val="66E3B4C4"/>
    <w:rsid w:val="676C7F28"/>
    <w:rsid w:val="6773DF1C"/>
    <w:rsid w:val="677A210E"/>
    <w:rsid w:val="67DFF66A"/>
    <w:rsid w:val="67EB6F81"/>
    <w:rsid w:val="67EF8803"/>
    <w:rsid w:val="67FF36F8"/>
    <w:rsid w:val="6879D6D9"/>
    <w:rsid w:val="687B5EF3"/>
    <w:rsid w:val="69572189"/>
    <w:rsid w:val="697FE012"/>
    <w:rsid w:val="698F931A"/>
    <w:rsid w:val="69AB97D7"/>
    <w:rsid w:val="69DF2438"/>
    <w:rsid w:val="69DFA756"/>
    <w:rsid w:val="69E7FC2E"/>
    <w:rsid w:val="69EE88E9"/>
    <w:rsid w:val="69EFA8BD"/>
    <w:rsid w:val="6AF55561"/>
    <w:rsid w:val="6AFBE6A3"/>
    <w:rsid w:val="6AFF4139"/>
    <w:rsid w:val="6AFFA607"/>
    <w:rsid w:val="6B62346A"/>
    <w:rsid w:val="6B8B324F"/>
    <w:rsid w:val="6BBB0184"/>
    <w:rsid w:val="6BDFE9DD"/>
    <w:rsid w:val="6BE3DDE4"/>
    <w:rsid w:val="6BF58DCA"/>
    <w:rsid w:val="6BFBD980"/>
    <w:rsid w:val="6CEB8333"/>
    <w:rsid w:val="6D5D057A"/>
    <w:rsid w:val="6D6E2E0B"/>
    <w:rsid w:val="6DAF8E14"/>
    <w:rsid w:val="6DBE779E"/>
    <w:rsid w:val="6DD52F56"/>
    <w:rsid w:val="6DDF8D67"/>
    <w:rsid w:val="6DE93EC7"/>
    <w:rsid w:val="6DEDCC6F"/>
    <w:rsid w:val="6DEF38A4"/>
    <w:rsid w:val="6DFBD486"/>
    <w:rsid w:val="6DFDCE70"/>
    <w:rsid w:val="6E3AFDBE"/>
    <w:rsid w:val="6E797347"/>
    <w:rsid w:val="6EEF2C53"/>
    <w:rsid w:val="6EFB108F"/>
    <w:rsid w:val="6FA71348"/>
    <w:rsid w:val="6FB7B7BB"/>
    <w:rsid w:val="6FBCD3D9"/>
    <w:rsid w:val="6FBF67A3"/>
    <w:rsid w:val="6FDFCA01"/>
    <w:rsid w:val="6FE79102"/>
    <w:rsid w:val="6FE7B122"/>
    <w:rsid w:val="6FE8E25B"/>
    <w:rsid w:val="6FEB7186"/>
    <w:rsid w:val="6FEF0DB0"/>
    <w:rsid w:val="6FFB95F4"/>
    <w:rsid w:val="6FFF5BBB"/>
    <w:rsid w:val="6FFF95C0"/>
    <w:rsid w:val="6FFFA14F"/>
    <w:rsid w:val="6FFFCBBA"/>
    <w:rsid w:val="6FFFD5C3"/>
    <w:rsid w:val="703D791C"/>
    <w:rsid w:val="70DFAB25"/>
    <w:rsid w:val="716DE32A"/>
    <w:rsid w:val="71FE57F3"/>
    <w:rsid w:val="71FF8452"/>
    <w:rsid w:val="726F3C80"/>
    <w:rsid w:val="72ECD924"/>
    <w:rsid w:val="72FF0B66"/>
    <w:rsid w:val="73BBF15D"/>
    <w:rsid w:val="73BFE141"/>
    <w:rsid w:val="73DF21B2"/>
    <w:rsid w:val="73EB15F8"/>
    <w:rsid w:val="73EF0FD9"/>
    <w:rsid w:val="73F52B62"/>
    <w:rsid w:val="73F7EB6D"/>
    <w:rsid w:val="73FB4277"/>
    <w:rsid w:val="73FF05DB"/>
    <w:rsid w:val="752F2B26"/>
    <w:rsid w:val="756A5093"/>
    <w:rsid w:val="75D42208"/>
    <w:rsid w:val="75DD6AF4"/>
    <w:rsid w:val="75ED84F7"/>
    <w:rsid w:val="75EDE323"/>
    <w:rsid w:val="75F8CFD1"/>
    <w:rsid w:val="762B77D9"/>
    <w:rsid w:val="765B8A2F"/>
    <w:rsid w:val="766F7198"/>
    <w:rsid w:val="76AD5DD1"/>
    <w:rsid w:val="76AD775B"/>
    <w:rsid w:val="76D97723"/>
    <w:rsid w:val="76DF0808"/>
    <w:rsid w:val="76F2DF38"/>
    <w:rsid w:val="76F925E3"/>
    <w:rsid w:val="76F9ED7C"/>
    <w:rsid w:val="76FC1ECE"/>
    <w:rsid w:val="76FF849E"/>
    <w:rsid w:val="775F015A"/>
    <w:rsid w:val="776F0863"/>
    <w:rsid w:val="776FDBC1"/>
    <w:rsid w:val="777B81CF"/>
    <w:rsid w:val="7783F9CE"/>
    <w:rsid w:val="779D61BF"/>
    <w:rsid w:val="77B388E3"/>
    <w:rsid w:val="77BEDDB1"/>
    <w:rsid w:val="77D452BB"/>
    <w:rsid w:val="77D74BB7"/>
    <w:rsid w:val="77E65F03"/>
    <w:rsid w:val="77ECF0B5"/>
    <w:rsid w:val="77EFE2CC"/>
    <w:rsid w:val="77F255F3"/>
    <w:rsid w:val="77F51CFE"/>
    <w:rsid w:val="77FBDC31"/>
    <w:rsid w:val="77FD0F18"/>
    <w:rsid w:val="77FD63F9"/>
    <w:rsid w:val="77FE9CC4"/>
    <w:rsid w:val="77FF3C27"/>
    <w:rsid w:val="77FF9F46"/>
    <w:rsid w:val="785CA39F"/>
    <w:rsid w:val="78D7BA91"/>
    <w:rsid w:val="78EDFDE2"/>
    <w:rsid w:val="78F30A9F"/>
    <w:rsid w:val="78F61897"/>
    <w:rsid w:val="78FB5589"/>
    <w:rsid w:val="78FF0B7F"/>
    <w:rsid w:val="792B333E"/>
    <w:rsid w:val="793F1308"/>
    <w:rsid w:val="79EE11AD"/>
    <w:rsid w:val="79EFA7FB"/>
    <w:rsid w:val="79F60574"/>
    <w:rsid w:val="79FD6F79"/>
    <w:rsid w:val="7A5DB8F2"/>
    <w:rsid w:val="7A6FCFE0"/>
    <w:rsid w:val="7ADF52BF"/>
    <w:rsid w:val="7AF38C81"/>
    <w:rsid w:val="7B2D685D"/>
    <w:rsid w:val="7B38AA48"/>
    <w:rsid w:val="7B3E5059"/>
    <w:rsid w:val="7B4C4E9C"/>
    <w:rsid w:val="7B5B9875"/>
    <w:rsid w:val="7B6A643F"/>
    <w:rsid w:val="7B6B6DFC"/>
    <w:rsid w:val="7B6FB106"/>
    <w:rsid w:val="7B7E20E0"/>
    <w:rsid w:val="7B7FAF28"/>
    <w:rsid w:val="7B7FC676"/>
    <w:rsid w:val="7B7FE1EC"/>
    <w:rsid w:val="7B7FE8CC"/>
    <w:rsid w:val="7B9E0E9B"/>
    <w:rsid w:val="7BA50BD5"/>
    <w:rsid w:val="7BA9166D"/>
    <w:rsid w:val="7BAF434C"/>
    <w:rsid w:val="7BBD3A42"/>
    <w:rsid w:val="7BBE8E38"/>
    <w:rsid w:val="7BBED744"/>
    <w:rsid w:val="7BCE3DDF"/>
    <w:rsid w:val="7BD6E290"/>
    <w:rsid w:val="7BD757A8"/>
    <w:rsid w:val="7BDF23F1"/>
    <w:rsid w:val="7BE6A679"/>
    <w:rsid w:val="7BE8F68F"/>
    <w:rsid w:val="7BF631C6"/>
    <w:rsid w:val="7BF7F678"/>
    <w:rsid w:val="7BFB1484"/>
    <w:rsid w:val="7BFCE2E4"/>
    <w:rsid w:val="7BFDFFDE"/>
    <w:rsid w:val="7BFFE2B5"/>
    <w:rsid w:val="7C5F8D4F"/>
    <w:rsid w:val="7C746815"/>
    <w:rsid w:val="7CB2300F"/>
    <w:rsid w:val="7CBB7E93"/>
    <w:rsid w:val="7CBDF240"/>
    <w:rsid w:val="7CEBC6A2"/>
    <w:rsid w:val="7CEF8502"/>
    <w:rsid w:val="7CFCC919"/>
    <w:rsid w:val="7CFE2CD6"/>
    <w:rsid w:val="7CFEF053"/>
    <w:rsid w:val="7CFF5B64"/>
    <w:rsid w:val="7CFFDF70"/>
    <w:rsid w:val="7D2FB81E"/>
    <w:rsid w:val="7D3DA657"/>
    <w:rsid w:val="7D3E66F4"/>
    <w:rsid w:val="7D3F1A23"/>
    <w:rsid w:val="7D43827C"/>
    <w:rsid w:val="7D4BF141"/>
    <w:rsid w:val="7D4FD0E7"/>
    <w:rsid w:val="7D4FDCF9"/>
    <w:rsid w:val="7D5A4A99"/>
    <w:rsid w:val="7D5C9098"/>
    <w:rsid w:val="7D6F26CA"/>
    <w:rsid w:val="7D703609"/>
    <w:rsid w:val="7D7C6621"/>
    <w:rsid w:val="7DBDAF8A"/>
    <w:rsid w:val="7DBE4796"/>
    <w:rsid w:val="7DCE8836"/>
    <w:rsid w:val="7DDB473F"/>
    <w:rsid w:val="7DDFDEDF"/>
    <w:rsid w:val="7DEF1BEF"/>
    <w:rsid w:val="7DEFB448"/>
    <w:rsid w:val="7DF79326"/>
    <w:rsid w:val="7DFB472A"/>
    <w:rsid w:val="7DFBCD35"/>
    <w:rsid w:val="7DFC21A7"/>
    <w:rsid w:val="7DFE2ADE"/>
    <w:rsid w:val="7DFF9E77"/>
    <w:rsid w:val="7E1B81F1"/>
    <w:rsid w:val="7E3FE0D2"/>
    <w:rsid w:val="7E5A73EB"/>
    <w:rsid w:val="7E5F022F"/>
    <w:rsid w:val="7E6C8C32"/>
    <w:rsid w:val="7E9F82AC"/>
    <w:rsid w:val="7EAFDD8B"/>
    <w:rsid w:val="7EB77231"/>
    <w:rsid w:val="7EBF02B3"/>
    <w:rsid w:val="7ED74CDB"/>
    <w:rsid w:val="7ED9D710"/>
    <w:rsid w:val="7EDDBA5F"/>
    <w:rsid w:val="7EE70CBE"/>
    <w:rsid w:val="7EF70406"/>
    <w:rsid w:val="7EF77825"/>
    <w:rsid w:val="7EF7EC40"/>
    <w:rsid w:val="7EF9E159"/>
    <w:rsid w:val="7EFB3D6A"/>
    <w:rsid w:val="7EFBE91A"/>
    <w:rsid w:val="7EFC8F42"/>
    <w:rsid w:val="7EFD54DB"/>
    <w:rsid w:val="7EFF0337"/>
    <w:rsid w:val="7EFF1346"/>
    <w:rsid w:val="7EFF1389"/>
    <w:rsid w:val="7EFF2C54"/>
    <w:rsid w:val="7EFF6783"/>
    <w:rsid w:val="7EFFD8C4"/>
    <w:rsid w:val="7F1FD03D"/>
    <w:rsid w:val="7F2AB4F8"/>
    <w:rsid w:val="7F2BD458"/>
    <w:rsid w:val="7F335F55"/>
    <w:rsid w:val="7F34BEFC"/>
    <w:rsid w:val="7F3F79D3"/>
    <w:rsid w:val="7F3F9B05"/>
    <w:rsid w:val="7F3F9E97"/>
    <w:rsid w:val="7F568E28"/>
    <w:rsid w:val="7F5E76E3"/>
    <w:rsid w:val="7F65C13A"/>
    <w:rsid w:val="7F756EE1"/>
    <w:rsid w:val="7F75ECE1"/>
    <w:rsid w:val="7F7768D4"/>
    <w:rsid w:val="7F79406A"/>
    <w:rsid w:val="7F7D7932"/>
    <w:rsid w:val="7F7F3F45"/>
    <w:rsid w:val="7F7FD4B9"/>
    <w:rsid w:val="7F7FE951"/>
    <w:rsid w:val="7F9731E6"/>
    <w:rsid w:val="7F9B52D2"/>
    <w:rsid w:val="7FA63CDE"/>
    <w:rsid w:val="7FAD3483"/>
    <w:rsid w:val="7FAE924B"/>
    <w:rsid w:val="7FB7BA08"/>
    <w:rsid w:val="7FB7D86A"/>
    <w:rsid w:val="7FBA78AC"/>
    <w:rsid w:val="7FBB6C2C"/>
    <w:rsid w:val="7FBB7175"/>
    <w:rsid w:val="7FBE1897"/>
    <w:rsid w:val="7FBFA72F"/>
    <w:rsid w:val="7FBFAA0D"/>
    <w:rsid w:val="7FBFBE9C"/>
    <w:rsid w:val="7FBFF2AC"/>
    <w:rsid w:val="7FC51405"/>
    <w:rsid w:val="7FCDA118"/>
    <w:rsid w:val="7FCED4AB"/>
    <w:rsid w:val="7FD26A00"/>
    <w:rsid w:val="7FD92A39"/>
    <w:rsid w:val="7FDD241C"/>
    <w:rsid w:val="7FDD2CAE"/>
    <w:rsid w:val="7FDDF894"/>
    <w:rsid w:val="7FDF184F"/>
    <w:rsid w:val="7FDF8906"/>
    <w:rsid w:val="7FE59A8B"/>
    <w:rsid w:val="7FE7BBC6"/>
    <w:rsid w:val="7FE93D7C"/>
    <w:rsid w:val="7FEB9631"/>
    <w:rsid w:val="7FEBB9DE"/>
    <w:rsid w:val="7FEF5E61"/>
    <w:rsid w:val="7FF1DDFF"/>
    <w:rsid w:val="7FF328B5"/>
    <w:rsid w:val="7FF3E284"/>
    <w:rsid w:val="7FF41A6B"/>
    <w:rsid w:val="7FF5A682"/>
    <w:rsid w:val="7FF5AF30"/>
    <w:rsid w:val="7FF5B3C8"/>
    <w:rsid w:val="7FF633A1"/>
    <w:rsid w:val="7FF73BF2"/>
    <w:rsid w:val="7FF7B05D"/>
    <w:rsid w:val="7FF93F46"/>
    <w:rsid w:val="7FF97BF3"/>
    <w:rsid w:val="7FFB8A1D"/>
    <w:rsid w:val="7FFB972C"/>
    <w:rsid w:val="7FFBCF7C"/>
    <w:rsid w:val="7FFBDA72"/>
    <w:rsid w:val="7FFD242B"/>
    <w:rsid w:val="7FFDD3D9"/>
    <w:rsid w:val="7FFDFBD3"/>
    <w:rsid w:val="7FFE4D87"/>
    <w:rsid w:val="7FFF1AC0"/>
    <w:rsid w:val="7FFF52EC"/>
    <w:rsid w:val="7FFF66AA"/>
    <w:rsid w:val="7FFFFD0E"/>
    <w:rsid w:val="808EE30D"/>
    <w:rsid w:val="86FAE486"/>
    <w:rsid w:val="87CBBE63"/>
    <w:rsid w:val="8B420D7E"/>
    <w:rsid w:val="8EF7DCFE"/>
    <w:rsid w:val="8FEE4E55"/>
    <w:rsid w:val="8FFB060B"/>
    <w:rsid w:val="96DFA075"/>
    <w:rsid w:val="96E70BCA"/>
    <w:rsid w:val="96FE6E8D"/>
    <w:rsid w:val="97BF9027"/>
    <w:rsid w:val="97EA965F"/>
    <w:rsid w:val="97EE2886"/>
    <w:rsid w:val="97FF38C4"/>
    <w:rsid w:val="98EF367D"/>
    <w:rsid w:val="99479B4D"/>
    <w:rsid w:val="996FECAC"/>
    <w:rsid w:val="99F1EAF0"/>
    <w:rsid w:val="9BAB298F"/>
    <w:rsid w:val="9BAD9044"/>
    <w:rsid w:val="9BDF20E9"/>
    <w:rsid w:val="9BEB4034"/>
    <w:rsid w:val="9BFF9AC8"/>
    <w:rsid w:val="9CF646D7"/>
    <w:rsid w:val="9DEB6AD9"/>
    <w:rsid w:val="9ECB4A03"/>
    <w:rsid w:val="9EFFD684"/>
    <w:rsid w:val="9F3163C6"/>
    <w:rsid w:val="9F4B71D6"/>
    <w:rsid w:val="9F5F2E77"/>
    <w:rsid w:val="9F9F784F"/>
    <w:rsid w:val="9FE668BD"/>
    <w:rsid w:val="9FE7BF93"/>
    <w:rsid w:val="9FFF08A4"/>
    <w:rsid w:val="A0FB4398"/>
    <w:rsid w:val="A17FAC68"/>
    <w:rsid w:val="A1F74905"/>
    <w:rsid w:val="A2AB440E"/>
    <w:rsid w:val="A2DF73FB"/>
    <w:rsid w:val="A33F56F7"/>
    <w:rsid w:val="A39F42AB"/>
    <w:rsid w:val="A4F6DAA4"/>
    <w:rsid w:val="A6EF1C14"/>
    <w:rsid w:val="A77BC275"/>
    <w:rsid w:val="A91F7E1F"/>
    <w:rsid w:val="A9DFCB54"/>
    <w:rsid w:val="AB6BBE87"/>
    <w:rsid w:val="ABDA4410"/>
    <w:rsid w:val="ABF772DF"/>
    <w:rsid w:val="ABFF3197"/>
    <w:rsid w:val="ACE7FACD"/>
    <w:rsid w:val="ACF72C3C"/>
    <w:rsid w:val="AD5B8CC0"/>
    <w:rsid w:val="AE7A0B92"/>
    <w:rsid w:val="AE8F42A6"/>
    <w:rsid w:val="AED5F540"/>
    <w:rsid w:val="AF1F386C"/>
    <w:rsid w:val="AF7B984B"/>
    <w:rsid w:val="AFAE646A"/>
    <w:rsid w:val="AFBC0D8E"/>
    <w:rsid w:val="AFD76B2F"/>
    <w:rsid w:val="AFFF77A8"/>
    <w:rsid w:val="B2BBCEEA"/>
    <w:rsid w:val="B34FE00D"/>
    <w:rsid w:val="B3FE2EAB"/>
    <w:rsid w:val="B4FF288C"/>
    <w:rsid w:val="B5B34705"/>
    <w:rsid w:val="B6779179"/>
    <w:rsid w:val="B687025D"/>
    <w:rsid w:val="B6BDF57C"/>
    <w:rsid w:val="B6FA16FB"/>
    <w:rsid w:val="B6FBCAB9"/>
    <w:rsid w:val="B6FFE7B3"/>
    <w:rsid w:val="B77DED93"/>
    <w:rsid w:val="B77F2828"/>
    <w:rsid w:val="B7EBDF55"/>
    <w:rsid w:val="B7F7DCCD"/>
    <w:rsid w:val="B7FE8682"/>
    <w:rsid w:val="B7FF7F87"/>
    <w:rsid w:val="B8BF397C"/>
    <w:rsid w:val="B8E997FA"/>
    <w:rsid w:val="B8F51AC4"/>
    <w:rsid w:val="B8FE95D6"/>
    <w:rsid w:val="B94E97DC"/>
    <w:rsid w:val="BB6F71C3"/>
    <w:rsid w:val="BBBBCEFA"/>
    <w:rsid w:val="BBBEDF6A"/>
    <w:rsid w:val="BBDCEC84"/>
    <w:rsid w:val="BBDFA6B8"/>
    <w:rsid w:val="BBDFBB91"/>
    <w:rsid w:val="BBEE158A"/>
    <w:rsid w:val="BC7F9458"/>
    <w:rsid w:val="BCCF031C"/>
    <w:rsid w:val="BCFE38EF"/>
    <w:rsid w:val="BCFFAEF6"/>
    <w:rsid w:val="BCFFB890"/>
    <w:rsid w:val="BDDF610A"/>
    <w:rsid w:val="BDDFCFFD"/>
    <w:rsid w:val="BDFA09F2"/>
    <w:rsid w:val="BDFB2E26"/>
    <w:rsid w:val="BDFF151A"/>
    <w:rsid w:val="BDFF7A74"/>
    <w:rsid w:val="BE3DEF00"/>
    <w:rsid w:val="BE4E0198"/>
    <w:rsid w:val="BE6F35CE"/>
    <w:rsid w:val="BE72D2A7"/>
    <w:rsid w:val="BE7BB8E5"/>
    <w:rsid w:val="BE9ED690"/>
    <w:rsid w:val="BEDE4779"/>
    <w:rsid w:val="BEEF1BA7"/>
    <w:rsid w:val="BEFD9AE8"/>
    <w:rsid w:val="BF5F9121"/>
    <w:rsid w:val="BF74D1FA"/>
    <w:rsid w:val="BF7F144A"/>
    <w:rsid w:val="BF7F5B5C"/>
    <w:rsid w:val="BF8FDB72"/>
    <w:rsid w:val="BF9FA9B0"/>
    <w:rsid w:val="BFBE3382"/>
    <w:rsid w:val="BFBFFF37"/>
    <w:rsid w:val="BFC5F301"/>
    <w:rsid w:val="BFD6FB6C"/>
    <w:rsid w:val="BFD76505"/>
    <w:rsid w:val="BFDD86F7"/>
    <w:rsid w:val="BFDFEE5C"/>
    <w:rsid w:val="BFE70821"/>
    <w:rsid w:val="BFE7262B"/>
    <w:rsid w:val="BFEF2A21"/>
    <w:rsid w:val="BFEFCBE8"/>
    <w:rsid w:val="BFF51D5A"/>
    <w:rsid w:val="BFF5A23B"/>
    <w:rsid w:val="BFF7810F"/>
    <w:rsid w:val="BFF7F039"/>
    <w:rsid w:val="BFFB8164"/>
    <w:rsid w:val="BFFB8A6B"/>
    <w:rsid w:val="BFFD68FE"/>
    <w:rsid w:val="BFFD9033"/>
    <w:rsid w:val="BFFDE173"/>
    <w:rsid w:val="BFFEE824"/>
    <w:rsid w:val="BFFFE3B5"/>
    <w:rsid w:val="C16DF057"/>
    <w:rsid w:val="C3195A40"/>
    <w:rsid w:val="C49F46BA"/>
    <w:rsid w:val="C79FE251"/>
    <w:rsid w:val="C7B2D338"/>
    <w:rsid w:val="C7FFCB4D"/>
    <w:rsid w:val="C9A7020A"/>
    <w:rsid w:val="CB5F875C"/>
    <w:rsid w:val="CBDFBC94"/>
    <w:rsid w:val="CCD949E8"/>
    <w:rsid w:val="CCFE2BA2"/>
    <w:rsid w:val="CDBAD40A"/>
    <w:rsid w:val="CEDFAC7F"/>
    <w:rsid w:val="CEEE0E2F"/>
    <w:rsid w:val="CEFB6695"/>
    <w:rsid w:val="CF1B1F2D"/>
    <w:rsid w:val="CFAD61BE"/>
    <w:rsid w:val="CFDF24E1"/>
    <w:rsid w:val="CFF7E2E5"/>
    <w:rsid w:val="CFF9DC0C"/>
    <w:rsid w:val="CFFE9569"/>
    <w:rsid w:val="CFFFB016"/>
    <w:rsid w:val="D1EFA56C"/>
    <w:rsid w:val="D2EF30E5"/>
    <w:rsid w:val="D3F71D91"/>
    <w:rsid w:val="D4D1E4A2"/>
    <w:rsid w:val="D5B69AF4"/>
    <w:rsid w:val="D67FC440"/>
    <w:rsid w:val="D6F7565C"/>
    <w:rsid w:val="D75E73E9"/>
    <w:rsid w:val="D7666267"/>
    <w:rsid w:val="D775E49E"/>
    <w:rsid w:val="D77E9EC9"/>
    <w:rsid w:val="D77FAEE1"/>
    <w:rsid w:val="D79EE54A"/>
    <w:rsid w:val="D7C57ECC"/>
    <w:rsid w:val="D7DB3411"/>
    <w:rsid w:val="D7DD44E9"/>
    <w:rsid w:val="D7DFA141"/>
    <w:rsid w:val="D7FFC0D6"/>
    <w:rsid w:val="D8DD8AE8"/>
    <w:rsid w:val="D8FF66F1"/>
    <w:rsid w:val="D9F7978E"/>
    <w:rsid w:val="DB79EB2B"/>
    <w:rsid w:val="DB9B56A4"/>
    <w:rsid w:val="DBB51910"/>
    <w:rsid w:val="DBB7242C"/>
    <w:rsid w:val="DBCB64A2"/>
    <w:rsid w:val="DBEFAEB8"/>
    <w:rsid w:val="DBF03558"/>
    <w:rsid w:val="DBFA6D52"/>
    <w:rsid w:val="DBFB2A1B"/>
    <w:rsid w:val="DC3739FA"/>
    <w:rsid w:val="DC5135F9"/>
    <w:rsid w:val="DD17CB57"/>
    <w:rsid w:val="DD7AF788"/>
    <w:rsid w:val="DDCBA26D"/>
    <w:rsid w:val="DDEE97BF"/>
    <w:rsid w:val="DDF73462"/>
    <w:rsid w:val="DDF9165D"/>
    <w:rsid w:val="DDF9B34E"/>
    <w:rsid w:val="DDFF4FDA"/>
    <w:rsid w:val="DE970D78"/>
    <w:rsid w:val="DEC37016"/>
    <w:rsid w:val="DEDCAD97"/>
    <w:rsid w:val="DEDFCAB4"/>
    <w:rsid w:val="DEEBC056"/>
    <w:rsid w:val="DEF6A4DC"/>
    <w:rsid w:val="DEFF0F88"/>
    <w:rsid w:val="DEFF8442"/>
    <w:rsid w:val="DF279505"/>
    <w:rsid w:val="DF3F3A5F"/>
    <w:rsid w:val="DF7A8F2D"/>
    <w:rsid w:val="DF9F44AA"/>
    <w:rsid w:val="DFA972DA"/>
    <w:rsid w:val="DFAA9076"/>
    <w:rsid w:val="DFB035F2"/>
    <w:rsid w:val="DFBC0FD4"/>
    <w:rsid w:val="DFBED5CF"/>
    <w:rsid w:val="DFDEB61F"/>
    <w:rsid w:val="DFDF1921"/>
    <w:rsid w:val="DFE21F75"/>
    <w:rsid w:val="DFE578A8"/>
    <w:rsid w:val="DFEF6AAA"/>
    <w:rsid w:val="DFEF8106"/>
    <w:rsid w:val="DFEF88F8"/>
    <w:rsid w:val="DFEF9AB3"/>
    <w:rsid w:val="DFF5BA30"/>
    <w:rsid w:val="DFF771A4"/>
    <w:rsid w:val="DFF88034"/>
    <w:rsid w:val="DFFC5785"/>
    <w:rsid w:val="DFFF1378"/>
    <w:rsid w:val="DFFF162D"/>
    <w:rsid w:val="DFFF534C"/>
    <w:rsid w:val="DFFF5483"/>
    <w:rsid w:val="E1E78242"/>
    <w:rsid w:val="E27732C3"/>
    <w:rsid w:val="E31E8B0B"/>
    <w:rsid w:val="E35BE576"/>
    <w:rsid w:val="E3FB9FAB"/>
    <w:rsid w:val="E579BE25"/>
    <w:rsid w:val="E66B7183"/>
    <w:rsid w:val="E6CBB93B"/>
    <w:rsid w:val="E6FBEFFE"/>
    <w:rsid w:val="E7193509"/>
    <w:rsid w:val="E775954C"/>
    <w:rsid w:val="E7BEE692"/>
    <w:rsid w:val="E7DC684D"/>
    <w:rsid w:val="E7DF1FAB"/>
    <w:rsid w:val="E7EDC8EC"/>
    <w:rsid w:val="E7FD22F3"/>
    <w:rsid w:val="E7FF34CF"/>
    <w:rsid w:val="E8B68C45"/>
    <w:rsid w:val="E8F70748"/>
    <w:rsid w:val="E9C61BD8"/>
    <w:rsid w:val="EA1C5EC7"/>
    <w:rsid w:val="EA712DA6"/>
    <w:rsid w:val="EA7F8A42"/>
    <w:rsid w:val="EABF2B23"/>
    <w:rsid w:val="EB3DA255"/>
    <w:rsid w:val="EB7D3FF3"/>
    <w:rsid w:val="EBD7E893"/>
    <w:rsid w:val="EBF7319B"/>
    <w:rsid w:val="EBFD7D3D"/>
    <w:rsid w:val="EC5BC7B1"/>
    <w:rsid w:val="EDBFA88C"/>
    <w:rsid w:val="EDE9EFC7"/>
    <w:rsid w:val="EDEB3C02"/>
    <w:rsid w:val="EDEF3739"/>
    <w:rsid w:val="EDFC7050"/>
    <w:rsid w:val="EE797190"/>
    <w:rsid w:val="EEF6F1C8"/>
    <w:rsid w:val="EEFC8A9D"/>
    <w:rsid w:val="EEFF9DED"/>
    <w:rsid w:val="EF1D0C12"/>
    <w:rsid w:val="EF59C8FE"/>
    <w:rsid w:val="EF794C06"/>
    <w:rsid w:val="EF7D6F8B"/>
    <w:rsid w:val="EF7E6C82"/>
    <w:rsid w:val="EFAFD9A9"/>
    <w:rsid w:val="EFBB89BC"/>
    <w:rsid w:val="EFBF81CA"/>
    <w:rsid w:val="EFCBF6BB"/>
    <w:rsid w:val="EFD8AB0C"/>
    <w:rsid w:val="EFDECD35"/>
    <w:rsid w:val="EFDF9CA9"/>
    <w:rsid w:val="EFDFA0B9"/>
    <w:rsid w:val="EFEDE8F1"/>
    <w:rsid w:val="EFF4E74E"/>
    <w:rsid w:val="EFF51AE7"/>
    <w:rsid w:val="EFF70B27"/>
    <w:rsid w:val="EFF7C47E"/>
    <w:rsid w:val="EFF7D302"/>
    <w:rsid w:val="EFFB2F7B"/>
    <w:rsid w:val="EFFB4F49"/>
    <w:rsid w:val="EFFD9335"/>
    <w:rsid w:val="EFFE0144"/>
    <w:rsid w:val="EFFF334D"/>
    <w:rsid w:val="EFFFB8D5"/>
    <w:rsid w:val="EFFFE18E"/>
    <w:rsid w:val="F01E244D"/>
    <w:rsid w:val="F13D2429"/>
    <w:rsid w:val="F2AD33D4"/>
    <w:rsid w:val="F35FBC74"/>
    <w:rsid w:val="F367F7B1"/>
    <w:rsid w:val="F37F1760"/>
    <w:rsid w:val="F397CCBF"/>
    <w:rsid w:val="F3BD0661"/>
    <w:rsid w:val="F3BD11EB"/>
    <w:rsid w:val="F3EB1456"/>
    <w:rsid w:val="F3EDB521"/>
    <w:rsid w:val="F3EF0A98"/>
    <w:rsid w:val="F3F7152F"/>
    <w:rsid w:val="F3FFDA45"/>
    <w:rsid w:val="F4CF7880"/>
    <w:rsid w:val="F4DDF6C3"/>
    <w:rsid w:val="F5577A0F"/>
    <w:rsid w:val="F59E26D1"/>
    <w:rsid w:val="F5DF0B04"/>
    <w:rsid w:val="F5EF8909"/>
    <w:rsid w:val="F5FB4507"/>
    <w:rsid w:val="F5FD16E4"/>
    <w:rsid w:val="F64D36C2"/>
    <w:rsid w:val="F66569BC"/>
    <w:rsid w:val="F6776004"/>
    <w:rsid w:val="F6BD1855"/>
    <w:rsid w:val="F6CFFF42"/>
    <w:rsid w:val="F6DFA1C4"/>
    <w:rsid w:val="F6DFFCEC"/>
    <w:rsid w:val="F6E583FA"/>
    <w:rsid w:val="F6EBB8AE"/>
    <w:rsid w:val="F6FFEC87"/>
    <w:rsid w:val="F7775374"/>
    <w:rsid w:val="F77DCDF6"/>
    <w:rsid w:val="F7DD3E53"/>
    <w:rsid w:val="F7DE2001"/>
    <w:rsid w:val="F7DF8D30"/>
    <w:rsid w:val="F7EAA871"/>
    <w:rsid w:val="F7F2D4A9"/>
    <w:rsid w:val="F7F6D163"/>
    <w:rsid w:val="F7F72D3F"/>
    <w:rsid w:val="F7F7E432"/>
    <w:rsid w:val="F7FB7C1B"/>
    <w:rsid w:val="F7FB7EB7"/>
    <w:rsid w:val="F7FBA050"/>
    <w:rsid w:val="F7FE4DD9"/>
    <w:rsid w:val="F7FEC23D"/>
    <w:rsid w:val="F7FFC0EF"/>
    <w:rsid w:val="F8CFD63A"/>
    <w:rsid w:val="F91FDAC3"/>
    <w:rsid w:val="F99BD6E0"/>
    <w:rsid w:val="F99D8BBA"/>
    <w:rsid w:val="F99E826B"/>
    <w:rsid w:val="F99FCCA9"/>
    <w:rsid w:val="F9A7A764"/>
    <w:rsid w:val="F9BF41AC"/>
    <w:rsid w:val="F9E6C902"/>
    <w:rsid w:val="F9EF3894"/>
    <w:rsid w:val="F9F5704F"/>
    <w:rsid w:val="F9FA439E"/>
    <w:rsid w:val="F9FEB9D1"/>
    <w:rsid w:val="FA36E759"/>
    <w:rsid w:val="FA3FA7C9"/>
    <w:rsid w:val="FA7D1DDD"/>
    <w:rsid w:val="FAED7325"/>
    <w:rsid w:val="FAF5810D"/>
    <w:rsid w:val="FAFBBBFF"/>
    <w:rsid w:val="FB3B353D"/>
    <w:rsid w:val="FB3FEDC3"/>
    <w:rsid w:val="FB6CB81C"/>
    <w:rsid w:val="FB7532F2"/>
    <w:rsid w:val="FB775693"/>
    <w:rsid w:val="FB7B7A96"/>
    <w:rsid w:val="FB7B7EF7"/>
    <w:rsid w:val="FB7B947F"/>
    <w:rsid w:val="FB7DA72A"/>
    <w:rsid w:val="FB7DDB01"/>
    <w:rsid w:val="FB9FE535"/>
    <w:rsid w:val="FB9FFAE0"/>
    <w:rsid w:val="FBAC4115"/>
    <w:rsid w:val="FBAF08DC"/>
    <w:rsid w:val="FBB710FC"/>
    <w:rsid w:val="FBBE1885"/>
    <w:rsid w:val="FBBEDD1A"/>
    <w:rsid w:val="FBBF0222"/>
    <w:rsid w:val="FBD96E60"/>
    <w:rsid w:val="FBEE945D"/>
    <w:rsid w:val="FBF58EB9"/>
    <w:rsid w:val="FBFD18A8"/>
    <w:rsid w:val="FBFFBB1C"/>
    <w:rsid w:val="FBFFD7DF"/>
    <w:rsid w:val="FBFFE89E"/>
    <w:rsid w:val="FBFFF60D"/>
    <w:rsid w:val="FBFFFE91"/>
    <w:rsid w:val="FC54F41B"/>
    <w:rsid w:val="FC799DEE"/>
    <w:rsid w:val="FC7A39C6"/>
    <w:rsid w:val="FCB6815F"/>
    <w:rsid w:val="FCB765A4"/>
    <w:rsid w:val="FCBD3FC1"/>
    <w:rsid w:val="FCBF3F32"/>
    <w:rsid w:val="FCD524FB"/>
    <w:rsid w:val="FCDF088F"/>
    <w:rsid w:val="FCE6ED5F"/>
    <w:rsid w:val="FCEECABE"/>
    <w:rsid w:val="FCF73B8F"/>
    <w:rsid w:val="FCFA3BA1"/>
    <w:rsid w:val="FCFD509A"/>
    <w:rsid w:val="FCFE16F3"/>
    <w:rsid w:val="FCFEEF4F"/>
    <w:rsid w:val="FD1BDC5B"/>
    <w:rsid w:val="FD3E25D8"/>
    <w:rsid w:val="FD5DDC5A"/>
    <w:rsid w:val="FD797460"/>
    <w:rsid w:val="FD7AB573"/>
    <w:rsid w:val="FD7CADD9"/>
    <w:rsid w:val="FD7F4CC5"/>
    <w:rsid w:val="FD7FE18C"/>
    <w:rsid w:val="FD8186AE"/>
    <w:rsid w:val="FD8E092F"/>
    <w:rsid w:val="FDA3BF1D"/>
    <w:rsid w:val="FDAD9685"/>
    <w:rsid w:val="FDB64C47"/>
    <w:rsid w:val="FDBB2C2E"/>
    <w:rsid w:val="FDDD8A5A"/>
    <w:rsid w:val="FDDFD091"/>
    <w:rsid w:val="FDDFF578"/>
    <w:rsid w:val="FDEFA4AA"/>
    <w:rsid w:val="FDFD7814"/>
    <w:rsid w:val="FDFE9CC6"/>
    <w:rsid w:val="FDFF04A0"/>
    <w:rsid w:val="FE2D3ABB"/>
    <w:rsid w:val="FE3BB1FE"/>
    <w:rsid w:val="FE454288"/>
    <w:rsid w:val="FE47328E"/>
    <w:rsid w:val="FE9E429D"/>
    <w:rsid w:val="FEB66D7A"/>
    <w:rsid w:val="FEB715E4"/>
    <w:rsid w:val="FEB7F217"/>
    <w:rsid w:val="FEBFF695"/>
    <w:rsid w:val="FED42772"/>
    <w:rsid w:val="FEE3F551"/>
    <w:rsid w:val="FEE7E674"/>
    <w:rsid w:val="FEEFB5A2"/>
    <w:rsid w:val="FEEFF4B4"/>
    <w:rsid w:val="FEF393AC"/>
    <w:rsid w:val="FEFB6FFF"/>
    <w:rsid w:val="FEFF2652"/>
    <w:rsid w:val="FEFF705F"/>
    <w:rsid w:val="FF1311BA"/>
    <w:rsid w:val="FF173E49"/>
    <w:rsid w:val="FF1BA559"/>
    <w:rsid w:val="FF2D36EF"/>
    <w:rsid w:val="FF3A6F64"/>
    <w:rsid w:val="FF3FEBBC"/>
    <w:rsid w:val="FF579E0E"/>
    <w:rsid w:val="FF5F54B5"/>
    <w:rsid w:val="FF5F81FE"/>
    <w:rsid w:val="FF66A537"/>
    <w:rsid w:val="FF67159E"/>
    <w:rsid w:val="FF6F030D"/>
    <w:rsid w:val="FF73F903"/>
    <w:rsid w:val="FF7BF34A"/>
    <w:rsid w:val="FF7D1F07"/>
    <w:rsid w:val="FF7DAF22"/>
    <w:rsid w:val="FF7EAE74"/>
    <w:rsid w:val="FF7F09CB"/>
    <w:rsid w:val="FF8D0A79"/>
    <w:rsid w:val="FFAFF7A1"/>
    <w:rsid w:val="FFB7BC81"/>
    <w:rsid w:val="FFBAE253"/>
    <w:rsid w:val="FFBD9041"/>
    <w:rsid w:val="FFBE4D2F"/>
    <w:rsid w:val="FFBF7620"/>
    <w:rsid w:val="FFBFB59B"/>
    <w:rsid w:val="FFD722FC"/>
    <w:rsid w:val="FFD7AB04"/>
    <w:rsid w:val="FFD7E77E"/>
    <w:rsid w:val="FFD7FEF0"/>
    <w:rsid w:val="FFD87784"/>
    <w:rsid w:val="FFD9D23A"/>
    <w:rsid w:val="FFDD51F9"/>
    <w:rsid w:val="FFDF60A9"/>
    <w:rsid w:val="FFDFB28D"/>
    <w:rsid w:val="FFE28593"/>
    <w:rsid w:val="FFE7051B"/>
    <w:rsid w:val="FFEDA3B6"/>
    <w:rsid w:val="FFEEB169"/>
    <w:rsid w:val="FFEEF79C"/>
    <w:rsid w:val="FFEF5FE3"/>
    <w:rsid w:val="FFF2DF90"/>
    <w:rsid w:val="FFF37E44"/>
    <w:rsid w:val="FFF491E0"/>
    <w:rsid w:val="FFF642F6"/>
    <w:rsid w:val="FFF7023B"/>
    <w:rsid w:val="FFF767B9"/>
    <w:rsid w:val="FFF788E1"/>
    <w:rsid w:val="FFF7D5B9"/>
    <w:rsid w:val="FFF7EFF0"/>
    <w:rsid w:val="FFF88146"/>
    <w:rsid w:val="FFFB1A7B"/>
    <w:rsid w:val="FFFB587E"/>
    <w:rsid w:val="FFFB9444"/>
    <w:rsid w:val="FFFC5234"/>
    <w:rsid w:val="FFFE3EF4"/>
    <w:rsid w:val="FFFE69F4"/>
    <w:rsid w:val="FFFE8010"/>
    <w:rsid w:val="FFFF098D"/>
    <w:rsid w:val="FFFF1842"/>
    <w:rsid w:val="FFFF3958"/>
    <w:rsid w:val="FFFF5465"/>
    <w:rsid w:val="FFFFB65B"/>
    <w:rsid w:val="FFFFB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9" w:name="heading 7"/>
    <w:lsdException w:qFormat="1" w:uiPriority="9" w:name="heading 8"/>
    <w:lsdException w:qFormat="1" w:uiPriority="9" w:name="heading 9"/>
    <w:lsdException w:qFormat="1"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0" w:semiHidden="0" w:name="caption"/>
    <w:lsdException w:uiPriority="0"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ind w:firstLine="200" w:firstLineChars="200"/>
    </w:pPr>
    <w:rPr>
      <w:rFonts w:ascii="Times New Roman" w:hAnsi="Times New Roman" w:eastAsia="仿宋" w:cs="黑体"/>
      <w:kern w:val="2"/>
      <w:sz w:val="24"/>
      <w:szCs w:val="22"/>
      <w:lang w:val="en-US" w:eastAsia="zh-CN" w:bidi="ar-SA"/>
    </w:rPr>
  </w:style>
  <w:style w:type="paragraph" w:styleId="3">
    <w:name w:val="heading 1"/>
    <w:basedOn w:val="1"/>
    <w:next w:val="1"/>
    <w:link w:val="48"/>
    <w:qFormat/>
    <w:uiPriority w:val="0"/>
    <w:pPr>
      <w:keepNext/>
      <w:keepLines/>
      <w:spacing w:line="240" w:lineRule="auto"/>
      <w:ind w:firstLine="0" w:firstLineChars="0"/>
      <w:outlineLvl w:val="0"/>
    </w:pPr>
    <w:rPr>
      <w:b/>
      <w:bCs/>
      <w:kern w:val="44"/>
      <w:sz w:val="44"/>
      <w:szCs w:val="44"/>
    </w:rPr>
  </w:style>
  <w:style w:type="paragraph" w:styleId="4">
    <w:name w:val="heading 2"/>
    <w:basedOn w:val="1"/>
    <w:next w:val="1"/>
    <w:link w:val="47"/>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4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50"/>
    <w:unhideWhenUsed/>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51"/>
    <w:unhideWhenUsed/>
    <w:qFormat/>
    <w:uiPriority w:val="9"/>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52"/>
    <w:unhideWhenUsed/>
    <w:qFormat/>
    <w:uiPriority w:val="0"/>
    <w:pPr>
      <w:keepNext/>
      <w:keepLines/>
      <w:spacing w:before="240" w:after="64" w:line="320" w:lineRule="atLeast"/>
      <w:jc w:val="both"/>
      <w:outlineLvl w:val="5"/>
    </w:pPr>
    <w:rPr>
      <w:rFonts w:ascii="Cambria" w:hAnsi="Cambria" w:cs="Times New Roman"/>
      <w:b/>
      <w:bCs/>
      <w:szCs w:val="24"/>
    </w:rPr>
  </w:style>
  <w:style w:type="paragraph" w:styleId="9">
    <w:name w:val="heading 7"/>
    <w:basedOn w:val="1"/>
    <w:next w:val="1"/>
    <w:link w:val="53"/>
    <w:semiHidden/>
    <w:unhideWhenUsed/>
    <w:qFormat/>
    <w:uiPriority w:val="9"/>
    <w:pPr>
      <w:keepNext/>
      <w:keepLines/>
      <w:spacing w:before="240" w:after="64" w:line="320" w:lineRule="atLeast"/>
      <w:jc w:val="both"/>
      <w:outlineLvl w:val="6"/>
    </w:pPr>
    <w:rPr>
      <w:rFonts w:ascii="CG Times" w:hAnsi="CG Times" w:eastAsia="楷体_GB2312" w:cs="Times New Roman"/>
      <w:b/>
      <w:bCs/>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8"/>
    <w:qFormat/>
    <w:uiPriority w:val="0"/>
    <w:pPr>
      <w:autoSpaceDE w:val="0"/>
      <w:autoSpaceDN w:val="0"/>
      <w:adjustRightInd w:val="0"/>
      <w:jc w:val="both"/>
    </w:pPr>
    <w:rPr>
      <w:rFonts w:ascii="楷体_GB2312" w:hAnsi="CG Times" w:eastAsia="楷体_GB2312" w:cs="Times New Roman"/>
      <w:color w:val="000000"/>
      <w:sz w:val="36"/>
      <w:szCs w:val="20"/>
    </w:rPr>
  </w:style>
  <w:style w:type="paragraph" w:styleId="10">
    <w:name w:val="toc 7"/>
    <w:basedOn w:val="1"/>
    <w:next w:val="1"/>
    <w:qFormat/>
    <w:uiPriority w:val="39"/>
    <w:pPr>
      <w:ind w:left="2520" w:leftChars="1200"/>
      <w:jc w:val="both"/>
    </w:pPr>
    <w:rPr>
      <w:rFonts w:cs="Times New Roman"/>
      <w:sz w:val="21"/>
      <w:szCs w:val="24"/>
    </w:rPr>
  </w:style>
  <w:style w:type="paragraph" w:styleId="11">
    <w:name w:val="Normal Indent"/>
    <w:basedOn w:val="1"/>
    <w:qFormat/>
    <w:uiPriority w:val="0"/>
    <w:pPr>
      <w:spacing w:afterLines="50" w:line="300" w:lineRule="auto"/>
      <w:ind w:firstLine="420"/>
    </w:pPr>
    <w:rPr>
      <w:rFonts w:cs="Times New Roman"/>
      <w:szCs w:val="24"/>
    </w:rPr>
  </w:style>
  <w:style w:type="paragraph" w:styleId="12">
    <w:name w:val="caption"/>
    <w:basedOn w:val="1"/>
    <w:next w:val="1"/>
    <w:unhideWhenUsed/>
    <w:qFormat/>
    <w:uiPriority w:val="0"/>
    <w:pPr>
      <w:spacing w:after="120"/>
    </w:pPr>
    <w:rPr>
      <w:rFonts w:ascii="Cambria" w:hAnsi="Cambria" w:eastAsia="黑体" w:cs="Times New Roman"/>
      <w:sz w:val="20"/>
      <w:szCs w:val="20"/>
    </w:rPr>
  </w:style>
  <w:style w:type="paragraph" w:styleId="13">
    <w:name w:val="Document Map"/>
    <w:basedOn w:val="1"/>
    <w:link w:val="56"/>
    <w:semiHidden/>
    <w:unhideWhenUsed/>
    <w:qFormat/>
    <w:uiPriority w:val="99"/>
    <w:pPr>
      <w:spacing w:after="120"/>
      <w:jc w:val="both"/>
    </w:pPr>
    <w:rPr>
      <w:rFonts w:ascii="宋体"/>
      <w:sz w:val="18"/>
      <w:szCs w:val="18"/>
    </w:rPr>
  </w:style>
  <w:style w:type="paragraph" w:styleId="14">
    <w:name w:val="annotation text"/>
    <w:basedOn w:val="1"/>
    <w:link w:val="54"/>
    <w:unhideWhenUsed/>
    <w:qFormat/>
    <w:uiPriority w:val="99"/>
  </w:style>
  <w:style w:type="paragraph" w:styleId="15">
    <w:name w:val="Body Text 3"/>
    <w:basedOn w:val="1"/>
    <w:link w:val="57"/>
    <w:semiHidden/>
    <w:unhideWhenUsed/>
    <w:qFormat/>
    <w:uiPriority w:val="99"/>
    <w:pPr>
      <w:spacing w:after="120"/>
      <w:jc w:val="both"/>
    </w:pPr>
    <w:rPr>
      <w:rFonts w:cs="Times New Roman"/>
      <w:sz w:val="16"/>
      <w:szCs w:val="16"/>
    </w:rPr>
  </w:style>
  <w:style w:type="paragraph" w:styleId="16">
    <w:name w:val="Body Text Indent"/>
    <w:basedOn w:val="1"/>
    <w:link w:val="59"/>
    <w:qFormat/>
    <w:uiPriority w:val="0"/>
    <w:pPr>
      <w:ind w:firstLine="540" w:firstLineChars="257"/>
      <w:jc w:val="both"/>
    </w:pPr>
    <w:rPr>
      <w:rFonts w:ascii="楷体_GB2312" w:cs="Times New Roman"/>
      <w:sz w:val="21"/>
      <w:szCs w:val="24"/>
    </w:rPr>
  </w:style>
  <w:style w:type="paragraph" w:styleId="17">
    <w:name w:val="toc 5"/>
    <w:basedOn w:val="1"/>
    <w:next w:val="1"/>
    <w:unhideWhenUsed/>
    <w:qFormat/>
    <w:uiPriority w:val="39"/>
    <w:pPr>
      <w:adjustRightInd w:val="0"/>
      <w:snapToGrid w:val="0"/>
      <w:ind w:left="400" w:leftChars="400"/>
    </w:pPr>
  </w:style>
  <w:style w:type="paragraph" w:styleId="18">
    <w:name w:val="toc 3"/>
    <w:basedOn w:val="1"/>
    <w:next w:val="1"/>
    <w:unhideWhenUsed/>
    <w:qFormat/>
    <w:uiPriority w:val="39"/>
    <w:pPr>
      <w:adjustRightInd w:val="0"/>
      <w:snapToGrid w:val="0"/>
      <w:ind w:left="200" w:leftChars="200"/>
    </w:pPr>
    <w:rPr>
      <w:rFonts w:eastAsia="楷体" w:cs="Times New Roman"/>
    </w:rPr>
  </w:style>
  <w:style w:type="paragraph" w:styleId="19">
    <w:name w:val="Plain Text"/>
    <w:basedOn w:val="1"/>
    <w:link w:val="60"/>
    <w:qFormat/>
    <w:uiPriority w:val="0"/>
    <w:pPr>
      <w:jc w:val="both"/>
    </w:pPr>
    <w:rPr>
      <w:rFonts w:ascii="宋体" w:hAnsi="Courier New" w:cs="Times New Roman"/>
      <w:sz w:val="21"/>
      <w:szCs w:val="21"/>
    </w:rPr>
  </w:style>
  <w:style w:type="paragraph" w:styleId="20">
    <w:name w:val="toc 8"/>
    <w:basedOn w:val="1"/>
    <w:next w:val="1"/>
    <w:qFormat/>
    <w:uiPriority w:val="39"/>
    <w:pPr>
      <w:ind w:left="2940" w:leftChars="1400"/>
      <w:jc w:val="both"/>
    </w:pPr>
    <w:rPr>
      <w:rFonts w:cs="Times New Roman"/>
      <w:sz w:val="21"/>
      <w:szCs w:val="24"/>
    </w:rPr>
  </w:style>
  <w:style w:type="paragraph" w:styleId="21">
    <w:name w:val="Date"/>
    <w:basedOn w:val="1"/>
    <w:next w:val="1"/>
    <w:link w:val="61"/>
    <w:qFormat/>
    <w:uiPriority w:val="0"/>
    <w:pPr>
      <w:jc w:val="both"/>
    </w:pPr>
    <w:rPr>
      <w:rFonts w:ascii="CG Times" w:hAnsi="CG Times" w:eastAsia="楷体_GB2312" w:cs="Times New Roman"/>
      <w:sz w:val="28"/>
      <w:szCs w:val="20"/>
    </w:rPr>
  </w:style>
  <w:style w:type="paragraph" w:styleId="22">
    <w:name w:val="Body Text Indent 2"/>
    <w:basedOn w:val="1"/>
    <w:link w:val="62"/>
    <w:qFormat/>
    <w:uiPriority w:val="0"/>
    <w:pPr>
      <w:ind w:firstLine="480"/>
      <w:jc w:val="both"/>
    </w:pPr>
    <w:rPr>
      <w:rFonts w:ascii="楷体_GB2312" w:hAnsi="宋体" w:eastAsia="楷体_GB2312" w:cs="Times New Roman"/>
      <w:szCs w:val="24"/>
    </w:rPr>
  </w:style>
  <w:style w:type="paragraph" w:styleId="23">
    <w:name w:val="Balloon Text"/>
    <w:basedOn w:val="1"/>
    <w:link w:val="63"/>
    <w:unhideWhenUsed/>
    <w:qFormat/>
    <w:uiPriority w:val="0"/>
    <w:rPr>
      <w:sz w:val="18"/>
      <w:szCs w:val="18"/>
    </w:rPr>
  </w:style>
  <w:style w:type="paragraph" w:styleId="24">
    <w:name w:val="footer"/>
    <w:basedOn w:val="1"/>
    <w:link w:val="64"/>
    <w:unhideWhenUsed/>
    <w:qFormat/>
    <w:uiPriority w:val="99"/>
    <w:pPr>
      <w:tabs>
        <w:tab w:val="center" w:pos="4153"/>
        <w:tab w:val="right" w:pos="8306"/>
      </w:tabs>
      <w:snapToGrid w:val="0"/>
      <w:spacing w:after="120"/>
    </w:pPr>
    <w:rPr>
      <w:rFonts w:cs="Times New Roman"/>
      <w:sz w:val="18"/>
      <w:szCs w:val="18"/>
    </w:rPr>
  </w:style>
  <w:style w:type="paragraph" w:styleId="25">
    <w:name w:val="header"/>
    <w:basedOn w:val="1"/>
    <w:link w:val="65"/>
    <w:unhideWhenUsed/>
    <w:qFormat/>
    <w:uiPriority w:val="99"/>
    <w:pPr>
      <w:pBdr>
        <w:bottom w:val="single" w:color="auto" w:sz="6" w:space="1"/>
      </w:pBdr>
      <w:tabs>
        <w:tab w:val="center" w:pos="4153"/>
        <w:tab w:val="right" w:pos="8306"/>
      </w:tabs>
      <w:snapToGrid w:val="0"/>
      <w:spacing w:after="120"/>
      <w:jc w:val="center"/>
    </w:pPr>
    <w:rPr>
      <w:rFonts w:cs="Times New Roman"/>
      <w:sz w:val="18"/>
      <w:szCs w:val="18"/>
    </w:rPr>
  </w:style>
  <w:style w:type="paragraph" w:styleId="26">
    <w:name w:val="toc 1"/>
    <w:basedOn w:val="1"/>
    <w:next w:val="1"/>
    <w:unhideWhenUsed/>
    <w:qFormat/>
    <w:uiPriority w:val="39"/>
    <w:pPr>
      <w:adjustRightInd w:val="0"/>
      <w:snapToGrid w:val="0"/>
    </w:pPr>
    <w:rPr>
      <w:rFonts w:eastAsia="楷体" w:cs="Times New Roman"/>
    </w:rPr>
  </w:style>
  <w:style w:type="paragraph" w:styleId="27">
    <w:name w:val="toc 4"/>
    <w:basedOn w:val="1"/>
    <w:next w:val="1"/>
    <w:unhideWhenUsed/>
    <w:qFormat/>
    <w:uiPriority w:val="39"/>
    <w:pPr>
      <w:adjustRightInd w:val="0"/>
      <w:snapToGrid w:val="0"/>
      <w:ind w:left="300" w:leftChars="300"/>
    </w:pPr>
  </w:style>
  <w:style w:type="paragraph" w:styleId="28">
    <w:name w:val="footnote text"/>
    <w:basedOn w:val="1"/>
    <w:link w:val="66"/>
    <w:unhideWhenUsed/>
    <w:qFormat/>
    <w:uiPriority w:val="0"/>
    <w:pPr>
      <w:snapToGrid w:val="0"/>
    </w:pPr>
    <w:rPr>
      <w:rFonts w:cs="Times New Roman"/>
      <w:kern w:val="0"/>
      <w:sz w:val="18"/>
      <w:szCs w:val="18"/>
    </w:rPr>
  </w:style>
  <w:style w:type="paragraph" w:styleId="29">
    <w:name w:val="toc 6"/>
    <w:basedOn w:val="1"/>
    <w:next w:val="1"/>
    <w:qFormat/>
    <w:uiPriority w:val="39"/>
    <w:pPr>
      <w:ind w:left="2100" w:leftChars="1000"/>
      <w:jc w:val="both"/>
    </w:pPr>
    <w:rPr>
      <w:rFonts w:cs="Times New Roman"/>
      <w:sz w:val="21"/>
      <w:szCs w:val="24"/>
    </w:rPr>
  </w:style>
  <w:style w:type="paragraph" w:styleId="30">
    <w:name w:val="Body Text Indent 3"/>
    <w:basedOn w:val="1"/>
    <w:link w:val="67"/>
    <w:qFormat/>
    <w:uiPriority w:val="0"/>
    <w:pPr>
      <w:ind w:firstLine="540" w:firstLineChars="225"/>
      <w:jc w:val="both"/>
    </w:pPr>
    <w:rPr>
      <w:rFonts w:eastAsia="楷体_GB2312" w:cs="Times New Roman"/>
      <w:szCs w:val="24"/>
    </w:rPr>
  </w:style>
  <w:style w:type="paragraph" w:styleId="31">
    <w:name w:val="toc 2"/>
    <w:basedOn w:val="1"/>
    <w:next w:val="1"/>
    <w:unhideWhenUsed/>
    <w:qFormat/>
    <w:uiPriority w:val="39"/>
    <w:pPr>
      <w:adjustRightInd w:val="0"/>
      <w:snapToGrid w:val="0"/>
      <w:ind w:left="100" w:leftChars="100"/>
    </w:pPr>
    <w:rPr>
      <w:rFonts w:eastAsia="楷体" w:cs="Times New Roman"/>
    </w:rPr>
  </w:style>
  <w:style w:type="paragraph" w:styleId="32">
    <w:name w:val="toc 9"/>
    <w:basedOn w:val="1"/>
    <w:next w:val="1"/>
    <w:qFormat/>
    <w:uiPriority w:val="39"/>
    <w:pPr>
      <w:ind w:left="3360" w:leftChars="1600"/>
      <w:jc w:val="both"/>
    </w:pPr>
    <w:rPr>
      <w:rFonts w:cs="Times New Roman"/>
      <w:sz w:val="21"/>
      <w:szCs w:val="24"/>
    </w:rPr>
  </w:style>
  <w:style w:type="paragraph" w:styleId="33">
    <w:name w:val="Normal (Web)"/>
    <w:basedOn w:val="1"/>
    <w:semiHidden/>
    <w:unhideWhenUsed/>
    <w:qFormat/>
    <w:uiPriority w:val="99"/>
    <w:pPr>
      <w:spacing w:beforeAutospacing="1" w:afterAutospacing="1"/>
    </w:pPr>
    <w:rPr>
      <w:rFonts w:cs="Times New Roman"/>
      <w:kern w:val="0"/>
    </w:rPr>
  </w:style>
  <w:style w:type="paragraph" w:styleId="34">
    <w:name w:val="index 1"/>
    <w:basedOn w:val="1"/>
    <w:next w:val="1"/>
    <w:semiHidden/>
    <w:unhideWhenUsed/>
    <w:qFormat/>
    <w:uiPriority w:val="0"/>
  </w:style>
  <w:style w:type="paragraph" w:styleId="35">
    <w:name w:val="Title"/>
    <w:basedOn w:val="1"/>
    <w:next w:val="1"/>
    <w:link w:val="68"/>
    <w:qFormat/>
    <w:uiPriority w:val="10"/>
    <w:pPr>
      <w:spacing w:before="240" w:after="60"/>
      <w:jc w:val="center"/>
      <w:outlineLvl w:val="0"/>
    </w:pPr>
    <w:rPr>
      <w:rFonts w:ascii="Cambria" w:hAnsi="Cambria" w:cs="Times New Roman"/>
      <w:b/>
      <w:bCs/>
      <w:sz w:val="52"/>
      <w:szCs w:val="32"/>
    </w:rPr>
  </w:style>
  <w:style w:type="paragraph" w:styleId="36">
    <w:name w:val="annotation subject"/>
    <w:basedOn w:val="14"/>
    <w:next w:val="14"/>
    <w:link w:val="55"/>
    <w:semiHidden/>
    <w:unhideWhenUsed/>
    <w:qFormat/>
    <w:uiPriority w:val="99"/>
    <w:rPr>
      <w:b/>
      <w:bCs/>
    </w:rPr>
  </w:style>
  <w:style w:type="table" w:styleId="38">
    <w:name w:val="Table Grid"/>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22"/>
    <w:rPr>
      <w:b/>
      <w:bCs/>
    </w:rPr>
  </w:style>
  <w:style w:type="character" w:styleId="41">
    <w:name w:val="page number"/>
    <w:basedOn w:val="39"/>
    <w:qFormat/>
    <w:uiPriority w:val="0"/>
  </w:style>
  <w:style w:type="character" w:styleId="42">
    <w:name w:val="FollowedHyperlink"/>
    <w:basedOn w:val="39"/>
    <w:unhideWhenUsed/>
    <w:qFormat/>
    <w:uiPriority w:val="99"/>
    <w:rPr>
      <w:color w:val="800080"/>
      <w:u w:val="single"/>
    </w:rPr>
  </w:style>
  <w:style w:type="character" w:styleId="43">
    <w:name w:val="Emphasis"/>
    <w:basedOn w:val="39"/>
    <w:qFormat/>
    <w:uiPriority w:val="20"/>
    <w:rPr>
      <w:i/>
      <w:iCs/>
    </w:rPr>
  </w:style>
  <w:style w:type="character" w:styleId="44">
    <w:name w:val="Hyperlink"/>
    <w:unhideWhenUsed/>
    <w:qFormat/>
    <w:uiPriority w:val="99"/>
    <w:rPr>
      <w:color w:val="0000FF"/>
      <w:u w:val="single"/>
    </w:rPr>
  </w:style>
  <w:style w:type="character" w:styleId="45">
    <w:name w:val="annotation reference"/>
    <w:basedOn w:val="39"/>
    <w:unhideWhenUsed/>
    <w:qFormat/>
    <w:uiPriority w:val="99"/>
    <w:rPr>
      <w:sz w:val="21"/>
      <w:szCs w:val="21"/>
    </w:rPr>
  </w:style>
  <w:style w:type="character" w:styleId="46">
    <w:name w:val="footnote reference"/>
    <w:unhideWhenUsed/>
    <w:qFormat/>
    <w:uiPriority w:val="0"/>
    <w:rPr>
      <w:vertAlign w:val="superscript"/>
    </w:rPr>
  </w:style>
  <w:style w:type="character" w:customStyle="1" w:styleId="47">
    <w:name w:val="标题 2 Char"/>
    <w:basedOn w:val="39"/>
    <w:link w:val="4"/>
    <w:qFormat/>
    <w:uiPriority w:val="0"/>
    <w:rPr>
      <w:rFonts w:ascii="Cambria" w:hAnsi="Cambria" w:eastAsia="宋体" w:cs="黑体"/>
      <w:b/>
      <w:bCs/>
      <w:sz w:val="32"/>
      <w:szCs w:val="32"/>
    </w:rPr>
  </w:style>
  <w:style w:type="character" w:customStyle="1" w:styleId="48">
    <w:name w:val="标题 1 Char"/>
    <w:basedOn w:val="39"/>
    <w:link w:val="3"/>
    <w:qFormat/>
    <w:uiPriority w:val="0"/>
    <w:rPr>
      <w:rFonts w:ascii="Times New Roman" w:hAnsi="Times New Roman" w:eastAsia="仿宋" w:cs="黑体"/>
      <w:b/>
      <w:bCs/>
      <w:kern w:val="44"/>
      <w:sz w:val="44"/>
      <w:szCs w:val="44"/>
    </w:rPr>
  </w:style>
  <w:style w:type="character" w:customStyle="1" w:styleId="49">
    <w:name w:val="标题 3 Char"/>
    <w:basedOn w:val="39"/>
    <w:link w:val="5"/>
    <w:qFormat/>
    <w:uiPriority w:val="0"/>
    <w:rPr>
      <w:rFonts w:ascii="Calibri" w:hAnsi="Calibri" w:eastAsia="宋体" w:cs="黑体"/>
      <w:b/>
      <w:bCs/>
      <w:sz w:val="32"/>
      <w:szCs w:val="32"/>
    </w:rPr>
  </w:style>
  <w:style w:type="character" w:customStyle="1" w:styleId="50">
    <w:name w:val="标题 4 Char"/>
    <w:basedOn w:val="39"/>
    <w:link w:val="6"/>
    <w:qFormat/>
    <w:uiPriority w:val="0"/>
    <w:rPr>
      <w:rFonts w:ascii="Cambria" w:hAnsi="Cambria" w:eastAsia="宋体" w:cs="黑体"/>
      <w:b/>
      <w:bCs/>
      <w:sz w:val="28"/>
      <w:szCs w:val="28"/>
    </w:rPr>
  </w:style>
  <w:style w:type="character" w:customStyle="1" w:styleId="51">
    <w:name w:val="标题 5 Char"/>
    <w:basedOn w:val="39"/>
    <w:link w:val="7"/>
    <w:qFormat/>
    <w:uiPriority w:val="9"/>
    <w:rPr>
      <w:rFonts w:ascii="Calibri" w:hAnsi="Calibri" w:eastAsia="宋体" w:cs="黑体"/>
      <w:b/>
      <w:bCs/>
      <w:sz w:val="28"/>
      <w:szCs w:val="28"/>
    </w:rPr>
  </w:style>
  <w:style w:type="character" w:customStyle="1" w:styleId="52">
    <w:name w:val="标题 6 Char"/>
    <w:basedOn w:val="39"/>
    <w:link w:val="8"/>
    <w:qFormat/>
    <w:uiPriority w:val="0"/>
    <w:rPr>
      <w:rFonts w:ascii="Cambria" w:hAnsi="Cambria" w:eastAsia="宋体" w:cs="Times New Roman"/>
      <w:b/>
      <w:bCs/>
      <w:sz w:val="24"/>
      <w:szCs w:val="24"/>
    </w:rPr>
  </w:style>
  <w:style w:type="character" w:customStyle="1" w:styleId="53">
    <w:name w:val="标题 7 Char"/>
    <w:basedOn w:val="39"/>
    <w:link w:val="9"/>
    <w:semiHidden/>
    <w:qFormat/>
    <w:uiPriority w:val="9"/>
    <w:rPr>
      <w:rFonts w:ascii="CG Times" w:hAnsi="CG Times" w:eastAsia="楷体_GB2312" w:cs="Times New Roman"/>
      <w:b/>
      <w:bCs/>
      <w:sz w:val="24"/>
      <w:szCs w:val="24"/>
    </w:rPr>
  </w:style>
  <w:style w:type="character" w:customStyle="1" w:styleId="54">
    <w:name w:val="批注文字 Char"/>
    <w:basedOn w:val="39"/>
    <w:link w:val="14"/>
    <w:qFormat/>
    <w:uiPriority w:val="99"/>
    <w:rPr>
      <w:rFonts w:ascii="Calibri" w:hAnsi="Calibri" w:eastAsia="宋体" w:cs="黑体"/>
      <w:sz w:val="24"/>
    </w:rPr>
  </w:style>
  <w:style w:type="character" w:customStyle="1" w:styleId="55">
    <w:name w:val="批注主题 Char"/>
    <w:basedOn w:val="54"/>
    <w:link w:val="36"/>
    <w:semiHidden/>
    <w:qFormat/>
    <w:uiPriority w:val="99"/>
    <w:rPr>
      <w:rFonts w:ascii="Calibri" w:hAnsi="Calibri" w:eastAsia="宋体" w:cs="黑体"/>
      <w:b/>
      <w:bCs/>
      <w:sz w:val="24"/>
    </w:rPr>
  </w:style>
  <w:style w:type="character" w:customStyle="1" w:styleId="56">
    <w:name w:val="文档结构图 Char"/>
    <w:basedOn w:val="39"/>
    <w:link w:val="13"/>
    <w:semiHidden/>
    <w:qFormat/>
    <w:uiPriority w:val="99"/>
    <w:rPr>
      <w:rFonts w:ascii="宋体" w:hAnsi="Calibri" w:eastAsia="宋体" w:cs="黑体"/>
      <w:sz w:val="18"/>
      <w:szCs w:val="18"/>
    </w:rPr>
  </w:style>
  <w:style w:type="character" w:customStyle="1" w:styleId="57">
    <w:name w:val="正文文本 3 Char"/>
    <w:basedOn w:val="39"/>
    <w:link w:val="15"/>
    <w:semiHidden/>
    <w:qFormat/>
    <w:uiPriority w:val="99"/>
    <w:rPr>
      <w:rFonts w:ascii="Times New Roman" w:hAnsi="Times New Roman" w:eastAsia="宋体" w:cs="Times New Roman"/>
      <w:sz w:val="16"/>
      <w:szCs w:val="16"/>
    </w:rPr>
  </w:style>
  <w:style w:type="character" w:customStyle="1" w:styleId="58">
    <w:name w:val="正文文本 Char"/>
    <w:basedOn w:val="39"/>
    <w:link w:val="2"/>
    <w:qFormat/>
    <w:uiPriority w:val="0"/>
    <w:rPr>
      <w:rFonts w:ascii="楷体_GB2312" w:hAnsi="CG Times" w:eastAsia="楷体_GB2312" w:cs="Times New Roman"/>
      <w:color w:val="000000"/>
      <w:sz w:val="36"/>
      <w:szCs w:val="20"/>
    </w:rPr>
  </w:style>
  <w:style w:type="character" w:customStyle="1" w:styleId="59">
    <w:name w:val="正文文本缩进 Char"/>
    <w:basedOn w:val="39"/>
    <w:link w:val="16"/>
    <w:qFormat/>
    <w:uiPriority w:val="0"/>
    <w:rPr>
      <w:rFonts w:ascii="楷体_GB2312" w:hAnsi="Times New Roman" w:eastAsia="宋体" w:cs="Times New Roman"/>
      <w:szCs w:val="24"/>
    </w:rPr>
  </w:style>
  <w:style w:type="character" w:customStyle="1" w:styleId="60">
    <w:name w:val="纯文本 Char"/>
    <w:basedOn w:val="39"/>
    <w:link w:val="19"/>
    <w:qFormat/>
    <w:uiPriority w:val="0"/>
    <w:rPr>
      <w:rFonts w:ascii="宋体" w:hAnsi="Courier New" w:eastAsia="宋体" w:cs="Times New Roman"/>
      <w:szCs w:val="21"/>
    </w:rPr>
  </w:style>
  <w:style w:type="character" w:customStyle="1" w:styleId="61">
    <w:name w:val="日期 Char"/>
    <w:basedOn w:val="39"/>
    <w:link w:val="21"/>
    <w:qFormat/>
    <w:uiPriority w:val="0"/>
    <w:rPr>
      <w:rFonts w:ascii="CG Times" w:hAnsi="CG Times" w:eastAsia="楷体_GB2312" w:cs="Times New Roman"/>
      <w:sz w:val="28"/>
      <w:szCs w:val="20"/>
    </w:rPr>
  </w:style>
  <w:style w:type="character" w:customStyle="1" w:styleId="62">
    <w:name w:val="正文文本缩进 2 Char"/>
    <w:basedOn w:val="39"/>
    <w:link w:val="22"/>
    <w:qFormat/>
    <w:uiPriority w:val="0"/>
    <w:rPr>
      <w:rFonts w:ascii="楷体_GB2312" w:hAnsi="宋体" w:eastAsia="楷体_GB2312" w:cs="Times New Roman"/>
      <w:sz w:val="24"/>
      <w:szCs w:val="24"/>
    </w:rPr>
  </w:style>
  <w:style w:type="character" w:customStyle="1" w:styleId="63">
    <w:name w:val="批注框文本 Char"/>
    <w:basedOn w:val="39"/>
    <w:link w:val="23"/>
    <w:qFormat/>
    <w:uiPriority w:val="0"/>
    <w:rPr>
      <w:rFonts w:ascii="Calibri" w:hAnsi="Calibri" w:eastAsia="宋体" w:cs="黑体"/>
      <w:sz w:val="18"/>
      <w:szCs w:val="18"/>
    </w:rPr>
  </w:style>
  <w:style w:type="character" w:customStyle="1" w:styleId="64">
    <w:name w:val="页脚 Char"/>
    <w:basedOn w:val="39"/>
    <w:link w:val="24"/>
    <w:qFormat/>
    <w:uiPriority w:val="99"/>
    <w:rPr>
      <w:rFonts w:ascii="Calibri" w:hAnsi="Calibri" w:eastAsia="宋体" w:cs="Times New Roman"/>
      <w:sz w:val="18"/>
      <w:szCs w:val="18"/>
    </w:rPr>
  </w:style>
  <w:style w:type="character" w:customStyle="1" w:styleId="65">
    <w:name w:val="页眉 Char"/>
    <w:basedOn w:val="39"/>
    <w:link w:val="25"/>
    <w:qFormat/>
    <w:uiPriority w:val="99"/>
    <w:rPr>
      <w:rFonts w:ascii="Calibri" w:hAnsi="Calibri" w:eastAsia="宋体" w:cs="Times New Roman"/>
      <w:sz w:val="18"/>
      <w:szCs w:val="18"/>
    </w:rPr>
  </w:style>
  <w:style w:type="character" w:customStyle="1" w:styleId="66">
    <w:name w:val="脚注文本 Char"/>
    <w:basedOn w:val="39"/>
    <w:link w:val="28"/>
    <w:qFormat/>
    <w:uiPriority w:val="0"/>
    <w:rPr>
      <w:rFonts w:ascii="Times New Roman" w:hAnsi="Times New Roman" w:eastAsia="宋体" w:cs="Times New Roman"/>
      <w:kern w:val="0"/>
      <w:sz w:val="18"/>
      <w:szCs w:val="18"/>
    </w:rPr>
  </w:style>
  <w:style w:type="character" w:customStyle="1" w:styleId="67">
    <w:name w:val="正文文本缩进 3 Char"/>
    <w:basedOn w:val="39"/>
    <w:link w:val="30"/>
    <w:qFormat/>
    <w:uiPriority w:val="0"/>
    <w:rPr>
      <w:rFonts w:ascii="Times New Roman" w:hAnsi="Times New Roman" w:eastAsia="楷体_GB2312" w:cs="Times New Roman"/>
      <w:sz w:val="24"/>
      <w:szCs w:val="24"/>
    </w:rPr>
  </w:style>
  <w:style w:type="character" w:customStyle="1" w:styleId="68">
    <w:name w:val="标题 Char"/>
    <w:basedOn w:val="39"/>
    <w:link w:val="35"/>
    <w:qFormat/>
    <w:uiPriority w:val="10"/>
    <w:rPr>
      <w:rFonts w:ascii="Cambria" w:hAnsi="Cambria" w:eastAsia="宋体" w:cs="Times New Roman"/>
      <w:b/>
      <w:bCs/>
      <w:sz w:val="52"/>
      <w:szCs w:val="32"/>
    </w:rPr>
  </w:style>
  <w:style w:type="paragraph" w:customStyle="1" w:styleId="69">
    <w:name w:val="标题3"/>
    <w:basedOn w:val="5"/>
    <w:next w:val="1"/>
    <w:qFormat/>
    <w:uiPriority w:val="0"/>
    <w:pPr>
      <w:numPr>
        <w:ilvl w:val="2"/>
        <w:numId w:val="1"/>
      </w:numPr>
      <w:adjustRightInd w:val="0"/>
      <w:snapToGrid w:val="0"/>
      <w:spacing w:before="0" w:after="0" w:line="360" w:lineRule="auto"/>
      <w:ind w:left="0" w:firstLine="0"/>
    </w:pPr>
    <w:rPr>
      <w:rFonts w:eastAsia="楷体"/>
    </w:rPr>
  </w:style>
  <w:style w:type="paragraph" w:customStyle="1" w:styleId="70">
    <w:name w:val="标题4"/>
    <w:basedOn w:val="6"/>
    <w:next w:val="1"/>
    <w:link w:val="71"/>
    <w:qFormat/>
    <w:uiPriority w:val="0"/>
    <w:pPr>
      <w:numPr>
        <w:ilvl w:val="3"/>
        <w:numId w:val="1"/>
      </w:numPr>
      <w:adjustRightInd w:val="0"/>
      <w:snapToGrid w:val="0"/>
      <w:spacing w:before="0" w:after="0" w:line="360" w:lineRule="auto"/>
    </w:pPr>
    <w:rPr>
      <w:rFonts w:eastAsia="楷体" w:cs="Times New Roman"/>
      <w:kern w:val="0"/>
      <w:sz w:val="30"/>
    </w:rPr>
  </w:style>
  <w:style w:type="character" w:customStyle="1" w:styleId="71">
    <w:name w:val="标题4 Char Char"/>
    <w:link w:val="70"/>
    <w:qFormat/>
    <w:uiPriority w:val="0"/>
    <w:rPr>
      <w:rFonts w:ascii="Cambria" w:hAnsi="Cambria" w:eastAsia="楷体" w:cs="Times New Roman"/>
      <w:b/>
      <w:bCs/>
      <w:kern w:val="0"/>
      <w:sz w:val="30"/>
      <w:szCs w:val="28"/>
    </w:rPr>
  </w:style>
  <w:style w:type="paragraph" w:customStyle="1" w:styleId="72">
    <w:name w:val="标题5"/>
    <w:basedOn w:val="7"/>
    <w:qFormat/>
    <w:uiPriority w:val="0"/>
    <w:pPr>
      <w:adjustRightInd w:val="0"/>
      <w:snapToGrid w:val="0"/>
      <w:spacing w:before="0" w:after="0" w:line="360" w:lineRule="auto"/>
    </w:pPr>
    <w:rPr>
      <w:rFonts w:eastAsia="楷体"/>
    </w:rPr>
  </w:style>
  <w:style w:type="paragraph" w:customStyle="1" w:styleId="73">
    <w:name w:val="标题1"/>
    <w:basedOn w:val="3"/>
    <w:next w:val="1"/>
    <w:qFormat/>
    <w:uiPriority w:val="0"/>
    <w:pPr>
      <w:adjustRightInd w:val="0"/>
      <w:snapToGrid w:val="0"/>
      <w:spacing w:beforeLines="50" w:afterLines="50"/>
      <w:ind w:firstLine="200" w:firstLineChars="200"/>
    </w:pPr>
    <w:rPr>
      <w:rFonts w:eastAsia="黑体"/>
      <w:b w:val="0"/>
      <w:sz w:val="30"/>
    </w:rPr>
  </w:style>
  <w:style w:type="paragraph" w:customStyle="1" w:styleId="74">
    <w:name w:val="标题2"/>
    <w:basedOn w:val="4"/>
    <w:next w:val="1"/>
    <w:qFormat/>
    <w:uiPriority w:val="0"/>
    <w:pPr>
      <w:adjustRightInd w:val="0"/>
      <w:snapToGrid w:val="0"/>
      <w:spacing w:beforeLines="50" w:afterLines="50" w:line="240" w:lineRule="auto"/>
    </w:pPr>
    <w:rPr>
      <w:rFonts w:ascii="Times New Roman" w:hAnsi="Times New Roman" w:eastAsia="楷体"/>
      <w:sz w:val="28"/>
    </w:rPr>
  </w:style>
  <w:style w:type="paragraph" w:customStyle="1" w:styleId="75">
    <w:name w:val="表格正文"/>
    <w:basedOn w:val="1"/>
    <w:qFormat/>
    <w:uiPriority w:val="0"/>
    <w:pPr>
      <w:tabs>
        <w:tab w:val="left" w:pos="1702"/>
      </w:tabs>
      <w:overflowPunct w:val="0"/>
      <w:autoSpaceDE w:val="0"/>
      <w:autoSpaceDN w:val="0"/>
      <w:adjustRightInd w:val="0"/>
    </w:pPr>
    <w:rPr>
      <w:rFonts w:ascii="楷体_GB2312" w:hAnsi="宋体" w:eastAsia="楷体_GB2312" w:cs="Times New Roman"/>
      <w:color w:val="000000"/>
      <w:kern w:val="0"/>
      <w:szCs w:val="20"/>
    </w:rPr>
  </w:style>
  <w:style w:type="paragraph" w:customStyle="1" w:styleId="76">
    <w:name w:val="表格栏头"/>
    <w:basedOn w:val="75"/>
    <w:next w:val="75"/>
    <w:qFormat/>
    <w:uiPriority w:val="0"/>
    <w:pPr>
      <w:tabs>
        <w:tab w:val="clear" w:pos="1702"/>
      </w:tabs>
      <w:spacing w:before="60" w:after="60"/>
      <w:textAlignment w:val="baseline"/>
    </w:pPr>
    <w:rPr>
      <w:rFonts w:ascii="Tahoma" w:hAnsi="Tahoma" w:eastAsia="宋体"/>
      <w:b/>
      <w:color w:val="auto"/>
    </w:rPr>
  </w:style>
  <w:style w:type="paragraph" w:customStyle="1" w:styleId="77">
    <w:name w:val="法条"/>
    <w:basedOn w:val="1"/>
    <w:qFormat/>
    <w:uiPriority w:val="0"/>
    <w:pPr>
      <w:numPr>
        <w:ilvl w:val="0"/>
        <w:numId w:val="2"/>
      </w:numPr>
      <w:tabs>
        <w:tab w:val="left" w:pos="0"/>
      </w:tabs>
    </w:pPr>
    <w:rPr>
      <w:rFonts w:ascii="仿宋" w:hAnsi="仿宋" w:cs="Times New Roman"/>
      <w:sz w:val="30"/>
      <w:szCs w:val="30"/>
    </w:rPr>
  </w:style>
  <w:style w:type="paragraph" w:customStyle="1" w:styleId="78">
    <w:name w:val="信息标题2"/>
    <w:basedOn w:val="12"/>
    <w:next w:val="12"/>
    <w:qFormat/>
    <w:uiPriority w:val="0"/>
    <w:pPr>
      <w:spacing w:after="0"/>
      <w:jc w:val="center"/>
    </w:pPr>
    <w:rPr>
      <w:rFonts w:ascii="楷体" w:hAnsi="楷体" w:eastAsia="楷体"/>
      <w:b/>
      <w:sz w:val="36"/>
      <w:szCs w:val="36"/>
    </w:rPr>
  </w:style>
  <w:style w:type="paragraph" w:customStyle="1" w:styleId="79">
    <w:name w:val="列出段落1"/>
    <w:basedOn w:val="1"/>
    <w:qFormat/>
    <w:uiPriority w:val="34"/>
    <w:pPr>
      <w:ind w:firstLine="420"/>
    </w:pPr>
  </w:style>
  <w:style w:type="paragraph" w:customStyle="1" w:styleId="80">
    <w:name w:val="p0"/>
    <w:basedOn w:val="1"/>
    <w:qFormat/>
    <w:uiPriority w:val="0"/>
    <w:pPr>
      <w:jc w:val="both"/>
    </w:pPr>
    <w:rPr>
      <w:rFonts w:cs="宋体"/>
      <w:kern w:val="0"/>
      <w:sz w:val="21"/>
      <w:szCs w:val="21"/>
    </w:rPr>
  </w:style>
  <w:style w:type="paragraph" w:customStyle="1" w:styleId="81">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82">
    <w:name w:val="Footer Even"/>
    <w:basedOn w:val="1"/>
    <w:qFormat/>
    <w:uiPriority w:val="0"/>
    <w:pPr>
      <w:pBdr>
        <w:top w:val="single" w:color="4F81BD" w:sz="4" w:space="1"/>
      </w:pBdr>
      <w:spacing w:after="180" w:line="264" w:lineRule="auto"/>
    </w:pPr>
    <w:rPr>
      <w:color w:val="1F497D"/>
      <w:kern w:val="0"/>
      <w:sz w:val="20"/>
      <w:szCs w:val="23"/>
    </w:rPr>
  </w:style>
  <w:style w:type="paragraph" w:customStyle="1" w:styleId="83">
    <w:name w:val="表格首行"/>
    <w:basedOn w:val="1"/>
    <w:qFormat/>
    <w:uiPriority w:val="0"/>
    <w:pPr>
      <w:tabs>
        <w:tab w:val="left" w:pos="540"/>
      </w:tabs>
      <w:jc w:val="both"/>
    </w:pPr>
    <w:rPr>
      <w:rFonts w:eastAsia="楷体_GB2312" w:cs="Times New Roman"/>
      <w:b/>
      <w:szCs w:val="21"/>
    </w:rPr>
  </w:style>
  <w:style w:type="paragraph" w:customStyle="1" w:styleId="84">
    <w:name w:val="表格内容"/>
    <w:basedOn w:val="1"/>
    <w:qFormat/>
    <w:uiPriority w:val="0"/>
    <w:pPr>
      <w:tabs>
        <w:tab w:val="left" w:pos="540"/>
      </w:tabs>
    </w:pPr>
    <w:rPr>
      <w:rFonts w:eastAsia="楷体_GB2312" w:cs="Times New Roman"/>
      <w:szCs w:val="28"/>
    </w:rPr>
  </w:style>
  <w:style w:type="paragraph" w:customStyle="1" w:styleId="85">
    <w:name w:val="Char Char Char Char Char Char Char"/>
    <w:basedOn w:val="1"/>
    <w:qFormat/>
    <w:uiPriority w:val="0"/>
    <w:rPr>
      <w:rFonts w:ascii="Verdana" w:hAnsi="Verdana" w:cs="Times New Roman"/>
      <w:kern w:val="0"/>
      <w:sz w:val="21"/>
      <w:szCs w:val="20"/>
      <w:lang w:eastAsia="en-US"/>
    </w:rPr>
  </w:style>
  <w:style w:type="paragraph" w:customStyle="1" w:styleId="86">
    <w:name w:val="无间隔1"/>
    <w:qFormat/>
    <w:uiPriority w:val="1"/>
    <w:pPr>
      <w:widowControl w:val="0"/>
      <w:jc w:val="both"/>
    </w:pPr>
    <w:rPr>
      <w:rFonts w:ascii="CG Times" w:hAnsi="CG Times" w:eastAsia="楷体_GB2312" w:cs="Times New Roman"/>
      <w:kern w:val="2"/>
      <w:sz w:val="24"/>
      <w:lang w:val="en-US" w:eastAsia="zh-CN" w:bidi="ar-SA"/>
    </w:rPr>
  </w:style>
  <w:style w:type="paragraph" w:customStyle="1" w:styleId="87">
    <w:name w:val="TOC 标题1"/>
    <w:basedOn w:val="3"/>
    <w:next w:val="1"/>
    <w:unhideWhenUsed/>
    <w:qFormat/>
    <w:uiPriority w:val="39"/>
    <w:pPr>
      <w:spacing w:line="578" w:lineRule="atLeast"/>
      <w:jc w:val="both"/>
      <w:outlineLvl w:val="9"/>
    </w:pPr>
    <w:rPr>
      <w:rFonts w:ascii="CG Times" w:hAnsi="CG Times" w:eastAsia="楷体_GB2312" w:cs="Times New Roman"/>
    </w:rPr>
  </w:style>
  <w:style w:type="paragraph" w:customStyle="1" w:styleId="88">
    <w:name w:val="样式 标题 1 + 段后: 0.5 行"/>
    <w:basedOn w:val="3"/>
    <w:qFormat/>
    <w:uiPriority w:val="0"/>
    <w:pPr>
      <w:numPr>
        <w:ilvl w:val="0"/>
        <w:numId w:val="3"/>
      </w:numPr>
      <w:spacing w:afterLines="50"/>
      <w:jc w:val="both"/>
    </w:pPr>
    <w:rPr>
      <w:rFonts w:eastAsia="黑体" w:cs="宋体"/>
      <w:sz w:val="36"/>
      <w:szCs w:val="20"/>
    </w:rPr>
  </w:style>
  <w:style w:type="paragraph" w:customStyle="1" w:styleId="89">
    <w:name w:val="文档结构图1"/>
    <w:basedOn w:val="1"/>
    <w:qFormat/>
    <w:uiPriority w:val="0"/>
    <w:pPr>
      <w:jc w:val="both"/>
    </w:pPr>
    <w:rPr>
      <w:rFonts w:ascii="宋体" w:hAnsi="CG Times" w:cs="Times New Roman"/>
      <w:sz w:val="18"/>
      <w:szCs w:val="18"/>
    </w:rPr>
  </w:style>
  <w:style w:type="paragraph" w:customStyle="1" w:styleId="90">
    <w:name w:val="批注主题1"/>
    <w:basedOn w:val="14"/>
    <w:next w:val="14"/>
    <w:qFormat/>
    <w:uiPriority w:val="0"/>
    <w:rPr>
      <w:rFonts w:ascii="CG Times" w:hAnsi="CG Times" w:eastAsia="楷体_GB2312" w:cs="Times New Roman"/>
      <w:b/>
      <w:bCs/>
      <w:szCs w:val="20"/>
    </w:rPr>
  </w:style>
  <w:style w:type="paragraph" w:customStyle="1" w:styleId="91">
    <w:name w:val="无间隔11"/>
    <w:qFormat/>
    <w:uiPriority w:val="0"/>
    <w:pPr>
      <w:widowControl w:val="0"/>
      <w:jc w:val="both"/>
    </w:pPr>
    <w:rPr>
      <w:rFonts w:ascii="CG Times" w:hAnsi="CG Times" w:eastAsia="楷体_GB2312" w:cs="Times New Roman"/>
      <w:sz w:val="24"/>
      <w:lang w:val="en-US" w:eastAsia="zh-CN" w:bidi="ar-SA"/>
    </w:rPr>
  </w:style>
  <w:style w:type="paragraph" w:customStyle="1" w:styleId="92">
    <w:name w:val="列出段落11"/>
    <w:basedOn w:val="1"/>
    <w:qFormat/>
    <w:uiPriority w:val="0"/>
    <w:pPr>
      <w:ind w:firstLine="420"/>
      <w:jc w:val="both"/>
    </w:pPr>
    <w:rPr>
      <w:rFonts w:ascii="CG Times" w:hAnsi="CG Times" w:eastAsia="楷体_GB2312" w:cs="Times New Roman"/>
      <w:szCs w:val="20"/>
    </w:rPr>
  </w:style>
  <w:style w:type="paragraph" w:customStyle="1" w:styleId="93">
    <w:name w:val="修订11"/>
    <w:qFormat/>
    <w:uiPriority w:val="0"/>
    <w:rPr>
      <w:rFonts w:ascii="CG Times" w:hAnsi="CG Times" w:eastAsia="楷体_GB2312" w:cs="Times New Roman"/>
      <w:sz w:val="24"/>
      <w:lang w:val="en-US" w:eastAsia="zh-CN" w:bidi="ar-SA"/>
    </w:rPr>
  </w:style>
  <w:style w:type="paragraph" w:customStyle="1" w:styleId="94">
    <w:name w:val="缺省文本"/>
    <w:basedOn w:val="1"/>
    <w:qFormat/>
    <w:uiPriority w:val="0"/>
    <w:pPr>
      <w:autoSpaceDE w:val="0"/>
      <w:autoSpaceDN w:val="0"/>
      <w:adjustRightInd w:val="0"/>
      <w:spacing w:before="105"/>
    </w:pPr>
    <w:rPr>
      <w:rFonts w:eastAsia="Times New Roman" w:cs="Times New Roman"/>
      <w:kern w:val="0"/>
      <w:sz w:val="21"/>
      <w:szCs w:val="20"/>
    </w:rPr>
  </w:style>
  <w:style w:type="paragraph" w:customStyle="1" w:styleId="95">
    <w:name w:val="TAL"/>
    <w:basedOn w:val="1"/>
    <w:qFormat/>
    <w:uiPriority w:val="0"/>
    <w:pPr>
      <w:keepLines/>
      <w:autoSpaceDE w:val="0"/>
      <w:autoSpaceDN w:val="0"/>
      <w:adjustRightInd w:val="0"/>
      <w:spacing w:before="100"/>
    </w:pPr>
    <w:rPr>
      <w:rFonts w:ascii="Arial" w:hAnsi="Arial" w:cs="Times New Roman"/>
      <w:kern w:val="0"/>
      <w:sz w:val="20"/>
      <w:szCs w:val="20"/>
    </w:rPr>
  </w:style>
  <w:style w:type="paragraph" w:customStyle="1" w:styleId="96">
    <w:name w:val="Char Char Char Char Char Char Char Char Char Char"/>
    <w:basedOn w:val="1"/>
    <w:qFormat/>
    <w:uiPriority w:val="0"/>
    <w:rPr>
      <w:rFonts w:ascii="Verdana" w:hAnsi="Verdana" w:cs="Times New Roman"/>
      <w:kern w:val="0"/>
      <w:sz w:val="21"/>
      <w:szCs w:val="20"/>
      <w:lang w:eastAsia="en-US"/>
    </w:rPr>
  </w:style>
  <w:style w:type="character" w:customStyle="1" w:styleId="97">
    <w:name w:val="st"/>
    <w:basedOn w:val="39"/>
    <w:qFormat/>
    <w:uiPriority w:val="0"/>
  </w:style>
  <w:style w:type="character" w:customStyle="1" w:styleId="98">
    <w:name w:val="脚注文本 Char1"/>
    <w:basedOn w:val="39"/>
    <w:qFormat/>
    <w:uiPriority w:val="0"/>
    <w:rPr>
      <w:sz w:val="18"/>
      <w:szCs w:val="18"/>
    </w:rPr>
  </w:style>
  <w:style w:type="character" w:customStyle="1" w:styleId="99">
    <w:name w:val="页码1"/>
    <w:basedOn w:val="39"/>
    <w:qFormat/>
    <w:uiPriority w:val="0"/>
  </w:style>
  <w:style w:type="character" w:customStyle="1" w:styleId="100">
    <w:name w:val="批注引用1"/>
    <w:qFormat/>
    <w:uiPriority w:val="0"/>
    <w:rPr>
      <w:sz w:val="21"/>
      <w:szCs w:val="21"/>
    </w:rPr>
  </w:style>
  <w:style w:type="paragraph" w:styleId="101">
    <w:name w:val="List Paragraph"/>
    <w:basedOn w:val="1"/>
    <w:qFormat/>
    <w:uiPriority w:val="34"/>
    <w:pPr>
      <w:ind w:firstLine="420"/>
    </w:pPr>
  </w:style>
  <w:style w:type="table" w:customStyle="1" w:styleId="102">
    <w:name w:val="网格型2"/>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3">
    <w:name w:val="修订1"/>
    <w:hidden/>
    <w:semiHidden/>
    <w:qFormat/>
    <w:uiPriority w:val="99"/>
    <w:rPr>
      <w:rFonts w:ascii="Times New Roman" w:hAnsi="Times New Roman" w:eastAsia="仿宋" w:cs="黑体"/>
      <w:kern w:val="2"/>
      <w:sz w:val="24"/>
      <w:szCs w:val="22"/>
      <w:lang w:val="en-US" w:eastAsia="zh-CN" w:bidi="ar-SA"/>
    </w:rPr>
  </w:style>
  <w:style w:type="character" w:customStyle="1" w:styleId="104">
    <w:name w:val="fontstyle01"/>
    <w:basedOn w:val="39"/>
    <w:qFormat/>
    <w:uiPriority w:val="0"/>
    <w:rPr>
      <w:rFonts w:hint="default" w:ascii="仿宋" w:hAnsi="仿宋"/>
      <w:color w:val="000000"/>
      <w:sz w:val="30"/>
      <w:szCs w:val="30"/>
    </w:rPr>
  </w:style>
  <w:style w:type="character" w:customStyle="1" w:styleId="105">
    <w:name w:val="fontstyle11"/>
    <w:basedOn w:val="39"/>
    <w:qFormat/>
    <w:uiPriority w:val="0"/>
    <w:rPr>
      <w:rFonts w:hint="default" w:ascii="TimesNewRomanPSMT" w:hAnsi="TimesNewRomanPSMT"/>
      <w:color w:val="000000"/>
      <w:sz w:val="30"/>
      <w:szCs w:val="30"/>
    </w:rPr>
  </w:style>
  <w:style w:type="character" w:customStyle="1" w:styleId="106">
    <w:name w:val="font41"/>
    <w:basedOn w:val="39"/>
    <w:qFormat/>
    <w:uiPriority w:val="0"/>
    <w:rPr>
      <w:rFonts w:hint="default" w:ascii="楷体" w:hAnsi="楷体" w:eastAsia="楷体" w:cs="楷体"/>
      <w:b/>
      <w:color w:val="000000"/>
      <w:sz w:val="24"/>
      <w:szCs w:val="24"/>
      <w:u w:val="none"/>
    </w:rPr>
  </w:style>
  <w:style w:type="character" w:customStyle="1" w:styleId="107">
    <w:name w:val="font01"/>
    <w:basedOn w:val="39"/>
    <w:qFormat/>
    <w:uiPriority w:val="0"/>
    <w:rPr>
      <w:rFonts w:hint="default"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720</Words>
  <Characters>4107</Characters>
  <Lines>34</Lines>
  <Paragraphs>9</Paragraphs>
  <TotalTime>2</TotalTime>
  <ScaleCrop>false</ScaleCrop>
  <LinksUpToDate>false</LinksUpToDate>
  <CharactersWithSpaces>4818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2021-01-09T10:48:00Z</dcterms:created>
  <dc:creator>张恒zh</dc:creator>
  <cp:lastModifiedBy>zhangyt</cp:lastModifiedBy>
  <cp:lastPrinted>2025-02-24T16:40:00Z</cp:lastPrinted>
  <dcterms:modified xsi:type="dcterms:W3CDTF">2025-04-15T19:06:13Z</dcterms:modified>
  <dc:title>北证办发〔2023〕X号附件1</dc:title>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FC018C53D4654C36B91228A59E8199EF_13</vt:lpwstr>
  </property>
</Properties>
</file>