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0" w:firstLineChars="0"/>
        <w:rPr>
          <w:rFonts w:eastAsia="黑体" w:cs="Times New Roman"/>
          <w:b/>
          <w:color w:val="000000" w:themeColor="text1"/>
          <w:sz w:val="32"/>
          <w:szCs w:val="32"/>
          <w14:textFill>
            <w14:solidFill>
              <w14:schemeClr w14:val="tx1"/>
            </w14:solidFill>
          </w14:textFill>
        </w:rPr>
      </w:pPr>
      <w:r>
        <w:rPr>
          <w:rFonts w:eastAsia="黑体" w:cs="Times New Roman"/>
          <w:sz w:val="32"/>
          <w:szCs w:val="32"/>
        </w:rPr>
        <w:t>北证办发〔2025〕24号附件1</w:t>
      </w: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北京证券交易所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w:t>
      </w: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ascii="方正大标宋简体" w:eastAsia="方正大标宋简体" w:cs="Times New Roman"/>
          <w:color w:val="000000" w:themeColor="text1"/>
          <w:sz w:val="44"/>
          <w:szCs w:val="44"/>
          <w14:textFill>
            <w14:solidFill>
              <w14:schemeClr w14:val="tx1"/>
            </w14:solidFill>
          </w14:textFill>
        </w:rPr>
        <w:t>切换</w:t>
      </w:r>
      <w:r>
        <w:rPr>
          <w:rFonts w:hint="eastAsia" w:ascii="方正大标宋简体" w:eastAsia="方正大标宋简体" w:cs="Times New Roman"/>
          <w:color w:val="000000" w:themeColor="text1"/>
          <w:sz w:val="44"/>
          <w:szCs w:val="44"/>
          <w14:textFill>
            <w14:solidFill>
              <w14:schemeClr w14:val="tx1"/>
            </w14:solidFill>
          </w14:textFill>
        </w:rPr>
        <w:t>（试点）第二次全网测试方案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二五年三月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北京证券交易所存量上市公司证券代码切换（试点）第二次全网测试方案</w:t>
            </w:r>
          </w:p>
        </w:tc>
      </w:tr>
      <w:tr>
        <w:tblPrEx>
          <w:tblCellMar>
            <w:top w:w="0" w:type="dxa"/>
            <w:left w:w="108" w:type="dxa"/>
            <w:bottom w:w="0" w:type="dxa"/>
            <w:right w:w="108" w:type="dxa"/>
          </w:tblCellMar>
        </w:tblPrEx>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3</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10</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ind w:firstLine="480"/>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"_Toc1923549958" </w:instrText>
      </w:r>
      <w:r>
        <w:fldChar w:fldCharType="separate"/>
      </w:r>
      <w:r>
        <w:t>一</w:t>
      </w:r>
      <w:r>
        <w:rPr>
          <w:rFonts w:hint="eastAsia"/>
        </w:rPr>
        <w:t>、</w:t>
      </w:r>
      <w:r>
        <w:t>测试目的和背景</w:t>
      </w:r>
      <w:r>
        <w:tab/>
      </w:r>
      <w:r>
        <w:fldChar w:fldCharType="begin"/>
      </w:r>
      <w:r>
        <w:instrText xml:space="preserve"> PAGEREF _Toc1923549958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"_Toc1885726114" </w:instrText>
      </w:r>
      <w:r>
        <w:fldChar w:fldCharType="separate"/>
      </w:r>
      <w:r>
        <w:t>二</w:t>
      </w:r>
      <w:r>
        <w:rPr>
          <w:rFonts w:hint="eastAsia"/>
        </w:rPr>
        <w:t>、</w:t>
      </w:r>
      <w:r>
        <w:t>参测</w:t>
      </w:r>
      <w:r>
        <w:rPr>
          <w:rFonts w:hint="eastAsia"/>
        </w:rPr>
        <w:t>机构</w:t>
      </w:r>
      <w:r>
        <w:tab/>
      </w:r>
      <w:r>
        <w:fldChar w:fldCharType="begin"/>
      </w:r>
      <w:r>
        <w:instrText xml:space="preserve"> PAGEREF _Toc1885726114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"_Toc300216207" </w:instrText>
      </w:r>
      <w:r>
        <w:fldChar w:fldCharType="separate"/>
      </w:r>
      <w:r>
        <w:rPr>
          <w:rFonts w:hint="eastAsia"/>
        </w:rPr>
        <w:t>三、</w:t>
      </w:r>
      <w:r>
        <w:t>参测技术系统</w:t>
      </w:r>
      <w:r>
        <w:tab/>
      </w:r>
      <w:r>
        <w:fldChar w:fldCharType="begin"/>
      </w:r>
      <w:r>
        <w:instrText xml:space="preserve"> PAGEREF _Toc300216207 </w:instrText>
      </w:r>
      <w:r>
        <w:fldChar w:fldCharType="separate"/>
      </w:r>
      <w:r>
        <w:t>- 5 -</w:t>
      </w:r>
      <w:r>
        <w:fldChar w:fldCharType="end"/>
      </w:r>
      <w:r>
        <w:fldChar w:fldCharType="end"/>
      </w:r>
    </w:p>
    <w:p>
      <w:pPr>
        <w:pStyle w:val="26"/>
        <w:tabs>
          <w:tab w:val="right" w:leader="dot" w:pos="8306"/>
        </w:tabs>
        <w:ind w:firstLine="480"/>
      </w:pPr>
      <w:r>
        <w:fldChar w:fldCharType="begin"/>
      </w:r>
      <w:r>
        <w:instrText xml:space="preserve"> HYPERLINK \l "_Toc1183419127" </w:instrText>
      </w:r>
      <w:r>
        <w:fldChar w:fldCharType="separate"/>
      </w:r>
      <w:r>
        <w:rPr>
          <w:rFonts w:hint="eastAsia"/>
        </w:rPr>
        <w:t>四、全网测试</w:t>
      </w:r>
      <w:r>
        <w:t>时间安排</w:t>
      </w:r>
      <w:r>
        <w:tab/>
      </w:r>
      <w:r>
        <w:fldChar w:fldCharType="begin"/>
      </w:r>
      <w:r>
        <w:instrText xml:space="preserve"> PAGEREF _Toc1183419127 </w:instrText>
      </w:r>
      <w:r>
        <w:fldChar w:fldCharType="separate"/>
      </w:r>
      <w:r>
        <w:t>- 5 -</w:t>
      </w:r>
      <w:r>
        <w:fldChar w:fldCharType="end"/>
      </w:r>
      <w:r>
        <w:fldChar w:fldCharType="end"/>
      </w:r>
    </w:p>
    <w:p>
      <w:pPr>
        <w:pStyle w:val="26"/>
        <w:tabs>
          <w:tab w:val="right" w:leader="dot" w:pos="8306"/>
        </w:tabs>
        <w:ind w:firstLine="480"/>
      </w:pPr>
      <w:r>
        <w:fldChar w:fldCharType="begin"/>
      </w:r>
      <w:r>
        <w:instrText xml:space="preserve"> HYPERLINK \l "_Toc1666182100" </w:instrText>
      </w:r>
      <w:r>
        <w:fldChar w:fldCharType="separate"/>
      </w:r>
      <w:r>
        <w:rPr>
          <w:rFonts w:hint="eastAsia"/>
        </w:rPr>
        <w:t>五、全网测试</w:t>
      </w:r>
      <w:r>
        <w:t>内容</w:t>
      </w:r>
      <w:r>
        <w:tab/>
      </w:r>
      <w:r>
        <w:fldChar w:fldCharType="begin"/>
      </w:r>
      <w:r>
        <w:instrText xml:space="preserve"> PAGEREF _Toc1666182100 </w:instrText>
      </w:r>
      <w:r>
        <w:fldChar w:fldCharType="separate"/>
      </w:r>
      <w:r>
        <w:t>- 7 -</w:t>
      </w:r>
      <w:r>
        <w:fldChar w:fldCharType="end"/>
      </w:r>
      <w:r>
        <w:fldChar w:fldCharType="end"/>
      </w:r>
    </w:p>
    <w:p>
      <w:pPr>
        <w:pStyle w:val="26"/>
        <w:tabs>
          <w:tab w:val="right" w:leader="dot" w:pos="8306"/>
        </w:tabs>
        <w:ind w:firstLine="480"/>
      </w:pPr>
      <w:r>
        <w:fldChar w:fldCharType="begin"/>
      </w:r>
      <w:r>
        <w:instrText xml:space="preserve"> HYPERLINK \l "_Toc1024251806" </w:instrText>
      </w:r>
      <w:r>
        <w:fldChar w:fldCharType="separate"/>
      </w:r>
      <w:r>
        <w:rPr>
          <w:rFonts w:hint="eastAsia"/>
        </w:rPr>
        <w:t>六、测试场景及相关说明</w:t>
      </w:r>
      <w:r>
        <w:tab/>
      </w:r>
      <w:r>
        <w:fldChar w:fldCharType="begin"/>
      </w:r>
      <w:r>
        <w:instrText xml:space="preserve"> PAGEREF _Toc1024251806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"_Toc912901240" </w:instrText>
      </w:r>
      <w:r>
        <w:fldChar w:fldCharType="separate"/>
      </w:r>
      <w:r>
        <w:t xml:space="preserve">（一） </w:t>
      </w:r>
      <w:r>
        <w:rPr>
          <w:rFonts w:hint="eastAsia"/>
        </w:rPr>
        <w:t>拟切换股票新旧代码对照</w:t>
      </w:r>
      <w:r>
        <w:tab/>
      </w:r>
      <w:r>
        <w:fldChar w:fldCharType="begin"/>
      </w:r>
      <w:r>
        <w:instrText xml:space="preserve"> PAGEREF _Toc912901240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"_Toc1155370446" </w:instrText>
      </w:r>
      <w:r>
        <w:fldChar w:fldCharType="separate"/>
      </w:r>
      <w:r>
        <w:t xml:space="preserve">（二） </w:t>
      </w:r>
      <w:r>
        <w:rPr>
          <w:rFonts w:hint="eastAsia"/>
        </w:rPr>
        <w:t>日常业务测试场景及测试时间安排</w:t>
      </w:r>
      <w:r>
        <w:tab/>
      </w:r>
      <w:r>
        <w:fldChar w:fldCharType="begin"/>
      </w:r>
      <w:r>
        <w:instrText xml:space="preserve"> PAGEREF _Toc1155370446 </w:instrText>
      </w:r>
      <w:r>
        <w:fldChar w:fldCharType="separate"/>
      </w:r>
      <w:r>
        <w:t>- 9 -</w:t>
      </w:r>
      <w:r>
        <w:fldChar w:fldCharType="end"/>
      </w:r>
      <w:r>
        <w:fldChar w:fldCharType="end"/>
      </w:r>
    </w:p>
    <w:p>
      <w:pPr>
        <w:pStyle w:val="31"/>
        <w:tabs>
          <w:tab w:val="right" w:leader="dot" w:pos="8306"/>
        </w:tabs>
        <w:ind w:left="0" w:leftChars="0" w:firstLine="480"/>
      </w:pPr>
      <w:r>
        <w:fldChar w:fldCharType="begin"/>
      </w:r>
      <w:r>
        <w:instrText xml:space="preserve"> HYPERLINK \l "_Toc1122960603" </w:instrText>
      </w:r>
      <w:r>
        <w:fldChar w:fldCharType="separate"/>
      </w:r>
      <w:r>
        <w:t xml:space="preserve">（三） </w:t>
      </w:r>
      <w:r>
        <w:rPr>
          <w:rFonts w:hint="eastAsia"/>
        </w:rPr>
        <w:t>测试要求和说明</w:t>
      </w:r>
      <w:r>
        <w:tab/>
      </w:r>
      <w:r>
        <w:fldChar w:fldCharType="begin"/>
      </w:r>
      <w:r>
        <w:instrText xml:space="preserve"> PAGEREF _Toc1122960603 </w:instrText>
      </w:r>
      <w:r>
        <w:fldChar w:fldCharType="separate"/>
      </w:r>
      <w:r>
        <w:t>- 9 -</w:t>
      </w:r>
      <w:r>
        <w:fldChar w:fldCharType="end"/>
      </w:r>
      <w:r>
        <w:fldChar w:fldCharType="end"/>
      </w:r>
    </w:p>
    <w:p>
      <w:pPr>
        <w:pStyle w:val="26"/>
        <w:tabs>
          <w:tab w:val="right" w:leader="dot" w:pos="8306"/>
        </w:tabs>
        <w:ind w:firstLine="480"/>
      </w:pPr>
      <w:r>
        <w:fldChar w:fldCharType="begin"/>
      </w:r>
      <w:r>
        <w:instrText xml:space="preserve"> HYPERLINK \l "_Toc710317704" </w:instrText>
      </w:r>
      <w:r>
        <w:fldChar w:fldCharType="separate"/>
      </w:r>
      <w:r>
        <w:rPr>
          <w:rFonts w:hint="eastAsia"/>
        </w:rPr>
        <w:t>七、全网测试</w:t>
      </w:r>
      <w:r>
        <w:t>数据准备</w:t>
      </w:r>
      <w:r>
        <w:tab/>
      </w:r>
      <w:r>
        <w:fldChar w:fldCharType="begin"/>
      </w:r>
      <w:r>
        <w:instrText xml:space="preserve"> PAGEREF _Toc710317704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"_Toc958334974" </w:instrText>
      </w:r>
      <w:r>
        <w:fldChar w:fldCharType="separate"/>
      </w:r>
      <w:r>
        <w:rPr>
          <w:rFonts w:hint="eastAsia" w:ascii="楷体" w:hAnsi="楷体"/>
          <w:szCs w:val="28"/>
        </w:rPr>
        <w:t>（一）</w:t>
      </w:r>
      <w:r>
        <w:rPr>
          <w:rFonts w:ascii="楷体" w:hAnsi="楷体"/>
          <w:szCs w:val="28"/>
        </w:rPr>
        <w:t>证券行情信息和证券信息</w:t>
      </w:r>
      <w:r>
        <w:tab/>
      </w:r>
      <w:r>
        <w:fldChar w:fldCharType="begin"/>
      </w:r>
      <w:r>
        <w:instrText xml:space="preserve"> PAGEREF _Toc958334974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"_Toc1332879029" </w:instrText>
      </w:r>
      <w:r>
        <w:fldChar w:fldCharType="separate"/>
      </w:r>
      <w:r>
        <w:rPr>
          <w:rFonts w:hint="eastAsia" w:ascii="楷体" w:hAnsi="楷体"/>
          <w:szCs w:val="28"/>
        </w:rPr>
        <w:t>（二）</w:t>
      </w:r>
      <w:r>
        <w:rPr>
          <w:rFonts w:ascii="楷体" w:hAnsi="楷体"/>
          <w:szCs w:val="28"/>
        </w:rPr>
        <w:t>证券账户、交易单元、托管单元及持仓</w:t>
      </w:r>
      <w:r>
        <w:tab/>
      </w:r>
      <w:r>
        <w:fldChar w:fldCharType="begin"/>
      </w:r>
      <w:r>
        <w:instrText xml:space="preserve"> PAGEREF _Toc1332879029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"_Toc403446549" </w:instrText>
      </w:r>
      <w:r>
        <w:fldChar w:fldCharType="separate"/>
      </w:r>
      <w:r>
        <w:rPr>
          <w:rFonts w:hint="eastAsia" w:ascii="楷体" w:hAnsi="楷体"/>
          <w:szCs w:val="28"/>
        </w:rPr>
        <w:t>（三）</w:t>
      </w:r>
      <w:r>
        <w:rPr>
          <w:rFonts w:ascii="楷体" w:hAnsi="楷体"/>
          <w:szCs w:val="28"/>
        </w:rPr>
        <w:t>交易网关、行情网关和结算网关</w:t>
      </w:r>
      <w:r>
        <w:tab/>
      </w:r>
      <w:r>
        <w:fldChar w:fldCharType="begin"/>
      </w:r>
      <w:r>
        <w:instrText xml:space="preserve"> PAGEREF _Toc403446549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"_Toc1918485965" </w:instrText>
      </w:r>
      <w:r>
        <w:fldChar w:fldCharType="separate"/>
      </w:r>
      <w:r>
        <w:rPr>
          <w:szCs w:val="28"/>
        </w:rPr>
        <w:t>（四）FDEP小站</w:t>
      </w:r>
      <w:r>
        <w:tab/>
      </w:r>
      <w:r>
        <w:fldChar w:fldCharType="begin"/>
      </w:r>
      <w:r>
        <w:instrText xml:space="preserve"> PAGEREF _Toc1918485965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"_Toc226745582" </w:instrText>
      </w:r>
      <w:r>
        <w:fldChar w:fldCharType="separate"/>
      </w:r>
      <w:r>
        <w:rPr>
          <w:rFonts w:hint="eastAsia"/>
        </w:rPr>
        <w:t>八、全网测试</w:t>
      </w:r>
      <w:r>
        <w:t>系统接入方式</w:t>
      </w:r>
      <w:r>
        <w:tab/>
      </w:r>
      <w:r>
        <w:fldChar w:fldCharType="begin"/>
      </w:r>
      <w:r>
        <w:instrText xml:space="preserve"> PAGEREF _Toc226745582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"_Toc1455827152" </w:instrText>
      </w:r>
      <w:r>
        <w:fldChar w:fldCharType="separate"/>
      </w:r>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_Toc1455827152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"_Toc542794897" </w:instrText>
      </w:r>
      <w:r>
        <w:fldChar w:fldCharType="separate"/>
      </w:r>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_Toc542794897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"_Toc621721967" </w:instrText>
      </w:r>
      <w:r>
        <w:fldChar w:fldCharType="separate"/>
      </w:r>
      <w:r>
        <w:rPr>
          <w:rFonts w:hint="eastAsia"/>
          <w:szCs w:val="28"/>
        </w:rPr>
        <w:t>（三）</w:t>
      </w:r>
      <w:r>
        <w:rPr>
          <w:szCs w:val="28"/>
        </w:rPr>
        <w:t>测试相关软件下载</w:t>
      </w:r>
      <w:r>
        <w:tab/>
      </w:r>
      <w:r>
        <w:fldChar w:fldCharType="begin"/>
      </w:r>
      <w:r>
        <w:instrText xml:space="preserve"> PAGEREF _Toc621721967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"_Toc300588387" </w:instrText>
      </w:r>
      <w:r>
        <w:fldChar w:fldCharType="separate"/>
      </w:r>
      <w:r>
        <w:rPr>
          <w:rFonts w:hint="eastAsia"/>
        </w:rPr>
        <w:t>九、</w:t>
      </w:r>
      <w:r>
        <w:t>测试要求及注意事项</w:t>
      </w:r>
      <w:r>
        <w:tab/>
      </w:r>
      <w:r>
        <w:fldChar w:fldCharType="begin"/>
      </w:r>
      <w:r>
        <w:instrText xml:space="preserve"> PAGEREF _Toc300588387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"_Toc1222281167" </w:instrText>
      </w:r>
      <w:r>
        <w:fldChar w:fldCharType="separate"/>
      </w:r>
      <w:r>
        <w:t>十</w:t>
      </w:r>
      <w:r>
        <w:rPr>
          <w:rFonts w:hint="eastAsia"/>
        </w:rPr>
        <w:t>、</w:t>
      </w:r>
      <w:r>
        <w:t>联系方式</w:t>
      </w:r>
      <w:r>
        <w:tab/>
      </w:r>
      <w:r>
        <w:fldChar w:fldCharType="begin"/>
      </w:r>
      <w:r>
        <w:instrText xml:space="preserve"> PAGEREF _Toc1222281167 </w:instrText>
      </w:r>
      <w:r>
        <w:fldChar w:fldCharType="separate"/>
      </w:r>
      <w:r>
        <w:t>- 12 -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1923549958"/>
      <w:bookmarkStart w:id="2" w:name="_Toc374381911"/>
      <w:bookmarkStart w:id="3" w:name="_Toc375070721"/>
      <w:bookmarkStart w:id="4" w:name="_Toc374957903"/>
      <w:bookmarkStart w:id="5" w:name="_Toc375557957"/>
      <w:bookmarkStart w:id="6" w:name="_Toc1748422228"/>
      <w:bookmarkStart w:id="7" w:name="_Toc376285219"/>
      <w:bookmarkStart w:id="8" w:name="_Toc376597516"/>
      <w:bookmarkStart w:id="9" w:name="_Toc374381845"/>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验证北京证券交易所存量上市公司证券代码切换（以下简称“代码切换”）准备情况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、中证指数有限公司（以下简称“中证指数”）等</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各参与者请认真阅读本测试方案，在测试过程中按照要求进行充分测试。</w:t>
      </w:r>
    </w:p>
    <w:p>
      <w:pPr>
        <w:pStyle w:val="73"/>
        <w:spacing w:before="163" w:after="163"/>
        <w:ind w:firstLine="600"/>
      </w:pPr>
      <w:bookmarkStart w:id="11" w:name="_Toc374381912"/>
      <w:bookmarkStart w:id="12" w:name="_Toc374957904"/>
      <w:bookmarkStart w:id="13" w:name="_Toc376597517"/>
      <w:bookmarkStart w:id="14" w:name="_Toc375070722"/>
      <w:bookmarkStart w:id="15" w:name="_Toc375557958"/>
      <w:bookmarkStart w:id="16" w:name="_Toc376285220"/>
      <w:bookmarkStart w:id="17" w:name="_Toc374381846"/>
      <w:bookmarkStart w:id="18" w:name="_Toc1894743054"/>
      <w:bookmarkStart w:id="19" w:name="_Toc188572611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中证指数有限公司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其他会管机构</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73"/>
        <w:spacing w:before="163" w:after="163"/>
        <w:ind w:firstLine="600"/>
      </w:pPr>
      <w:bookmarkStart w:id="20" w:name="_Toc374381850"/>
      <w:bookmarkStart w:id="21" w:name="_Toc375070726"/>
      <w:bookmarkStart w:id="22" w:name="_Toc376597521"/>
      <w:bookmarkStart w:id="23" w:name="_Toc300216207"/>
      <w:bookmarkStart w:id="24" w:name="_Toc376285224"/>
      <w:bookmarkStart w:id="25" w:name="_Toc374957908"/>
      <w:bookmarkStart w:id="26" w:name="_Toc257742172"/>
      <w:bookmarkStart w:id="27" w:name="_Toc375557962"/>
      <w:bookmarkStart w:id="28" w:name="_Toc374381916"/>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中证指数全网测试环境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其他会管机构相关测试环境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73"/>
        <w:spacing w:before="163" w:after="163"/>
        <w:ind w:firstLine="600"/>
      </w:pPr>
      <w:bookmarkStart w:id="29" w:name="_Toc1647921772"/>
      <w:bookmarkStart w:id="30" w:name="_Toc1183419127"/>
      <w:r>
        <w:rPr>
          <w:rFonts w:hint="eastAsia"/>
        </w:rPr>
        <w:t>四、全网测试</w:t>
      </w:r>
      <w:r>
        <w:t>时间安排</w:t>
      </w:r>
      <w:bookmarkEnd w:id="29"/>
      <w:bookmarkEnd w:id="3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全网测试日期：2025年4月12日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拟于4月12日11：00前模拟代码切换，11：00后模拟切换后首个交易日：11:00至17:00模拟日间交易，17:00至20:00模拟日终处理。</w:t>
      </w:r>
    </w:p>
    <w:tbl>
      <w:tblPr>
        <w:tblStyle w:val="37"/>
        <w:tblW w:w="8505" w:type="dxa"/>
        <w:jc w:val="center"/>
        <w:tblLayout w:type="fixed"/>
        <w:tblCellMar>
          <w:top w:w="0" w:type="dxa"/>
          <w:left w:w="108" w:type="dxa"/>
          <w:bottom w:w="0" w:type="dxa"/>
          <w:right w:w="108" w:type="dxa"/>
        </w:tblCellMar>
      </w:tblPr>
      <w:tblGrid>
        <w:gridCol w:w="1174"/>
        <w:gridCol w:w="1929"/>
        <w:gridCol w:w="937"/>
        <w:gridCol w:w="937"/>
        <w:gridCol w:w="1176"/>
        <w:gridCol w:w="1176"/>
        <w:gridCol w:w="1176"/>
      </w:tblGrid>
      <w:tr>
        <w:tblPrEx>
          <w:tblCellMar>
            <w:top w:w="0" w:type="dxa"/>
            <w:left w:w="108" w:type="dxa"/>
            <w:bottom w:w="0" w:type="dxa"/>
            <w:right w:w="108" w:type="dxa"/>
          </w:tblCellMar>
        </w:tblPrEx>
        <w:trPr>
          <w:trHeight w:val="345" w:hRule="atLeast"/>
          <w:jc w:val="center"/>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交易时段</w:t>
            </w:r>
          </w:p>
        </w:tc>
        <w:tc>
          <w:tcPr>
            <w:tcW w:w="1929"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北交所连续竞价（</w:t>
            </w:r>
            <w:r>
              <w:rPr>
                <w:rStyle w:val="106"/>
                <w:color w:val="auto"/>
                <w:lang w:bidi="ar"/>
              </w:rPr>
              <w:t>含融资融券、北交所做市交易）</w:t>
            </w:r>
          </w:p>
        </w:tc>
        <w:tc>
          <w:tcPr>
            <w:tcW w:w="1874" w:type="dxa"/>
            <w:gridSpan w:val="2"/>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公开发行</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要约</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优先股</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定向可转债</w:t>
            </w:r>
          </w:p>
        </w:tc>
      </w:tr>
      <w:tr>
        <w:tblPrEx>
          <w:tblCellMar>
            <w:top w:w="0" w:type="dxa"/>
            <w:left w:w="108" w:type="dxa"/>
            <w:bottom w:w="0" w:type="dxa"/>
            <w:right w:w="108" w:type="dxa"/>
          </w:tblCellMar>
        </w:tblPrEx>
        <w:trPr>
          <w:trHeight w:val="1200" w:hRule="atLeast"/>
          <w:jc w:val="center"/>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929"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询价</w:t>
            </w: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申购</w:t>
            </w: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kern w:val="0"/>
                <w:szCs w:val="24"/>
                <w:lang w:bidi="ar"/>
              </w:rPr>
              <w:t>11</w:t>
            </w:r>
            <w:r>
              <w:rPr>
                <w:rFonts w:eastAsia="宋体" w:cs="Times New Roman"/>
                <w:kern w:val="0"/>
                <w:szCs w:val="24"/>
                <w:lang w:bidi="ar"/>
              </w:rPr>
              <w:t>:</w:t>
            </w:r>
            <w:r>
              <w:rPr>
                <w:rFonts w:hint="eastAsia" w:eastAsia="宋体" w:cs="Times New Roman"/>
                <w:kern w:val="0"/>
                <w:szCs w:val="24"/>
                <w:lang w:bidi="ar"/>
              </w:rPr>
              <w:t>0</w:t>
            </w:r>
            <w:r>
              <w:rPr>
                <w:rFonts w:eastAsia="宋体" w:cs="Times New Roman"/>
                <w:kern w:val="0"/>
                <w:szCs w:val="24"/>
                <w:lang w:bidi="ar"/>
              </w:rPr>
              <w:t>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下发初始行情</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kern w:val="0"/>
                <w:szCs w:val="24"/>
                <w:lang w:bidi="ar"/>
              </w:rPr>
              <w:t>11</w:t>
            </w:r>
            <w:r>
              <w:rPr>
                <w:rFonts w:eastAsia="宋体" w:cs="Times New Roman"/>
                <w:kern w:val="0"/>
                <w:szCs w:val="24"/>
                <w:lang w:bidi="ar"/>
              </w:rPr>
              <w:t>:15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kern w:val="0"/>
                <w:szCs w:val="24"/>
                <w:lang w:bidi="ar"/>
              </w:rPr>
              <w:t>11</w:t>
            </w:r>
            <w:r>
              <w:rPr>
                <w:rFonts w:eastAsia="宋体" w:cs="Times New Roman"/>
                <w:kern w:val="0"/>
                <w:szCs w:val="24"/>
                <w:lang w:bidi="ar"/>
              </w:rPr>
              <w:t>:25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76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kern w:val="0"/>
                <w:szCs w:val="24"/>
                <w:lang w:bidi="ar"/>
              </w:rPr>
            </w:pPr>
            <w:r>
              <w:rPr>
                <w:rFonts w:hint="eastAsia" w:eastAsia="宋体" w:cs="Times New Roman"/>
                <w:kern w:val="0"/>
                <w:szCs w:val="24"/>
                <w:lang w:bidi="ar"/>
              </w:rPr>
              <w:t>11</w:t>
            </w:r>
            <w:r>
              <w:rPr>
                <w:rFonts w:eastAsia="宋体" w:cs="Times New Roman"/>
                <w:kern w:val="0"/>
                <w:szCs w:val="24"/>
                <w:lang w:bidi="ar"/>
              </w:rPr>
              <w:t>:30</w:t>
            </w:r>
            <w:r>
              <w:rPr>
                <w:rFonts w:hint="eastAsia" w:eastAsia="宋体" w:cs="Times New Roman"/>
                <w:kern w:val="0"/>
                <w:szCs w:val="24"/>
                <w:lang w:bidi="ar"/>
              </w:rPr>
              <w:t>-</w:t>
            </w:r>
          </w:p>
          <w:p>
            <w:pPr>
              <w:ind w:firstLine="0" w:firstLineChars="0"/>
              <w:jc w:val="both"/>
              <w:textAlignment w:val="center"/>
              <w:rPr>
                <w:rFonts w:eastAsia="宋体" w:cs="Times New Roman"/>
                <w:szCs w:val="24"/>
              </w:rPr>
            </w:pPr>
            <w:r>
              <w:rPr>
                <w:rFonts w:hint="eastAsia" w:eastAsia="宋体" w:cs="Times New Roman"/>
                <w:kern w:val="0"/>
                <w:szCs w:val="24"/>
                <w:lang w:bidi="ar"/>
              </w:rPr>
              <w:t>13:30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w:t>
            </w:r>
            <w:r>
              <w:rPr>
                <w:rStyle w:val="107"/>
                <w:color w:val="auto"/>
                <w:lang w:bidi="ar"/>
              </w:rPr>
              <w:t>、定价申报、互报成交确认申报</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3</w:t>
            </w:r>
            <w:r>
              <w:rPr>
                <w:rFonts w:eastAsia="宋体" w:cs="Times New Roman"/>
                <w:kern w:val="0"/>
                <w:szCs w:val="24"/>
                <w:lang w:bidi="ar"/>
              </w:rPr>
              <w:t>:30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中午休市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3</w:t>
            </w:r>
            <w:r>
              <w:rPr>
                <w:rFonts w:eastAsia="宋体" w:cs="Times New Roman"/>
                <w:kern w:val="0"/>
                <w:szCs w:val="24"/>
                <w:lang w:bidi="ar"/>
              </w:rPr>
              <w:t>:</w:t>
            </w:r>
            <w:r>
              <w:rPr>
                <w:rFonts w:hint="eastAsia" w:eastAsia="宋体" w:cs="Times New Roman"/>
                <w:kern w:val="0"/>
                <w:szCs w:val="24"/>
                <w:lang w:bidi="ar"/>
              </w:rPr>
              <w:t>35</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下午开市</w:t>
            </w:r>
          </w:p>
        </w:tc>
      </w:tr>
      <w:tr>
        <w:tblPrEx>
          <w:tblCellMar>
            <w:top w:w="0" w:type="dxa"/>
            <w:left w:w="108" w:type="dxa"/>
            <w:bottom w:w="0" w:type="dxa"/>
            <w:right w:w="108" w:type="dxa"/>
          </w:tblCellMar>
        </w:tblPrEx>
        <w:trPr>
          <w:trHeight w:val="1960" w:hRule="atLeast"/>
          <w:jc w:val="center"/>
        </w:trPr>
        <w:tc>
          <w:tcPr>
            <w:tcW w:w="1174" w:type="dxa"/>
            <w:vMerge w:val="restart"/>
            <w:tcBorders>
              <w:top w:val="nil"/>
              <w:left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hint="eastAsia" w:eastAsia="宋体" w:cs="Times New Roman"/>
                <w:szCs w:val="24"/>
              </w:rPr>
              <w:t>13:35-</w:t>
            </w:r>
          </w:p>
          <w:p>
            <w:pPr>
              <w:ind w:firstLine="0" w:firstLineChars="0"/>
              <w:jc w:val="both"/>
              <w:textAlignment w:val="center"/>
              <w:rPr>
                <w:rFonts w:eastAsia="宋体" w:cs="Times New Roman"/>
                <w:szCs w:val="24"/>
              </w:rPr>
            </w:pPr>
            <w:r>
              <w:rPr>
                <w:rFonts w:hint="eastAsia" w:eastAsia="宋体" w:cs="Times New Roman"/>
                <w:szCs w:val="24"/>
              </w:rPr>
              <w:t>16:30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645" w:hRule="atLeast"/>
          <w:jc w:val="center"/>
        </w:trPr>
        <w:tc>
          <w:tcPr>
            <w:tcW w:w="1174" w:type="dxa"/>
            <w:vMerge w:val="continue"/>
            <w:tcBorders>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kern w:val="0"/>
                <w:szCs w:val="24"/>
                <w:lang w:bidi="ar"/>
              </w:rPr>
            </w:pPr>
            <w:r>
              <w:rPr>
                <w:rFonts w:eastAsia="宋体" w:cs="Times New Roman"/>
                <w:kern w:val="0"/>
                <w:szCs w:val="24"/>
                <w:lang w:bidi="ar"/>
              </w:rPr>
              <w:t>1</w:t>
            </w:r>
            <w:r>
              <w:rPr>
                <w:rFonts w:hint="eastAsia" w:eastAsia="宋体" w:cs="Times New Roman"/>
                <w:kern w:val="0"/>
                <w:szCs w:val="24"/>
                <w:lang w:bidi="ar"/>
              </w:rPr>
              <w:t>6:30</w:t>
            </w:r>
            <w:r>
              <w:rPr>
                <w:rFonts w:eastAsia="宋体" w:cs="Times New Roman"/>
                <w:kern w:val="0"/>
                <w:szCs w:val="24"/>
                <w:lang w:bidi="ar"/>
              </w:rPr>
              <w:t>-</w:t>
            </w:r>
          </w:p>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7:00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7:00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闭市</w:t>
            </w:r>
          </w:p>
        </w:tc>
      </w:tr>
    </w:tbl>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测试流程安排参考《北京证券交易所存量上市公司证券代码切换试点阶段实施市场指南（V1.0）（征求意见稿）》。代码切换当日，北交所按照数据接口规范重新发送新代码的业务数据供市场机构核对。重新发送文件列表和预计发送时间如下：</w:t>
      </w:r>
    </w:p>
    <w:tbl>
      <w:tblPr>
        <w:tblStyle w:val="38"/>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811"/>
        <w:gridCol w:w="342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序号</w:t>
            </w:r>
          </w:p>
        </w:tc>
        <w:tc>
          <w:tcPr>
            <w:tcW w:w="3811"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文件名称</w:t>
            </w:r>
          </w:p>
        </w:tc>
        <w:tc>
          <w:tcPr>
            <w:tcW w:w="3423"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文件描述</w:t>
            </w:r>
          </w:p>
        </w:tc>
        <w:tc>
          <w:tcPr>
            <w:tcW w:w="1479" w:type="dxa"/>
            <w:shd w:val="clear" w:color="auto" w:fill="E7E6E6" w:themeFill="background2"/>
            <w:vAlign w:val="center"/>
          </w:tcPr>
          <w:p>
            <w:pPr>
              <w:ind w:firstLine="0" w:firstLineChars="0"/>
              <w:jc w:val="center"/>
              <w:rPr>
                <w:rFonts w:ascii="楷体" w:hAnsi="楷体" w:eastAsia="楷体"/>
                <w:b/>
                <w:szCs w:val="24"/>
              </w:rPr>
            </w:pPr>
            <w:r>
              <w:rPr>
                <w:rFonts w:hint="eastAsia" w:ascii="楷体" w:hAnsi="楷体" w:eastAsia="楷体"/>
                <w:b/>
                <w:szCs w:val="24"/>
              </w:rPr>
              <w:t>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1</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NQSXTZZ.DBF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受限投资者可交易证券信息库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2</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NQFC.DBF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分层信息库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3</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NQDGD.DBF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大股东信息库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4</w:t>
            </w:r>
          </w:p>
        </w:tc>
        <w:tc>
          <w:tcPr>
            <w:tcW w:w="3811"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NQDJG.DBF</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kern w:val="0"/>
                <w:szCs w:val="24"/>
              </w:rPr>
              <w:t>董监高库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5</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rPr>
              <w:t>NQDBWJZD</w:t>
            </w:r>
            <w:r>
              <w:rPr>
                <w:rFonts w:hint="eastAsia" w:eastAsia="方正仿宋_GBK" w:cs="方正仿宋_GBK"/>
                <w:szCs w:val="24"/>
                <w:lang w:val="en"/>
              </w:rPr>
              <w:t>.DBF</w:t>
            </w:r>
          </w:p>
        </w:tc>
        <w:tc>
          <w:tcPr>
            <w:tcW w:w="342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担保物集中度</w:t>
            </w:r>
            <w:r>
              <w:rPr>
                <w:rFonts w:hint="eastAsia" w:eastAsia="方正仿宋_GBK" w:cs="方正仿宋_GBK"/>
                <w:szCs w:val="24"/>
              </w:rPr>
              <w:t>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6</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NQXX</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证券信息库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163"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7</w:t>
            </w:r>
          </w:p>
        </w:tc>
        <w:tc>
          <w:tcPr>
            <w:tcW w:w="3811" w:type="dxa"/>
            <w:vAlign w:val="center"/>
          </w:tcPr>
          <w:p>
            <w:pPr>
              <w:spacing w:line="600" w:lineRule="exact"/>
              <w:ind w:firstLine="0" w:firstLineChars="0"/>
              <w:jc w:val="center"/>
              <w:rPr>
                <w:rFonts w:eastAsia="方正仿宋_GBK" w:cs="方正仿宋_GBK"/>
                <w:szCs w:val="24"/>
                <w:lang w:val="en"/>
              </w:rPr>
            </w:pPr>
            <w:r>
              <w:rPr>
                <w:rFonts w:hint="eastAsia" w:eastAsia="方正仿宋_GBK" w:cs="方正仿宋_GBK"/>
                <w:szCs w:val="24"/>
                <w:lang w:val="en"/>
              </w:rPr>
              <w:t>NQHQ</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证券行情库</w:t>
            </w:r>
          </w:p>
        </w:tc>
        <w:tc>
          <w:tcPr>
            <w:tcW w:w="1479" w:type="dxa"/>
            <w:vAlign w:val="center"/>
          </w:tcPr>
          <w:p>
            <w:pPr>
              <w:spacing w:line="600" w:lineRule="exact"/>
              <w:ind w:firstLine="0" w:firstLineChars="0"/>
              <w:jc w:val="center"/>
              <w:rPr>
                <w:rFonts w:eastAsia="方正仿宋_GBK" w:cs="方正仿宋_GBK"/>
                <w:szCs w:val="24"/>
              </w:rPr>
            </w:pPr>
            <w:r>
              <w:rPr>
                <w:rFonts w:hint="eastAsia" w:eastAsia="方正仿宋_GBK" w:cs="方正仿宋_GBK"/>
                <w:szCs w:val="24"/>
              </w:rPr>
              <w:t>8</w:t>
            </w:r>
            <w:r>
              <w:rPr>
                <w:rFonts w:hint="eastAsia" w:eastAsia="方正仿宋_GBK" w:cs="方正仿宋_GBK"/>
                <w:szCs w:val="24"/>
                <w:lang w:val="en"/>
              </w:rPr>
              <w:t>:00前</w:t>
            </w:r>
          </w:p>
        </w:tc>
      </w:tr>
    </w:tbl>
    <w:p>
      <w:pPr>
        <w:pStyle w:val="73"/>
        <w:spacing w:before="163" w:after="163"/>
        <w:ind w:firstLine="600"/>
      </w:pPr>
      <w:bookmarkStart w:id="31" w:name="_Toc376597522"/>
      <w:bookmarkStart w:id="32" w:name="_Toc1455581406"/>
      <w:bookmarkStart w:id="33" w:name="_Toc1666182100"/>
      <w:r>
        <w:rPr>
          <w:rFonts w:hint="eastAsia"/>
        </w:rPr>
        <w:t>五、全网测试</w:t>
      </w:r>
      <w:r>
        <w:t>内容</w:t>
      </w:r>
      <w:bookmarkEnd w:id="31"/>
      <w:bookmarkEnd w:id="32"/>
      <w:bookmarkEnd w:id="3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验证各参测机构技术系统已完成代码切换相关改造，达到上线要求。</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正确完成持仓等代码切换。代码切换完成后，</w:t>
      </w:r>
      <w:r>
        <w:rPr>
          <w:rFonts w:cs="Times New Roman"/>
          <w:color w:val="000000" w:themeColor="text1"/>
          <w:sz w:val="30"/>
          <w:szCs w:val="30"/>
          <w14:textFill>
            <w14:solidFill>
              <w14:schemeClr w14:val="tx1"/>
            </w14:solidFill>
          </w14:textFill>
        </w:rPr>
        <w:t>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验证深证通通信系统能够正确转发证券公司的委托数据和北交所的回报和行情数据。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验证中证指数能够正确调整成份股代码并根据北交所行情正确生成指数数据。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验证其他会管机构代码切换涉及系统调整后功能正常。</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基金公司能够按照《关于做好北京证券交易所存量上市公司证券代码切换准备工作的通知》（北证公告〔2024〕231号）要求完成代码切换。代码切换完成后，能够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，所有已开展的业务功能均可正常处理。</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验证各提供北交所行情服务的信息商能够完成代码切换并按照《关于做好北京证券交易所存量上市公司证券代码切换准备工作的通知》（北证公告〔2024〕231号）行情展示相关要求进行代码切换后行情展示等。</w:t>
      </w:r>
      <w:bookmarkStart w:id="34" w:name="_Toc1037702227"/>
    </w:p>
    <w:p>
      <w:pPr>
        <w:pStyle w:val="73"/>
        <w:spacing w:before="163" w:after="163"/>
        <w:ind w:firstLine="600"/>
      </w:pPr>
      <w:bookmarkStart w:id="35" w:name="_Toc1024251806"/>
      <w:r>
        <w:rPr>
          <w:rFonts w:hint="eastAsia"/>
        </w:rPr>
        <w:t>六、测试场景及相关说明</w:t>
      </w:r>
      <w:bookmarkEnd w:id="34"/>
      <w:bookmarkEnd w:id="35"/>
    </w:p>
    <w:p>
      <w:pPr>
        <w:pStyle w:val="74"/>
        <w:numPr>
          <w:ilvl w:val="0"/>
          <w:numId w:val="7"/>
        </w:numPr>
        <w:spacing w:before="163" w:after="163"/>
        <w:ind w:firstLineChars="0"/>
      </w:pPr>
      <w:bookmarkStart w:id="36" w:name="_Toc912901240"/>
      <w:bookmarkStart w:id="37" w:name="_Toc221508924"/>
      <w:r>
        <w:rPr>
          <w:rFonts w:hint="eastAsia"/>
        </w:rPr>
        <w:t>拟切换股票新旧代码对照</w:t>
      </w:r>
      <w:bookmarkEnd w:id="36"/>
      <w:bookmarkEnd w:id="37"/>
    </w:p>
    <w:p>
      <w:pPr>
        <w:spacing w:line="240" w:lineRule="auto"/>
        <w:ind w:firstLine="600"/>
        <w:jc w:val="both"/>
      </w:pPr>
      <w:r>
        <w:rPr>
          <w:rFonts w:hint="eastAsia" w:cs="Times New Roman"/>
          <w:color w:val="000000" w:themeColor="text1"/>
          <w:sz w:val="30"/>
          <w:szCs w:val="30"/>
          <w14:textFill>
            <w14:solidFill>
              <w14:schemeClr w14:val="tx1"/>
            </w14:solidFill>
          </w14:textFill>
        </w:rPr>
        <w:t>本次测试拟切换股票以北交所官网发布的北交所存量上市公司代码切换试点股票名单为准。</w:t>
      </w:r>
    </w:p>
    <w:p>
      <w:pPr>
        <w:pStyle w:val="74"/>
        <w:numPr>
          <w:ilvl w:val="0"/>
          <w:numId w:val="7"/>
        </w:numPr>
        <w:spacing w:before="163" w:after="163"/>
        <w:ind w:firstLineChars="0"/>
      </w:pPr>
      <w:bookmarkStart w:id="38" w:name="_Toc1155370446"/>
      <w:r>
        <w:rPr>
          <w:rFonts w:hint="eastAsia"/>
        </w:rPr>
        <w:t>日常业务测试场景及测试时间安排</w:t>
      </w:r>
      <w:bookmarkEnd w:id="3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本次</w:t>
      </w:r>
      <w:r>
        <w:rPr>
          <w:rFonts w:cs="Times New Roman"/>
          <w:color w:val="000000" w:themeColor="text1"/>
          <w:sz w:val="30"/>
          <w:szCs w:val="30"/>
          <w14:textFill>
            <w14:solidFill>
              <w14:schemeClr w14:val="tx1"/>
            </w14:solidFill>
          </w14:textFill>
        </w:rPr>
        <w:t>测试不单独设置</w:t>
      </w:r>
      <w:r>
        <w:rPr>
          <w:rFonts w:hint="eastAsia" w:cs="Times New Roman"/>
          <w:color w:val="000000" w:themeColor="text1"/>
          <w:sz w:val="30"/>
          <w:szCs w:val="30"/>
          <w14:textFill>
            <w14:solidFill>
              <w14:schemeClr w14:val="tx1"/>
            </w14:solidFill>
          </w14:textFill>
        </w:rPr>
        <w:t>日常业务</w:t>
      </w:r>
      <w:r>
        <w:rPr>
          <w:rFonts w:cs="Times New Roman"/>
          <w:color w:val="000000" w:themeColor="text1"/>
          <w:sz w:val="30"/>
          <w:szCs w:val="30"/>
          <w14:textFill>
            <w14:solidFill>
              <w14:schemeClr w14:val="tx1"/>
            </w14:solidFill>
          </w14:textFill>
        </w:rPr>
        <w:t>测试场景</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所有场景以</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4月14日（周一）生产环境生效的业务场景为准</w:t>
      </w:r>
      <w:r>
        <w:rPr>
          <w:rFonts w:cs="Times New Roman"/>
          <w:color w:val="000000" w:themeColor="text1"/>
          <w:sz w:val="30"/>
          <w:szCs w:val="30"/>
          <w14:textFill>
            <w14:solidFill>
              <w14:schemeClr w14:val="tx1"/>
            </w14:solidFill>
          </w14:textFill>
        </w:rPr>
        <w:t>。</w:t>
      </w:r>
    </w:p>
    <w:p>
      <w:pPr>
        <w:pStyle w:val="74"/>
        <w:numPr>
          <w:ilvl w:val="0"/>
          <w:numId w:val="7"/>
        </w:numPr>
        <w:spacing w:before="163" w:after="163"/>
        <w:ind w:firstLineChars="0"/>
      </w:pPr>
      <w:bookmarkStart w:id="39" w:name="_Toc1122960603"/>
      <w:bookmarkStart w:id="40" w:name="_Toc836006634"/>
      <w:r>
        <w:rPr>
          <w:rFonts w:hint="eastAsia"/>
        </w:rPr>
        <w:t>测试要求和说明</w:t>
      </w:r>
      <w:bookmarkEnd w:id="39"/>
      <w:bookmarkEnd w:id="4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代码切换后，上市公司主体身份的连续性、投资者权益及相关业务办理的连续性不受影响。</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北交所做市权限将由旧代码切换至新代码。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参测机构需满足《关于做好北京证券交易所存量上市公司证券代码切换准备工作的通知》（北证公告〔2024〕231号）中其余所有要求。</w:t>
      </w:r>
    </w:p>
    <w:p>
      <w:pPr>
        <w:pStyle w:val="2"/>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240" w:lineRule="auto"/>
        <w:ind w:firstLine="600"/>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spacing w:before="163" w:after="163"/>
        <w:ind w:firstLine="600"/>
      </w:pPr>
      <w:bookmarkStart w:id="41" w:name="_Toc710317704"/>
      <w:bookmarkStart w:id="42" w:name="_Toc652945123"/>
      <w:r>
        <w:rPr>
          <w:rFonts w:hint="eastAsia"/>
        </w:rPr>
        <w:t>七、全网测试</w:t>
      </w:r>
      <w:r>
        <w:t>数据准备</w:t>
      </w:r>
      <w:bookmarkEnd w:id="41"/>
      <w:bookmarkEnd w:id="42"/>
    </w:p>
    <w:p>
      <w:pPr>
        <w:pStyle w:val="73"/>
        <w:widowControl w:val="0"/>
        <w:spacing w:before="163" w:after="163" w:line="600" w:lineRule="exact"/>
        <w:ind w:firstLine="560"/>
        <w:rPr>
          <w:rFonts w:ascii="楷体" w:hAnsi="楷体" w:eastAsia="楷体"/>
          <w:sz w:val="28"/>
          <w:szCs w:val="28"/>
        </w:rPr>
      </w:pPr>
      <w:bookmarkStart w:id="43" w:name="_Toc502217616"/>
      <w:bookmarkStart w:id="44" w:name="_Toc958334974"/>
      <w:bookmarkStart w:id="45" w:name="_Toc90935432"/>
      <w:bookmarkStart w:id="46" w:name="_Toc583442579"/>
      <w:bookmarkStart w:id="47" w:name="_Toc12033606"/>
      <w:bookmarkStart w:id="48" w:name="_Toc244309874"/>
      <w:bookmarkStart w:id="49" w:name="_Toc2132387384"/>
      <w:bookmarkStart w:id="50" w:name="_Toc1160428971"/>
      <w:bookmarkStart w:id="51" w:name="_Toc1763740745"/>
      <w:bookmarkStart w:id="52" w:name="_Toc25940495"/>
      <w:bookmarkStart w:id="53" w:name="_Toc502216522"/>
      <w:bookmarkStart w:id="54" w:name="_Toc374381928"/>
      <w:bookmarkStart w:id="55" w:name="_Toc375070738"/>
      <w:bookmarkStart w:id="56" w:name="_Toc374957920"/>
      <w:bookmarkStart w:id="57" w:name="_Toc375557974"/>
      <w:bookmarkStart w:id="58" w:name="_Toc376597526"/>
      <w:bookmarkStart w:id="59" w:name="_Toc1386646997"/>
      <w:bookmarkStart w:id="60" w:name="_Toc376285233"/>
      <w:bookmarkStart w:id="61" w:name="_Toc374381862"/>
      <w:r>
        <w:rPr>
          <w:rFonts w:hint="eastAsia" w:ascii="楷体" w:hAnsi="楷体" w:eastAsia="楷体"/>
          <w:sz w:val="28"/>
          <w:szCs w:val="28"/>
        </w:rPr>
        <w:t>（一）</w:t>
      </w:r>
      <w:r>
        <w:rPr>
          <w:rFonts w:ascii="楷体" w:hAnsi="楷体" w:eastAsia="楷体"/>
          <w:sz w:val="28"/>
          <w:szCs w:val="28"/>
        </w:rPr>
        <w:t>证券行情信息和证券信息</w:t>
      </w:r>
      <w:bookmarkEnd w:id="43"/>
      <w:bookmarkEnd w:id="44"/>
      <w:bookmarkEnd w:id="45"/>
      <w:bookmarkEnd w:id="46"/>
      <w:bookmarkEnd w:id="47"/>
      <w:bookmarkEnd w:id="48"/>
      <w:bookmarkEnd w:id="49"/>
      <w:bookmarkEnd w:id="50"/>
      <w:bookmarkEnd w:id="51"/>
      <w:bookmarkEnd w:id="52"/>
      <w:bookmarkEnd w:id="53"/>
    </w:p>
    <w:p>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（2025年4月11日）</w:t>
      </w:r>
      <w:r>
        <w:rPr>
          <w:rFonts w:hint="eastAsia" w:cs="Times New Roman"/>
          <w:sz w:val="30"/>
          <w:szCs w:val="30"/>
        </w:rPr>
        <w:t>交易支持平台生产</w:t>
      </w:r>
      <w:r>
        <w:rPr>
          <w:rFonts w:cs="Times New Roman"/>
          <w:sz w:val="30"/>
          <w:szCs w:val="30"/>
        </w:rPr>
        <w:t>环境收盘行情（NQHQ.DBF）和证券信息（NQXX.DBF）为准。</w:t>
      </w:r>
    </w:p>
    <w:p>
      <w:pPr>
        <w:pStyle w:val="73"/>
        <w:widowControl w:val="0"/>
        <w:spacing w:before="163" w:after="163" w:line="600" w:lineRule="exact"/>
        <w:ind w:firstLine="560"/>
        <w:rPr>
          <w:rFonts w:ascii="楷体" w:hAnsi="楷体" w:eastAsia="楷体"/>
          <w:sz w:val="28"/>
          <w:szCs w:val="28"/>
        </w:rPr>
      </w:pPr>
      <w:bookmarkStart w:id="62" w:name="_Toc439689166"/>
      <w:bookmarkStart w:id="63" w:name="_Toc569342026"/>
      <w:bookmarkStart w:id="64" w:name="_Toc2090309685"/>
      <w:bookmarkStart w:id="65" w:name="_Toc502216523"/>
      <w:bookmarkStart w:id="66" w:name="_Toc502217617"/>
      <w:bookmarkStart w:id="67" w:name="_Toc1255984761"/>
      <w:bookmarkStart w:id="68" w:name="_Toc659676107"/>
      <w:bookmarkStart w:id="69" w:name="_Toc996045584"/>
      <w:bookmarkStart w:id="70" w:name="_Toc1239533139"/>
      <w:bookmarkStart w:id="71" w:name="_Toc1332879029"/>
      <w:bookmarkStart w:id="72" w:name="_Toc565712442"/>
      <w:r>
        <w:rPr>
          <w:rFonts w:hint="eastAsia" w:ascii="楷体" w:hAnsi="楷体" w:eastAsia="楷体"/>
          <w:sz w:val="28"/>
          <w:szCs w:val="28"/>
        </w:rPr>
        <w:t>（二）</w:t>
      </w:r>
      <w:r>
        <w:rPr>
          <w:rFonts w:ascii="楷体" w:hAnsi="楷体" w:eastAsia="楷体"/>
          <w:sz w:val="28"/>
          <w:szCs w:val="28"/>
        </w:rPr>
        <w:t>证券账户、交易单元、托管单元及持仓</w:t>
      </w:r>
      <w:bookmarkEnd w:id="62"/>
      <w:bookmarkEnd w:id="63"/>
      <w:bookmarkEnd w:id="64"/>
      <w:bookmarkEnd w:id="65"/>
      <w:bookmarkEnd w:id="66"/>
      <w:bookmarkEnd w:id="67"/>
      <w:bookmarkEnd w:id="68"/>
      <w:bookmarkEnd w:id="69"/>
      <w:bookmarkEnd w:id="70"/>
      <w:bookmarkEnd w:id="71"/>
      <w:bookmarkEnd w:id="72"/>
    </w:p>
    <w:p>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（2025年4月11日）</w:t>
      </w:r>
      <w:r>
        <w:rPr>
          <w:rFonts w:cs="Times New Roman"/>
          <w:sz w:val="30"/>
          <w:szCs w:val="30"/>
        </w:rPr>
        <w:t>中国结算</w:t>
      </w:r>
      <w:r>
        <w:rPr>
          <w:rFonts w:hint="eastAsia" w:cs="Times New Roman"/>
          <w:sz w:val="30"/>
          <w:szCs w:val="30"/>
        </w:rPr>
        <w:t>生产</w:t>
      </w:r>
      <w:r>
        <w:rPr>
          <w:rFonts w:cs="Times New Roman"/>
          <w:sz w:val="30"/>
          <w:szCs w:val="30"/>
        </w:rPr>
        <w:t>环境日终数据为准</w:t>
      </w:r>
      <w:r>
        <w:rPr>
          <w:rFonts w:hint="eastAsia" w:cs="Times New Roman"/>
          <w:sz w:val="30"/>
          <w:szCs w:val="30"/>
        </w:rPr>
        <w:t>。</w:t>
      </w:r>
    </w:p>
    <w:p>
      <w:pPr>
        <w:pStyle w:val="73"/>
        <w:widowControl w:val="0"/>
        <w:spacing w:before="163" w:after="163" w:line="600" w:lineRule="exact"/>
        <w:ind w:firstLine="560"/>
        <w:rPr>
          <w:rFonts w:ascii="楷体" w:hAnsi="楷体" w:eastAsia="楷体"/>
          <w:sz w:val="28"/>
          <w:szCs w:val="28"/>
        </w:rPr>
      </w:pPr>
      <w:bookmarkStart w:id="73" w:name="_Toc502217622"/>
      <w:bookmarkStart w:id="74" w:name="_Toc120990873"/>
      <w:bookmarkStart w:id="75" w:name="_Toc502216528"/>
      <w:bookmarkStart w:id="76" w:name="_Toc1620748154"/>
      <w:bookmarkStart w:id="77" w:name="_Toc1638636822"/>
      <w:bookmarkStart w:id="78" w:name="_Toc712580437"/>
      <w:bookmarkStart w:id="79" w:name="_Toc960123003"/>
      <w:bookmarkStart w:id="80" w:name="_Toc1262494566"/>
      <w:bookmarkStart w:id="81" w:name="_Toc403446549"/>
      <w:bookmarkStart w:id="82" w:name="_Toc886147810"/>
      <w:bookmarkStart w:id="83" w:name="_Toc168334757"/>
      <w:r>
        <w:rPr>
          <w:rFonts w:hint="eastAsia" w:ascii="楷体" w:hAnsi="楷体" w:eastAsia="楷体"/>
          <w:sz w:val="28"/>
          <w:szCs w:val="28"/>
        </w:rPr>
        <w:t>（三）</w:t>
      </w:r>
      <w:r>
        <w:rPr>
          <w:rFonts w:ascii="楷体" w:hAnsi="楷体" w:eastAsia="楷体"/>
          <w:sz w:val="28"/>
          <w:szCs w:val="28"/>
        </w:rPr>
        <w:t>交易网关、行情网关和结算网关</w:t>
      </w:r>
      <w:bookmarkEnd w:id="73"/>
      <w:bookmarkEnd w:id="74"/>
      <w:bookmarkEnd w:id="75"/>
      <w:bookmarkEnd w:id="76"/>
      <w:bookmarkEnd w:id="77"/>
      <w:bookmarkEnd w:id="78"/>
      <w:bookmarkEnd w:id="79"/>
      <w:bookmarkEnd w:id="80"/>
      <w:bookmarkEnd w:id="81"/>
      <w:bookmarkEnd w:id="82"/>
      <w:bookmarkEnd w:id="83"/>
    </w:p>
    <w:p>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（2025年4月11日）</w:t>
      </w:r>
      <w:r>
        <w:rPr>
          <w:rFonts w:cs="Times New Roman"/>
          <w:sz w:val="30"/>
          <w:szCs w:val="30"/>
        </w:rPr>
        <w:t>深证通</w:t>
      </w:r>
      <w:r>
        <w:rPr>
          <w:rFonts w:hint="eastAsia" w:cs="Times New Roman"/>
          <w:sz w:val="30"/>
          <w:szCs w:val="30"/>
        </w:rPr>
        <w:t>生产</w:t>
      </w:r>
      <w:r>
        <w:rPr>
          <w:rFonts w:cs="Times New Roman"/>
          <w:sz w:val="30"/>
          <w:szCs w:val="30"/>
        </w:rPr>
        <w:t>环境闭市时数据为准。</w:t>
      </w:r>
    </w:p>
    <w:p>
      <w:pPr>
        <w:pStyle w:val="73"/>
        <w:widowControl w:val="0"/>
        <w:spacing w:before="163" w:after="163" w:line="600" w:lineRule="exact"/>
        <w:ind w:firstLine="560"/>
        <w:rPr>
          <w:rFonts w:eastAsia="楷体" w:cs="Times New Roman"/>
          <w:sz w:val="28"/>
          <w:szCs w:val="28"/>
        </w:rPr>
      </w:pPr>
      <w:bookmarkStart w:id="84" w:name="_Toc233371306"/>
      <w:bookmarkStart w:id="85" w:name="_Toc1918485965"/>
      <w:bookmarkStart w:id="86" w:name="_Toc676088891"/>
      <w:bookmarkStart w:id="87" w:name="_Toc386055763"/>
      <w:bookmarkStart w:id="88" w:name="_Toc1913828385"/>
      <w:bookmarkStart w:id="89" w:name="_Toc484947395"/>
      <w:bookmarkStart w:id="90" w:name="_Toc938010188"/>
      <w:bookmarkStart w:id="91" w:name="_Toc1313986375"/>
      <w:bookmarkStart w:id="92" w:name="_Toc640317283"/>
      <w:r>
        <w:rPr>
          <w:rFonts w:eastAsia="楷体" w:cs="Times New Roman"/>
          <w:sz w:val="28"/>
          <w:szCs w:val="28"/>
        </w:rPr>
        <w:t>（四）FDEP小站</w:t>
      </w:r>
      <w:bookmarkEnd w:id="84"/>
      <w:bookmarkEnd w:id="85"/>
      <w:bookmarkEnd w:id="86"/>
      <w:bookmarkEnd w:id="87"/>
      <w:bookmarkEnd w:id="88"/>
      <w:bookmarkEnd w:id="89"/>
      <w:bookmarkEnd w:id="90"/>
      <w:bookmarkEnd w:id="91"/>
      <w:bookmarkEnd w:id="92"/>
    </w:p>
    <w:p>
      <w:pPr>
        <w:widowControl w:val="0"/>
        <w:spacing w:line="60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（2025年4月11日）</w:t>
      </w:r>
      <w:r>
        <w:rPr>
          <w:rFonts w:hint="eastAsia" w:cs="Times New Roman"/>
          <w:sz w:val="30"/>
          <w:szCs w:val="30"/>
        </w:rPr>
        <w:t>深证通生产</w:t>
      </w:r>
      <w:r>
        <w:rPr>
          <w:rFonts w:cs="Times New Roman"/>
          <w:sz w:val="30"/>
          <w:szCs w:val="30"/>
        </w:rPr>
        <w:t>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pStyle w:val="73"/>
        <w:spacing w:before="163" w:after="163"/>
        <w:ind w:firstLine="600"/>
      </w:pPr>
      <w:bookmarkStart w:id="93" w:name="_Toc226745582"/>
      <w:r>
        <w:rPr>
          <w:rFonts w:hint="eastAsia"/>
        </w:rPr>
        <w:t>八、全网测试</w:t>
      </w:r>
      <w:r>
        <w:t>系统接入方式</w:t>
      </w:r>
      <w:bookmarkEnd w:id="54"/>
      <w:bookmarkEnd w:id="55"/>
      <w:bookmarkEnd w:id="56"/>
      <w:bookmarkEnd w:id="57"/>
      <w:bookmarkEnd w:id="58"/>
      <w:bookmarkEnd w:id="59"/>
      <w:bookmarkEnd w:id="60"/>
      <w:bookmarkEnd w:id="61"/>
      <w:bookmarkEnd w:id="93"/>
    </w:p>
    <w:p>
      <w:pPr>
        <w:pStyle w:val="73"/>
        <w:spacing w:before="163" w:after="163"/>
        <w:ind w:firstLine="560"/>
        <w:rPr>
          <w:rFonts w:eastAsia="楷体" w:cs="Times New Roman"/>
          <w:sz w:val="28"/>
          <w:szCs w:val="28"/>
        </w:rPr>
      </w:pPr>
      <w:bookmarkStart w:id="94" w:name="_Toc157623432"/>
      <w:bookmarkStart w:id="95" w:name="_Toc1455827152"/>
      <w:bookmarkStart w:id="96" w:name="_Toc502850310"/>
      <w:bookmarkStart w:id="97" w:name="_Toc416422123"/>
      <w:bookmarkStart w:id="98" w:name="_Toc2081286836"/>
      <w:bookmarkStart w:id="99" w:name="_Toc374957922"/>
      <w:bookmarkStart w:id="100" w:name="_Toc374381864"/>
      <w:bookmarkStart w:id="101" w:name="_Toc375070740"/>
      <w:bookmarkStart w:id="102" w:name="_Toc374381930"/>
      <w:bookmarkStart w:id="103" w:name="_Toc375557976"/>
      <w:bookmarkStart w:id="104" w:name="_Toc376597528"/>
      <w:bookmarkStart w:id="105" w:name="_Toc376285235"/>
      <w:bookmarkStart w:id="106" w:name="_Toc374381932"/>
      <w:bookmarkStart w:id="107" w:name="_Toc374381866"/>
      <w:bookmarkStart w:id="108" w:name="_Toc375070742"/>
      <w:bookmarkStart w:id="109" w:name="_Toc374957924"/>
      <w:bookmarkStart w:id="110" w:name="_Toc376597530"/>
      <w:bookmarkStart w:id="111" w:name="_Toc1509349101"/>
      <w:bookmarkStart w:id="112" w:name="_Toc375557978"/>
      <w:bookmarkStart w:id="113" w:name="_Toc376285237"/>
      <w:r>
        <w:rPr>
          <w:rFonts w:hint="eastAsia" w:eastAsia="楷体" w:cs="Times New Roman"/>
          <w:sz w:val="28"/>
          <w:szCs w:val="28"/>
        </w:rPr>
        <w:t>（一）</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接入深证通</w:t>
      </w:r>
      <w:bookmarkEnd w:id="94"/>
      <w:bookmarkEnd w:id="95"/>
      <w:bookmarkEnd w:id="96"/>
      <w:bookmarkEnd w:id="97"/>
      <w:bookmarkEnd w:id="98"/>
    </w:p>
    <w:p>
      <w:pPr>
        <w:spacing w:line="240" w:lineRule="auto"/>
        <w:ind w:firstLine="600"/>
        <w:jc w:val="both"/>
        <w:rPr>
          <w:rFonts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参测机构通过</w:t>
      </w:r>
      <w:r>
        <w:rPr>
          <w:rFonts w:hint="eastAsia" w:ascii="仿宋" w:hAnsi="仿宋" w:cs="Times New Roman"/>
          <w:color w:val="000000" w:themeColor="text1"/>
          <w:sz w:val="30"/>
          <w:szCs w:val="30"/>
          <w14:textFill>
            <w14:solidFill>
              <w14:schemeClr w14:val="tx1"/>
            </w14:solidFill>
          </w14:textFill>
        </w:rPr>
        <w:t>生产</w:t>
      </w:r>
      <w:r>
        <w:rPr>
          <w:rFonts w:ascii="仿宋" w:hAnsi="仿宋" w:cs="Times New Roman"/>
          <w:color w:val="000000" w:themeColor="text1"/>
          <w:sz w:val="30"/>
          <w:szCs w:val="30"/>
          <w14:textFill>
            <w14:solidFill>
              <w14:schemeClr w14:val="tx1"/>
            </w14:solidFill>
          </w14:textFill>
        </w:rPr>
        <w:t>环境线路接入深证通提供的全网测试环境，如有问题，及时联系深证通。</w:t>
      </w:r>
    </w:p>
    <w:p>
      <w:pPr>
        <w:pStyle w:val="73"/>
        <w:spacing w:before="163" w:after="163"/>
        <w:ind w:firstLine="560"/>
        <w:rPr>
          <w:rFonts w:eastAsia="楷体" w:cs="Times New Roman"/>
          <w:sz w:val="28"/>
          <w:szCs w:val="28"/>
        </w:rPr>
      </w:pPr>
      <w:bookmarkStart w:id="114" w:name="_Toc542794897"/>
      <w:bookmarkStart w:id="115" w:name="_Toc1905794060"/>
      <w:bookmarkStart w:id="116" w:name="_Toc157623433"/>
      <w:bookmarkStart w:id="117" w:name="_Toc1377912424"/>
      <w:bookmarkStart w:id="118" w:name="_Toc416422124"/>
      <w:bookmarkStart w:id="119" w:name="_Toc386964499"/>
      <w:r>
        <w:rPr>
          <w:rFonts w:hint="eastAsia" w:eastAsia="楷体" w:cs="Times New Roman"/>
          <w:sz w:val="28"/>
          <w:szCs w:val="28"/>
        </w:rPr>
        <w:t>（二）</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w:t>
      </w:r>
      <w:r>
        <w:rPr>
          <w:rFonts w:hint="eastAsia" w:eastAsia="楷体" w:cs="Times New Roman"/>
          <w:sz w:val="28"/>
          <w:szCs w:val="28"/>
        </w:rPr>
        <w:t>中国结算</w:t>
      </w:r>
      <w:bookmarkEnd w:id="114"/>
      <w:bookmarkEnd w:id="115"/>
      <w:bookmarkEnd w:id="116"/>
      <w:bookmarkEnd w:id="11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w:t>
      </w:r>
      <w:r>
        <w:rPr>
          <w:rFonts w:cs="Times New Roman"/>
          <w:color w:val="000000" w:themeColor="text1"/>
          <w:sz w:val="30"/>
          <w:szCs w:val="30"/>
          <w14:textFill>
            <w14:solidFill>
              <w14:schemeClr w14:val="tx1"/>
            </w14:solidFill>
          </w14:textFill>
        </w:rPr>
        <w:t>结算测试方案</w:t>
      </w:r>
      <w:r>
        <w:rPr>
          <w:rFonts w:hint="eastAsia" w:cs="Times New Roman"/>
          <w:color w:val="000000" w:themeColor="text1"/>
          <w:sz w:val="30"/>
          <w:szCs w:val="30"/>
          <w14:textFill>
            <w14:solidFill>
              <w14:schemeClr w14:val="tx1"/>
            </w14:solidFill>
          </w14:textFill>
        </w:rPr>
        <w:t>。</w:t>
      </w:r>
    </w:p>
    <w:p>
      <w:pPr>
        <w:pStyle w:val="73"/>
        <w:spacing w:before="163" w:after="163"/>
        <w:ind w:firstLine="560"/>
        <w:rPr>
          <w:rFonts w:eastAsia="楷体" w:cs="Times New Roman"/>
          <w:sz w:val="28"/>
          <w:szCs w:val="28"/>
        </w:rPr>
      </w:pPr>
      <w:bookmarkStart w:id="120" w:name="_Toc157623434"/>
      <w:bookmarkStart w:id="121" w:name="_Toc621721967"/>
      <w:bookmarkStart w:id="122" w:name="_Toc716568656"/>
      <w:bookmarkStart w:id="123" w:name="_Toc9178415"/>
      <w:r>
        <w:rPr>
          <w:rFonts w:hint="eastAsia" w:eastAsia="楷体" w:cs="Times New Roman"/>
          <w:sz w:val="28"/>
          <w:szCs w:val="28"/>
        </w:rPr>
        <w:t>（三）</w:t>
      </w:r>
      <w:r>
        <w:rPr>
          <w:rFonts w:eastAsia="楷体" w:cs="Times New Roman"/>
          <w:sz w:val="28"/>
          <w:szCs w:val="28"/>
        </w:rPr>
        <w:t>测试相关软件下载</w:t>
      </w:r>
      <w:bookmarkEnd w:id="118"/>
      <w:bookmarkEnd w:id="119"/>
      <w:bookmarkEnd w:id="120"/>
      <w:bookmarkEnd w:id="121"/>
      <w:bookmarkEnd w:id="122"/>
      <w:bookmarkEnd w:id="123"/>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99"/>
    <w:bookmarkEnd w:id="100"/>
    <w:bookmarkEnd w:id="101"/>
    <w:bookmarkEnd w:id="102"/>
    <w:bookmarkEnd w:id="103"/>
    <w:bookmarkEnd w:id="104"/>
    <w:bookmarkEnd w:id="105"/>
    <w:p>
      <w:pPr>
        <w:pStyle w:val="73"/>
        <w:spacing w:before="163" w:after="163"/>
        <w:ind w:firstLine="600"/>
      </w:pPr>
      <w:bookmarkStart w:id="124" w:name="_Toc300588387"/>
      <w:r>
        <w:rPr>
          <w:rFonts w:hint="eastAsia"/>
        </w:rPr>
        <w:t>九、</w:t>
      </w:r>
      <w:r>
        <w:t>测试要求及注意事项</w:t>
      </w:r>
      <w:bookmarkEnd w:id="106"/>
      <w:bookmarkEnd w:id="107"/>
      <w:bookmarkEnd w:id="108"/>
      <w:bookmarkEnd w:id="109"/>
      <w:bookmarkEnd w:id="110"/>
      <w:bookmarkEnd w:id="111"/>
      <w:bookmarkEnd w:id="112"/>
      <w:bookmarkEnd w:id="113"/>
      <w:bookmarkEnd w:id="124"/>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工作。</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2.开展北交所业务的全体证券公司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3.开展北交所业务的基金公司和提供北交所行情服务的信息商应参加测试。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证券公司、参测基金公司和信息商应收集各自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并于测试结束当日（2025年4月1</w:t>
      </w:r>
      <w:r>
        <w:rPr>
          <w:rFonts w:hint="eastAsia" w:cs="Times New Roman"/>
          <w:color w:val="000000" w:themeColor="text1"/>
          <w:sz w:val="30"/>
          <w:szCs w:val="30"/>
          <w:lang w:val="en-US" w:eastAsia="zh-CN"/>
          <w14:textFill>
            <w14:solidFill>
              <w14:schemeClr w14:val="tx1"/>
            </w14:solidFill>
          </w14:textFill>
        </w:rPr>
        <w:t>2</w:t>
      </w:r>
      <w:bookmarkStart w:id="134" w:name="_GoBack"/>
      <w:bookmarkEnd w:id="134"/>
      <w:r>
        <w:rPr>
          <w:rFonts w:hint="eastAsia" w:cs="Times New Roman"/>
          <w:color w:val="000000" w:themeColor="text1"/>
          <w:sz w:val="30"/>
          <w:szCs w:val="30"/>
          <w14:textFill>
            <w14:solidFill>
              <w14:schemeClr w14:val="tx1"/>
            </w14:solidFill>
          </w14:textFill>
        </w:rPr>
        <w:t>日）20:</w:t>
      </w:r>
      <w:r>
        <w:rPr>
          <w:rFonts w:cs="Times New Roman"/>
          <w:color w:val="000000" w:themeColor="text1"/>
          <w:sz w:val="30"/>
          <w:szCs w:val="30"/>
          <w14:textFill>
            <w14:solidFill>
              <w14:schemeClr w14:val="tx1"/>
            </w14:solidFill>
          </w14:textFill>
        </w:rPr>
        <w:t>00之前通过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北交所存量上市公司代码切换（试点）</w:t>
      </w:r>
      <w:r>
        <w:rPr>
          <w:rFonts w:hint="eastAsia" w:cs="Times New Roman"/>
          <w:color w:val="000000" w:themeColor="text1"/>
          <w:sz w:val="30"/>
          <w:szCs w:val="30"/>
          <w:lang w:val="en"/>
          <w14:textFill>
            <w14:solidFill>
              <w14:schemeClr w14:val="tx1"/>
            </w14:solidFill>
          </w14:textFill>
        </w:rPr>
        <w:t>第二次</w:t>
      </w:r>
      <w:r>
        <w:rPr>
          <w:rFonts w:hint="eastAsia" w:cs="Times New Roman"/>
          <w:color w:val="000000" w:themeColor="text1"/>
          <w:sz w:val="30"/>
          <w:szCs w:val="30"/>
          <w14:textFill>
            <w14:solidFill>
              <w14:schemeClr w14:val="tx1"/>
            </w14:solidFill>
          </w14:textFill>
        </w:rPr>
        <w:t>全网测试报告，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240" w:lineRule="auto"/>
        <w:ind w:firstLine="600"/>
        <w:jc w:val="both"/>
        <w:rPr>
          <w:rFonts w:cs="Times New Roman"/>
          <w:color w:val="000000" w:themeColor="text1"/>
          <w:sz w:val="30"/>
          <w:szCs w:val="30"/>
          <w14:textFill>
            <w14:solidFill>
              <w14:schemeClr w14:val="tx1"/>
            </w14:solidFill>
          </w14:textFill>
        </w:rPr>
      </w:pPr>
    </w:p>
    <w:p>
      <w:pPr>
        <w:pStyle w:val="73"/>
        <w:spacing w:before="163" w:after="163"/>
        <w:ind w:firstLine="600"/>
      </w:pPr>
      <w:bookmarkStart w:id="125" w:name="_Toc374381869"/>
      <w:bookmarkStart w:id="126" w:name="_Toc375557981"/>
      <w:bookmarkStart w:id="127" w:name="_Toc375070745"/>
      <w:bookmarkStart w:id="128" w:name="_Toc374381935"/>
      <w:bookmarkStart w:id="129" w:name="_Toc374957927"/>
      <w:bookmarkStart w:id="130" w:name="_Toc2062526509"/>
      <w:bookmarkStart w:id="131" w:name="_Toc1222281167"/>
      <w:bookmarkStart w:id="132" w:name="_Toc376285240"/>
      <w:bookmarkStart w:id="133" w:name="_Toc376597533"/>
      <w:r>
        <w:t>十</w:t>
      </w:r>
      <w:r>
        <w:rPr>
          <w:rFonts w:hint="eastAsia"/>
        </w:rPr>
        <w:t>、</w:t>
      </w:r>
      <w:r>
        <w:t>联系方式</w:t>
      </w:r>
      <w:bookmarkEnd w:id="125"/>
      <w:bookmarkEnd w:id="126"/>
      <w:bookmarkEnd w:id="127"/>
      <w:bookmarkEnd w:id="128"/>
      <w:bookmarkEnd w:id="129"/>
      <w:bookmarkEnd w:id="130"/>
      <w:bookmarkEnd w:id="131"/>
      <w:bookmarkEnd w:id="132"/>
      <w:bookmarkEnd w:id="133"/>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hint="eastAsia" w:eastAsia="楷体" w:cs="Times New Roman"/>
                <w:b/>
                <w:color w:val="000000" w:themeColor="text1"/>
                <w:szCs w:val="24"/>
                <w14:textFill>
                  <w14:solidFill>
                    <w14:schemeClr w14:val="tx1"/>
                  </w14:solidFill>
                </w14:textFill>
              </w:rPr>
              <w:t>全网测试</w:t>
            </w:r>
            <w:r>
              <w:rPr>
                <w:rFonts w:eastAsia="楷体" w:cs="Times New Roman"/>
                <w:b/>
                <w:color w:val="000000" w:themeColor="text1"/>
                <w:szCs w:val="24"/>
                <w14:textFill>
                  <w14:solidFill>
                    <w14:schemeClr w14:val="tx1"/>
                  </w14:solidFill>
                </w14:textFill>
              </w:rPr>
              <w:t>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2"/>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pStyle w:val="11"/>
        <w:spacing w:after="163" w:line="240" w:lineRule="auto"/>
        <w:ind w:firstLine="0" w:firstLineChars="0"/>
        <w:rPr>
          <w:rFonts w:eastAsia="方正仿宋简体"/>
          <w:color w:val="000000" w:themeColor="text1"/>
          <w:sz w:val="28"/>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三</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7"/>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7790E69"/>
    <w:multiLevelType w:val="multilevel"/>
    <w:tmpl w:val="57790E6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56E54"/>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8F7FB3"/>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4257"/>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BF3F6F"/>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FDD31B"/>
    <w:rsid w:val="36768EC5"/>
    <w:rsid w:val="36EE1359"/>
    <w:rsid w:val="373FB3F2"/>
    <w:rsid w:val="375D0D48"/>
    <w:rsid w:val="375FCD8E"/>
    <w:rsid w:val="377F46A4"/>
    <w:rsid w:val="377F62F6"/>
    <w:rsid w:val="37FE8900"/>
    <w:rsid w:val="3877FF77"/>
    <w:rsid w:val="3A276381"/>
    <w:rsid w:val="3ABD502E"/>
    <w:rsid w:val="3AFE8242"/>
    <w:rsid w:val="3B7BAF4F"/>
    <w:rsid w:val="3B7F1825"/>
    <w:rsid w:val="3B9DCF55"/>
    <w:rsid w:val="3BA647A7"/>
    <w:rsid w:val="3BA7E80F"/>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C0D81"/>
    <w:rsid w:val="3FBF3A48"/>
    <w:rsid w:val="3FCDE2C9"/>
    <w:rsid w:val="3FD70DE1"/>
    <w:rsid w:val="3FDA9C52"/>
    <w:rsid w:val="3FDD2986"/>
    <w:rsid w:val="3FEF805F"/>
    <w:rsid w:val="3FEFD18E"/>
    <w:rsid w:val="3FF35298"/>
    <w:rsid w:val="3FF6C37C"/>
    <w:rsid w:val="3FF7AC63"/>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7A928"/>
    <w:rsid w:val="4BFF4DC1"/>
    <w:rsid w:val="4D3ED65D"/>
    <w:rsid w:val="4DCFA4B1"/>
    <w:rsid w:val="4DDAE334"/>
    <w:rsid w:val="4DF3B493"/>
    <w:rsid w:val="4DFED698"/>
    <w:rsid w:val="4EFFC6C2"/>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ACE125"/>
    <w:rsid w:val="57BF93A8"/>
    <w:rsid w:val="57CFCBAF"/>
    <w:rsid w:val="57D39885"/>
    <w:rsid w:val="57DFE3A1"/>
    <w:rsid w:val="57EB5A3B"/>
    <w:rsid w:val="57F37FF1"/>
    <w:rsid w:val="57F7CBD5"/>
    <w:rsid w:val="57FBBF27"/>
    <w:rsid w:val="57FEBEC3"/>
    <w:rsid w:val="57FF6BA5"/>
    <w:rsid w:val="595B45BF"/>
    <w:rsid w:val="5A663819"/>
    <w:rsid w:val="5ABB26DD"/>
    <w:rsid w:val="5ABB2C49"/>
    <w:rsid w:val="5ACD6D89"/>
    <w:rsid w:val="5AEF981F"/>
    <w:rsid w:val="5AFE1AC7"/>
    <w:rsid w:val="5B6FE370"/>
    <w:rsid w:val="5BB9E575"/>
    <w:rsid w:val="5BEB5CC0"/>
    <w:rsid w:val="5BEBC172"/>
    <w:rsid w:val="5BEDC4C8"/>
    <w:rsid w:val="5BF596FF"/>
    <w:rsid w:val="5BFC63C4"/>
    <w:rsid w:val="5BFD876A"/>
    <w:rsid w:val="5BFFB4A3"/>
    <w:rsid w:val="5CE36829"/>
    <w:rsid w:val="5D7486BC"/>
    <w:rsid w:val="5D7F437A"/>
    <w:rsid w:val="5DAF1258"/>
    <w:rsid w:val="5DCF7828"/>
    <w:rsid w:val="5DF760CB"/>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BFB66"/>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8B324F"/>
    <w:rsid w:val="6BBB0184"/>
    <w:rsid w:val="6BDFE9DD"/>
    <w:rsid w:val="6BE3DDE4"/>
    <w:rsid w:val="6BF58DCA"/>
    <w:rsid w:val="6BFBD980"/>
    <w:rsid w:val="6CEB8333"/>
    <w:rsid w:val="6D5D057A"/>
    <w:rsid w:val="6D6E2E0B"/>
    <w:rsid w:val="6DAF8E14"/>
    <w:rsid w:val="6DBDA1FA"/>
    <w:rsid w:val="6DBE779E"/>
    <w:rsid w:val="6DD52F56"/>
    <w:rsid w:val="6DDF8D67"/>
    <w:rsid w:val="6DE93EC7"/>
    <w:rsid w:val="6DEDCC6F"/>
    <w:rsid w:val="6DEF38A4"/>
    <w:rsid w:val="6DFBD486"/>
    <w:rsid w:val="6DFDCE70"/>
    <w:rsid w:val="6E3AFDBE"/>
    <w:rsid w:val="6E797347"/>
    <w:rsid w:val="6EEF2C53"/>
    <w:rsid w:val="6EFB108F"/>
    <w:rsid w:val="6FA71348"/>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52F2B26"/>
    <w:rsid w:val="756A5093"/>
    <w:rsid w:val="75D42208"/>
    <w:rsid w:val="75DD6AF4"/>
    <w:rsid w:val="75ED84F7"/>
    <w:rsid w:val="75EDE323"/>
    <w:rsid w:val="75F8CFD1"/>
    <w:rsid w:val="762B77D9"/>
    <w:rsid w:val="765B8A2F"/>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31A69"/>
    <w:rsid w:val="77E65F03"/>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F1308"/>
    <w:rsid w:val="79EE11AD"/>
    <w:rsid w:val="79EFA7FB"/>
    <w:rsid w:val="79F60574"/>
    <w:rsid w:val="79FD6F79"/>
    <w:rsid w:val="7A5DB8F2"/>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D210"/>
    <w:rsid w:val="7BFCE2E4"/>
    <w:rsid w:val="7BFDFFDE"/>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479C"/>
    <w:rsid w:val="7EFF6783"/>
    <w:rsid w:val="7EFFD8C4"/>
    <w:rsid w:val="7F1FD03D"/>
    <w:rsid w:val="7F2AB4F8"/>
    <w:rsid w:val="7F2BD458"/>
    <w:rsid w:val="7F335F55"/>
    <w:rsid w:val="7F34BEFC"/>
    <w:rsid w:val="7F3D7288"/>
    <w:rsid w:val="7F3F79D3"/>
    <w:rsid w:val="7F3F9B05"/>
    <w:rsid w:val="7F3F9E97"/>
    <w:rsid w:val="7F568E28"/>
    <w:rsid w:val="7F5E76E3"/>
    <w:rsid w:val="7F65C13A"/>
    <w:rsid w:val="7F756EE1"/>
    <w:rsid w:val="7F75ECE1"/>
    <w:rsid w:val="7F7768D4"/>
    <w:rsid w:val="7F79406A"/>
    <w:rsid w:val="7F7D7932"/>
    <w:rsid w:val="7F7F3F45"/>
    <w:rsid w:val="7F7FD4B9"/>
    <w:rsid w:val="7F7FE951"/>
    <w:rsid w:val="7F9731E6"/>
    <w:rsid w:val="7F9B52D2"/>
    <w:rsid w:val="7FA63CDE"/>
    <w:rsid w:val="7FAD3483"/>
    <w:rsid w:val="7FAE924B"/>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59A8B"/>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40CB"/>
    <w:rsid w:val="7FFDD3D9"/>
    <w:rsid w:val="7FFDFBD3"/>
    <w:rsid w:val="7FFE4D87"/>
    <w:rsid w:val="7FFF1AC0"/>
    <w:rsid w:val="7FFF52EC"/>
    <w:rsid w:val="7FFF66AA"/>
    <w:rsid w:val="7FFFFD0E"/>
    <w:rsid w:val="808EE30D"/>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DFCFFD"/>
    <w:rsid w:val="BDFA09F2"/>
    <w:rsid w:val="BDFB2E26"/>
    <w:rsid w:val="BDFF151A"/>
    <w:rsid w:val="BDFF7A74"/>
    <w:rsid w:val="BE3DEF00"/>
    <w:rsid w:val="BE4E0198"/>
    <w:rsid w:val="BE6F35CE"/>
    <w:rsid w:val="BE72D2A7"/>
    <w:rsid w:val="BE7BB8E5"/>
    <w:rsid w:val="BE9ED690"/>
    <w:rsid w:val="BEDE4779"/>
    <w:rsid w:val="BEEF1BA7"/>
    <w:rsid w:val="BEFD9AE8"/>
    <w:rsid w:val="BF5F9121"/>
    <w:rsid w:val="BF74D1FA"/>
    <w:rsid w:val="BF7F144A"/>
    <w:rsid w:val="BF7F5B5C"/>
    <w:rsid w:val="BF8FDB72"/>
    <w:rsid w:val="BF9FA9B0"/>
    <w:rsid w:val="BFBE3382"/>
    <w:rsid w:val="BFBFFF37"/>
    <w:rsid w:val="BFD6FB6C"/>
    <w:rsid w:val="BFD76505"/>
    <w:rsid w:val="BFDD86F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33438C"/>
    <w:rsid w:val="D75E73E9"/>
    <w:rsid w:val="D7666267"/>
    <w:rsid w:val="D775E49E"/>
    <w:rsid w:val="D77E9EC9"/>
    <w:rsid w:val="D77FAEE1"/>
    <w:rsid w:val="D79EE54A"/>
    <w:rsid w:val="D7C57ECC"/>
    <w:rsid w:val="D7DB3411"/>
    <w:rsid w:val="D7DD44E9"/>
    <w:rsid w:val="D7DFA141"/>
    <w:rsid w:val="D7EFAB12"/>
    <w:rsid w:val="D7FFC0D6"/>
    <w:rsid w:val="D8DD8AE8"/>
    <w:rsid w:val="D8FF66F1"/>
    <w:rsid w:val="D9F7978E"/>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F6A4DC"/>
    <w:rsid w:val="DEFF0F88"/>
    <w:rsid w:val="DEFF8442"/>
    <w:rsid w:val="DF279505"/>
    <w:rsid w:val="DF3F3A5F"/>
    <w:rsid w:val="DF6C4E90"/>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534C"/>
    <w:rsid w:val="DFFF5483"/>
    <w:rsid w:val="E1E78242"/>
    <w:rsid w:val="E27732C3"/>
    <w:rsid w:val="E31E8B0B"/>
    <w:rsid w:val="E35BE576"/>
    <w:rsid w:val="E3FB9FAB"/>
    <w:rsid w:val="E579BE25"/>
    <w:rsid w:val="E66B7183"/>
    <w:rsid w:val="E6CBB93B"/>
    <w:rsid w:val="E6FBEFFE"/>
    <w:rsid w:val="E7193509"/>
    <w:rsid w:val="E775954C"/>
    <w:rsid w:val="E7BEE692"/>
    <w:rsid w:val="E7DC684D"/>
    <w:rsid w:val="E7DF1FAB"/>
    <w:rsid w:val="E7FD22F3"/>
    <w:rsid w:val="E7FF34CF"/>
    <w:rsid w:val="E8B68C45"/>
    <w:rsid w:val="E8F70748"/>
    <w:rsid w:val="E96BED98"/>
    <w:rsid w:val="E9C61BD8"/>
    <w:rsid w:val="EA1C5EC7"/>
    <w:rsid w:val="EA712DA6"/>
    <w:rsid w:val="EA7F8A42"/>
    <w:rsid w:val="EABF2B23"/>
    <w:rsid w:val="EB3DA255"/>
    <w:rsid w:val="EB7D3FF3"/>
    <w:rsid w:val="EBD7E893"/>
    <w:rsid w:val="EBF7319B"/>
    <w:rsid w:val="EBFD7D3D"/>
    <w:rsid w:val="EC5BC7B1"/>
    <w:rsid w:val="EDBFA88C"/>
    <w:rsid w:val="EDE9EFC7"/>
    <w:rsid w:val="EDEB3C02"/>
    <w:rsid w:val="EDEF3739"/>
    <w:rsid w:val="EDFC7050"/>
    <w:rsid w:val="EE797190"/>
    <w:rsid w:val="EEF6F1C8"/>
    <w:rsid w:val="EEFC8A9D"/>
    <w:rsid w:val="EEFF9DED"/>
    <w:rsid w:val="EF1D0C12"/>
    <w:rsid w:val="EF59C8FE"/>
    <w:rsid w:val="EF794C06"/>
    <w:rsid w:val="EF7D6F8B"/>
    <w:rsid w:val="EF7E6C82"/>
    <w:rsid w:val="EFAFD9A9"/>
    <w:rsid w:val="EFBB89BC"/>
    <w:rsid w:val="EFBF81CA"/>
    <w:rsid w:val="EFCBF6BB"/>
    <w:rsid w:val="EFD8AB0C"/>
    <w:rsid w:val="EFDECD35"/>
    <w:rsid w:val="EFDF9CA9"/>
    <w:rsid w:val="EFDFA0B9"/>
    <w:rsid w:val="EFE61DD2"/>
    <w:rsid w:val="EFEDE8F1"/>
    <w:rsid w:val="EFF4E74E"/>
    <w:rsid w:val="EFF51AE7"/>
    <w:rsid w:val="EFF70B27"/>
    <w:rsid w:val="EFF7C47E"/>
    <w:rsid w:val="EFF7D302"/>
    <w:rsid w:val="EFFB2F7B"/>
    <w:rsid w:val="EFFB4F49"/>
    <w:rsid w:val="EFFD9335"/>
    <w:rsid w:val="EFFE0144"/>
    <w:rsid w:val="EFFEF0DA"/>
    <w:rsid w:val="EFFF334D"/>
    <w:rsid w:val="EFFFB8D5"/>
    <w:rsid w:val="EFFFE18E"/>
    <w:rsid w:val="F13D2429"/>
    <w:rsid w:val="F2AD33D4"/>
    <w:rsid w:val="F35FBC74"/>
    <w:rsid w:val="F367F7B1"/>
    <w:rsid w:val="F37F1760"/>
    <w:rsid w:val="F397CCBF"/>
    <w:rsid w:val="F3BD0661"/>
    <w:rsid w:val="F3BD11EB"/>
    <w:rsid w:val="F3EB1456"/>
    <w:rsid w:val="F3EDB521"/>
    <w:rsid w:val="F3EF0A98"/>
    <w:rsid w:val="F3F7152F"/>
    <w:rsid w:val="F3FFDA45"/>
    <w:rsid w:val="F4CF7880"/>
    <w:rsid w:val="F4DDF6C3"/>
    <w:rsid w:val="F5577A0F"/>
    <w:rsid w:val="F59E26D1"/>
    <w:rsid w:val="F5DF0B04"/>
    <w:rsid w:val="F5EF8909"/>
    <w:rsid w:val="F5FB4507"/>
    <w:rsid w:val="F5FD16E4"/>
    <w:rsid w:val="F64D36C2"/>
    <w:rsid w:val="F66569BC"/>
    <w:rsid w:val="F6776004"/>
    <w:rsid w:val="F6BD1855"/>
    <w:rsid w:val="F6CFFF42"/>
    <w:rsid w:val="F6DFA1C4"/>
    <w:rsid w:val="F6DFFCEC"/>
    <w:rsid w:val="F6E583FA"/>
    <w:rsid w:val="F6EBB8AE"/>
    <w:rsid w:val="F6FFEC87"/>
    <w:rsid w:val="F73BFAF5"/>
    <w:rsid w:val="F7775374"/>
    <w:rsid w:val="F77DCDF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792616"/>
    <w:rsid w:val="F99BD6E0"/>
    <w:rsid w:val="F99D8BBA"/>
    <w:rsid w:val="F99E826B"/>
    <w:rsid w:val="F99FCCA9"/>
    <w:rsid w:val="F9A7A764"/>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A96"/>
    <w:rsid w:val="FB7B7EF7"/>
    <w:rsid w:val="FB7B947F"/>
    <w:rsid w:val="FB7DA72A"/>
    <w:rsid w:val="FB7DDB01"/>
    <w:rsid w:val="FB9F28F2"/>
    <w:rsid w:val="FB9FE535"/>
    <w:rsid w:val="FB9FFAE0"/>
    <w:rsid w:val="FBAC4115"/>
    <w:rsid w:val="FBAF08DC"/>
    <w:rsid w:val="FBB710FC"/>
    <w:rsid w:val="FBBE1885"/>
    <w:rsid w:val="FBBEDD1A"/>
    <w:rsid w:val="FBBF0222"/>
    <w:rsid w:val="FBD96E60"/>
    <w:rsid w:val="FBEE945D"/>
    <w:rsid w:val="FBF58EB9"/>
    <w:rsid w:val="FBFD18A8"/>
    <w:rsid w:val="FBFFBB1C"/>
    <w:rsid w:val="FBFFD7DF"/>
    <w:rsid w:val="FBFFE89E"/>
    <w:rsid w:val="FBFFF60D"/>
    <w:rsid w:val="FBFFFE91"/>
    <w:rsid w:val="FC54F41B"/>
    <w:rsid w:val="FC799DEE"/>
    <w:rsid w:val="FC7A39C6"/>
    <w:rsid w:val="FCB6815F"/>
    <w:rsid w:val="FCB765A4"/>
    <w:rsid w:val="FCBD3FC1"/>
    <w:rsid w:val="FCBF3F32"/>
    <w:rsid w:val="FCD524FB"/>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E9CC6"/>
    <w:rsid w:val="FDFF04A0"/>
    <w:rsid w:val="FE2D3ABB"/>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F2652"/>
    <w:rsid w:val="FEFF705F"/>
    <w:rsid w:val="FF1311BA"/>
    <w:rsid w:val="FF173E49"/>
    <w:rsid w:val="FF1BA559"/>
    <w:rsid w:val="FF2D36EF"/>
    <w:rsid w:val="FF3A6F64"/>
    <w:rsid w:val="FF3B1295"/>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D722FC"/>
    <w:rsid w:val="FFD7AB04"/>
    <w:rsid w:val="FFD7E77E"/>
    <w:rsid w:val="FFD7FEF0"/>
    <w:rsid w:val="FFD87784"/>
    <w:rsid w:val="FFD9D23A"/>
    <w:rsid w:val="FFDD51F9"/>
    <w:rsid w:val="FFDF2000"/>
    <w:rsid w:val="FFDF60A9"/>
    <w:rsid w:val="FFDFB28D"/>
    <w:rsid w:val="FFE28593"/>
    <w:rsid w:val="FFEDA3B6"/>
    <w:rsid w:val="FFEEB169"/>
    <w:rsid w:val="FFEEF79C"/>
    <w:rsid w:val="FFEF5FE3"/>
    <w:rsid w:val="FFF2DF90"/>
    <w:rsid w:val="FFF37E44"/>
    <w:rsid w:val="FFF491E0"/>
    <w:rsid w:val="FFF642F6"/>
    <w:rsid w:val="FFF6551F"/>
    <w:rsid w:val="FFF7023B"/>
    <w:rsid w:val="FFF767B9"/>
    <w:rsid w:val="FFF788E1"/>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3">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9">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0">
    <w:name w:val="toc 7"/>
    <w:basedOn w:val="1"/>
    <w:next w:val="1"/>
    <w:qFormat/>
    <w:uiPriority w:val="39"/>
    <w:pPr>
      <w:ind w:left="2520" w:leftChars="1200"/>
      <w:jc w:val="both"/>
    </w:pPr>
    <w:rPr>
      <w:rFonts w:cs="Times New Roman"/>
      <w:sz w:val="21"/>
      <w:szCs w:val="24"/>
    </w:rPr>
  </w:style>
  <w:style w:type="paragraph" w:styleId="11">
    <w:name w:val="Normal Indent"/>
    <w:basedOn w:val="1"/>
    <w:qFormat/>
    <w:uiPriority w:val="0"/>
    <w:pPr>
      <w:spacing w:afterLines="50" w:line="300" w:lineRule="auto"/>
      <w:ind w:firstLine="420"/>
    </w:pPr>
    <w:rPr>
      <w:rFonts w:cs="Times New Roman"/>
      <w:szCs w:val="24"/>
    </w:rPr>
  </w:style>
  <w:style w:type="paragraph" w:styleId="12">
    <w:name w:val="caption"/>
    <w:basedOn w:val="1"/>
    <w:next w:val="1"/>
    <w:unhideWhenUsed/>
    <w:qFormat/>
    <w:uiPriority w:val="0"/>
    <w:pPr>
      <w:spacing w:after="120"/>
    </w:pPr>
    <w:rPr>
      <w:rFonts w:ascii="Cambria" w:hAnsi="Cambria" w:eastAsia="黑体" w:cs="Times New Roman"/>
      <w:sz w:val="20"/>
      <w:szCs w:val="20"/>
    </w:rPr>
  </w:style>
  <w:style w:type="paragraph" w:styleId="13">
    <w:name w:val="Document Map"/>
    <w:basedOn w:val="1"/>
    <w:link w:val="56"/>
    <w:semiHidden/>
    <w:unhideWhenUsed/>
    <w:qFormat/>
    <w:uiPriority w:val="99"/>
    <w:pPr>
      <w:spacing w:after="120"/>
      <w:jc w:val="both"/>
    </w:pPr>
    <w:rPr>
      <w:rFonts w:ascii="宋体"/>
      <w:sz w:val="18"/>
      <w:szCs w:val="18"/>
    </w:rPr>
  </w:style>
  <w:style w:type="paragraph" w:styleId="14">
    <w:name w:val="annotation text"/>
    <w:basedOn w:val="1"/>
    <w:link w:val="54"/>
    <w:unhideWhenUsed/>
    <w:qFormat/>
    <w:uiPriority w:val="99"/>
  </w:style>
  <w:style w:type="paragraph" w:styleId="15">
    <w:name w:val="Body Text 3"/>
    <w:basedOn w:val="1"/>
    <w:link w:val="57"/>
    <w:semiHidden/>
    <w:unhideWhenUsed/>
    <w:qFormat/>
    <w:uiPriority w:val="99"/>
    <w:pPr>
      <w:spacing w:after="120"/>
      <w:jc w:val="both"/>
    </w:pPr>
    <w:rPr>
      <w:rFonts w:cs="Times New Roman"/>
      <w:sz w:val="16"/>
      <w:szCs w:val="16"/>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4"/>
    <w:next w:val="14"/>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2 Char"/>
    <w:basedOn w:val="39"/>
    <w:link w:val="4"/>
    <w:qFormat/>
    <w:uiPriority w:val="0"/>
    <w:rPr>
      <w:rFonts w:ascii="Cambria" w:hAnsi="Cambria" w:eastAsia="宋体" w:cs="黑体"/>
      <w:b/>
      <w:bCs/>
      <w:sz w:val="32"/>
      <w:szCs w:val="32"/>
    </w:rPr>
  </w:style>
  <w:style w:type="character" w:customStyle="1" w:styleId="48">
    <w:name w:val="标题 1 Char"/>
    <w:basedOn w:val="39"/>
    <w:link w:val="3"/>
    <w:qFormat/>
    <w:uiPriority w:val="0"/>
    <w:rPr>
      <w:rFonts w:ascii="Times New Roman" w:hAnsi="Times New Roman" w:eastAsia="仿宋" w:cs="黑体"/>
      <w:b/>
      <w:bCs/>
      <w:kern w:val="44"/>
      <w:sz w:val="44"/>
      <w:szCs w:val="44"/>
    </w:rPr>
  </w:style>
  <w:style w:type="character" w:customStyle="1" w:styleId="49">
    <w:name w:val="标题 3 Char"/>
    <w:basedOn w:val="39"/>
    <w:link w:val="5"/>
    <w:qFormat/>
    <w:uiPriority w:val="0"/>
    <w:rPr>
      <w:rFonts w:ascii="Calibri" w:hAnsi="Calibri" w:eastAsia="宋体" w:cs="黑体"/>
      <w:b/>
      <w:bCs/>
      <w:sz w:val="32"/>
      <w:szCs w:val="32"/>
    </w:rPr>
  </w:style>
  <w:style w:type="character" w:customStyle="1" w:styleId="50">
    <w:name w:val="标题 4 Char"/>
    <w:basedOn w:val="39"/>
    <w:link w:val="6"/>
    <w:qFormat/>
    <w:uiPriority w:val="0"/>
    <w:rPr>
      <w:rFonts w:ascii="Cambria" w:hAnsi="Cambria" w:eastAsia="宋体" w:cs="黑体"/>
      <w:b/>
      <w:bCs/>
      <w:sz w:val="28"/>
      <w:szCs w:val="28"/>
    </w:rPr>
  </w:style>
  <w:style w:type="character" w:customStyle="1" w:styleId="51">
    <w:name w:val="标题 5 Char"/>
    <w:basedOn w:val="39"/>
    <w:link w:val="7"/>
    <w:qFormat/>
    <w:uiPriority w:val="9"/>
    <w:rPr>
      <w:rFonts w:ascii="Calibri" w:hAnsi="Calibri" w:eastAsia="宋体" w:cs="黑体"/>
      <w:b/>
      <w:bCs/>
      <w:sz w:val="28"/>
      <w:szCs w:val="28"/>
    </w:rPr>
  </w:style>
  <w:style w:type="character" w:customStyle="1" w:styleId="52">
    <w:name w:val="标题 6 Char"/>
    <w:basedOn w:val="39"/>
    <w:link w:val="8"/>
    <w:qFormat/>
    <w:uiPriority w:val="0"/>
    <w:rPr>
      <w:rFonts w:ascii="Cambria" w:hAnsi="Cambria" w:eastAsia="宋体" w:cs="Times New Roman"/>
      <w:b/>
      <w:bCs/>
      <w:sz w:val="24"/>
      <w:szCs w:val="24"/>
    </w:rPr>
  </w:style>
  <w:style w:type="character" w:customStyle="1" w:styleId="53">
    <w:name w:val="标题 7 Char"/>
    <w:basedOn w:val="39"/>
    <w:link w:val="9"/>
    <w:semiHidden/>
    <w:qFormat/>
    <w:uiPriority w:val="9"/>
    <w:rPr>
      <w:rFonts w:ascii="CG Times" w:hAnsi="CG Times" w:eastAsia="楷体_GB2312" w:cs="Times New Roman"/>
      <w:b/>
      <w:bCs/>
      <w:sz w:val="24"/>
      <w:szCs w:val="24"/>
    </w:rPr>
  </w:style>
  <w:style w:type="character" w:customStyle="1" w:styleId="54">
    <w:name w:val="批注文字 Char"/>
    <w:basedOn w:val="39"/>
    <w:link w:val="14"/>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3"/>
    <w:semiHidden/>
    <w:qFormat/>
    <w:uiPriority w:val="99"/>
    <w:rPr>
      <w:rFonts w:ascii="宋体" w:hAnsi="Calibri" w:eastAsia="宋体" w:cs="黑体"/>
      <w:sz w:val="18"/>
      <w:szCs w:val="18"/>
    </w:rPr>
  </w:style>
  <w:style w:type="character" w:customStyle="1" w:styleId="57">
    <w:name w:val="正文文本 3 Char"/>
    <w:basedOn w:val="39"/>
    <w:link w:val="15"/>
    <w:semiHidden/>
    <w:qFormat/>
    <w:uiPriority w:val="99"/>
    <w:rPr>
      <w:rFonts w:ascii="Times New Roman" w:hAnsi="Times New Roman" w:eastAsia="宋体" w:cs="Times New Roman"/>
      <w:sz w:val="16"/>
      <w:szCs w:val="16"/>
    </w:rPr>
  </w:style>
  <w:style w:type="character" w:customStyle="1" w:styleId="58">
    <w:name w:val="正文文本 Char"/>
    <w:basedOn w:val="39"/>
    <w:link w:val="2"/>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5"/>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6"/>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7"/>
    <w:qFormat/>
    <w:uiPriority w:val="0"/>
    <w:pPr>
      <w:adjustRightInd w:val="0"/>
      <w:snapToGrid w:val="0"/>
      <w:spacing w:before="0" w:after="0" w:line="360" w:lineRule="auto"/>
    </w:pPr>
    <w:rPr>
      <w:rFonts w:eastAsia="楷体"/>
    </w:rPr>
  </w:style>
  <w:style w:type="paragraph" w:customStyle="1" w:styleId="73">
    <w:name w:val="标题1"/>
    <w:basedOn w:val="3"/>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4"/>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2"/>
    <w:next w:val="12"/>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3"/>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3"/>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4"/>
    <w:next w:val="14"/>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41"/>
    <w:basedOn w:val="39"/>
    <w:qFormat/>
    <w:uiPriority w:val="0"/>
    <w:rPr>
      <w:rFonts w:hint="default" w:ascii="楷体" w:hAnsi="楷体" w:eastAsia="楷体" w:cs="楷体"/>
      <w:b/>
      <w:color w:val="000000"/>
      <w:sz w:val="24"/>
      <w:szCs w:val="24"/>
      <w:u w:val="none"/>
    </w:rPr>
  </w:style>
  <w:style w:type="character" w:customStyle="1" w:styleId="107">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854</Words>
  <Characters>4870</Characters>
  <Lines>40</Lines>
  <Paragraphs>11</Paragraphs>
  <TotalTime>0</TotalTime>
  <ScaleCrop>false</ScaleCrop>
  <LinksUpToDate>false</LinksUpToDate>
  <CharactersWithSpaces>5713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2021-01-09T10:48:00Z</dcterms:created>
  <dc:creator>张恒zh</dc:creator>
  <cp:lastModifiedBy>zhangyt</cp:lastModifiedBy>
  <cp:lastPrinted>2025-02-24T16:40:00Z</cp:lastPrinted>
  <dcterms:modified xsi:type="dcterms:W3CDTF">2025-04-10T19:12:41Z</dcterms:modified>
  <dc:title>北证办发〔2023〕X号附件1</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