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outlineLvl w:val="0"/>
        <w:rPr>
          <w:rFonts w:ascii="Times New Roman" w:hAnsi="Times New Roman" w:eastAsia="黑体" w:cs="Times New Roman"/>
          <w:b/>
          <w:color w:val="000000" w:themeColor="text1"/>
          <w:sz w:val="36"/>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附件2</w:t>
      </w:r>
    </w:p>
    <w:p>
      <w:pPr>
        <w:spacing w:line="0" w:lineRule="atLeast"/>
        <w:jc w:val="center"/>
        <w:rPr>
          <w:rFonts w:ascii="方正大标宋简体" w:eastAsia="方正大标宋简体"/>
          <w:sz w:val="44"/>
          <w:szCs w:val="44"/>
        </w:rPr>
      </w:pPr>
    </w:p>
    <w:p>
      <w:pPr>
        <w:spacing w:line="0" w:lineRule="atLeast"/>
        <w:jc w:val="center"/>
        <w:outlineLvl w:val="0"/>
        <w:rPr>
          <w:rFonts w:hint="eastAsia" w:ascii="方正大标宋简体" w:eastAsia="方正大标宋简体"/>
          <w:sz w:val="44"/>
          <w:szCs w:val="44"/>
        </w:rPr>
      </w:pPr>
      <w:r>
        <w:rPr>
          <w:rFonts w:hint="eastAsia" w:ascii="方正大标宋简体" w:eastAsia="方正大标宋简体"/>
          <w:sz w:val="44"/>
          <w:szCs w:val="44"/>
        </w:rPr>
        <w:t>北交所存量上市公司</w:t>
      </w:r>
      <w:r>
        <w:rPr>
          <w:rFonts w:hint="eastAsia" w:ascii="方正大标宋简体" w:eastAsia="方正大标宋简体"/>
          <w:sz w:val="44"/>
          <w:szCs w:val="44"/>
          <w:lang w:eastAsia="zh-CN"/>
        </w:rPr>
        <w:t>证券</w:t>
      </w:r>
      <w:r>
        <w:rPr>
          <w:rFonts w:hint="eastAsia" w:ascii="方正大标宋简体" w:eastAsia="方正大标宋简体"/>
          <w:sz w:val="44"/>
          <w:szCs w:val="44"/>
        </w:rPr>
        <w:t>代码切换（试点）</w:t>
      </w:r>
    </w:p>
    <w:p>
      <w:pPr>
        <w:spacing w:line="0" w:lineRule="atLeast"/>
        <w:jc w:val="center"/>
        <w:outlineLvl w:val="0"/>
        <w:rPr>
          <w:rFonts w:ascii="方正大标宋简体" w:eastAsia="方正大标宋简体"/>
          <w:sz w:val="44"/>
          <w:szCs w:val="44"/>
        </w:rPr>
      </w:pPr>
      <w:r>
        <w:rPr>
          <w:rFonts w:hint="eastAsia" w:ascii="方正大标宋简体" w:eastAsia="方正大标宋简体"/>
          <w:sz w:val="44"/>
          <w:szCs w:val="44"/>
        </w:rPr>
        <w:t>仿真测试反馈报告</w:t>
      </w:r>
    </w:p>
    <w:p>
      <w:pPr>
        <w:spacing w:line="0" w:lineRule="atLeast"/>
        <w:jc w:val="left"/>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10"/>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一、</w:t>
            </w:r>
            <w:r>
              <w:rPr>
                <w:rFonts w:ascii="黑体" w:hAnsi="黑体" w:eastAsia="黑体" w:cs="Arial"/>
                <w:sz w:val="28"/>
                <w:szCs w:val="28"/>
              </w:rPr>
              <w:t>参测机构名称：</w:t>
            </w:r>
          </w:p>
          <w:p>
            <w:pPr>
              <w:spacing w:line="0" w:lineRule="atLeas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10"/>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0"/>
              <w:spacing w:before="60" w:after="60" w:line="0" w:lineRule="atLeast"/>
              <w:ind w:firstLine="560"/>
              <w:jc w:val="left"/>
              <w:rPr>
                <w:rFonts w:ascii="Times New Roman" w:hAnsi="Times New Roman" w:eastAsia="仿宋" w:cs="Times New Roman"/>
                <w:sz w:val="28"/>
                <w:szCs w:val="28"/>
              </w:rPr>
            </w:pPr>
            <w:r>
              <w:rPr>
                <w:rFonts w:ascii="Times New Roman" w:hAnsi="Times New Roman" w:eastAsia="仿宋" w:cs="Times New Roman"/>
                <w:sz w:val="28"/>
                <w:szCs w:val="28"/>
              </w:rPr>
              <w:t>□第一</w:t>
            </w:r>
            <w:r>
              <w:rPr>
                <w:rFonts w:hint="eastAsia" w:ascii="Times New Roman" w:hAnsi="Times New Roman" w:eastAsia="仿宋" w:cs="Times New Roman"/>
                <w:sz w:val="28"/>
                <w:szCs w:val="28"/>
              </w:rPr>
              <w:t>轮仿真（</w:t>
            </w:r>
            <w:r>
              <w:rPr>
                <w:rFonts w:hint="eastAsia" w:ascii="Times New Roman" w:hAnsi="Times New Roman" w:eastAsia="仿宋" w:cs="Times New Roman"/>
                <w:kern w:val="2"/>
                <w:sz w:val="28"/>
                <w:szCs w:val="28"/>
                <w:lang w:val="en-US" w:eastAsia="zh-CN" w:bidi="ar-SA"/>
              </w:rPr>
              <w:t>2025年3月3日至2025年3月7日</w:t>
            </w:r>
            <w:r>
              <w:rPr>
                <w:rFonts w:hint="eastAsia" w:ascii="Times New Roman" w:hAnsi="Times New Roman" w:eastAsia="仿宋" w:cs="Times New Roman"/>
                <w:sz w:val="28"/>
                <w:szCs w:val="28"/>
              </w:rPr>
              <w:t>）</w:t>
            </w:r>
          </w:p>
          <w:p>
            <w:pPr>
              <w:spacing w:line="0" w:lineRule="atLeast"/>
              <w:ind w:firstLine="560" w:firstLineChars="200"/>
              <w:jc w:val="left"/>
              <w:rPr>
                <w:rFonts w:hint="eastAsia" w:ascii="Times New Roman" w:hAnsi="Times New Roman" w:eastAsia="仿宋" w:cs="Times New Roman"/>
                <w:sz w:val="28"/>
                <w:szCs w:val="28"/>
              </w:rPr>
            </w:pPr>
            <w:r>
              <w:rPr>
                <w:rFonts w:ascii="Times New Roman" w:hAnsi="Times New Roman" w:eastAsia="仿宋" w:cs="Times New Roman"/>
                <w:sz w:val="28"/>
                <w:szCs w:val="28"/>
              </w:rPr>
              <w:t>□第</w:t>
            </w:r>
            <w:r>
              <w:rPr>
                <w:rFonts w:hint="eastAsia" w:ascii="Times New Roman" w:hAnsi="Times New Roman" w:eastAsia="仿宋" w:cs="Times New Roman"/>
                <w:sz w:val="28"/>
                <w:szCs w:val="28"/>
              </w:rPr>
              <w:t>二轮仿真（</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kern w:val="2"/>
                <w:sz w:val="28"/>
                <w:szCs w:val="28"/>
                <w:lang w:val="en-US" w:eastAsia="zh-CN" w:bidi="ar-SA"/>
              </w:rPr>
              <w:t>025年3月10日至2025年3月14日</w:t>
            </w:r>
            <w:r>
              <w:rPr>
                <w:rFonts w:hint="eastAsia" w:ascii="Times New Roman" w:hAnsi="Times New Roman" w:eastAsia="仿宋" w:cs="Times New Roman"/>
                <w:sz w:val="28"/>
                <w:szCs w:val="28"/>
              </w:rPr>
              <w:t>）</w:t>
            </w:r>
          </w:p>
          <w:p>
            <w:pPr>
              <w:pStyle w:val="10"/>
              <w:spacing w:before="60" w:after="60" w:line="0" w:lineRule="atLeast"/>
              <w:ind w:firstLine="560"/>
              <w:jc w:val="left"/>
              <w:rPr>
                <w:rFonts w:ascii="Times New Roman" w:hAnsi="Times New Roman" w:eastAsia="仿宋" w:cs="Times New Roman"/>
                <w:sz w:val="28"/>
                <w:szCs w:val="28"/>
              </w:rPr>
            </w:pPr>
            <w:r>
              <w:rPr>
                <w:rFonts w:ascii="Times New Roman" w:hAnsi="Times New Roman" w:eastAsia="仿宋" w:cs="Times New Roman"/>
                <w:sz w:val="28"/>
                <w:szCs w:val="28"/>
              </w:rPr>
              <w:t>□第</w:t>
            </w:r>
            <w:r>
              <w:rPr>
                <w:rFonts w:hint="eastAsia" w:ascii="Times New Roman" w:hAnsi="Times New Roman" w:eastAsia="仿宋" w:cs="Times New Roman"/>
                <w:sz w:val="28"/>
                <w:szCs w:val="28"/>
                <w:lang w:eastAsia="zh-CN"/>
              </w:rPr>
              <w:t>三</w:t>
            </w:r>
            <w:r>
              <w:rPr>
                <w:rFonts w:hint="eastAsia" w:ascii="Times New Roman" w:hAnsi="Times New Roman" w:eastAsia="仿宋" w:cs="Times New Roman"/>
                <w:sz w:val="28"/>
                <w:szCs w:val="28"/>
              </w:rPr>
              <w:t>轮仿真（</w:t>
            </w:r>
            <w:r>
              <w:rPr>
                <w:rFonts w:hint="eastAsia" w:ascii="Times New Roman" w:hAnsi="Times New Roman" w:eastAsia="仿宋" w:cs="Times New Roman"/>
                <w:kern w:val="2"/>
                <w:sz w:val="28"/>
                <w:szCs w:val="28"/>
                <w:lang w:val="en-US" w:eastAsia="zh-CN" w:bidi="ar-SA"/>
              </w:rPr>
              <w:t>2025年3月17日至2025年3月21日</w:t>
            </w:r>
            <w:r>
              <w:rPr>
                <w:rFonts w:hint="eastAsia" w:ascii="Times New Roman" w:hAnsi="Times New Roman" w:eastAsia="仿宋" w:cs="Times New Roman"/>
                <w:sz w:val="28"/>
                <w:szCs w:val="28"/>
              </w:rPr>
              <w:t>）</w:t>
            </w:r>
          </w:p>
          <w:p>
            <w:pPr>
              <w:spacing w:line="0" w:lineRule="atLeast"/>
              <w:ind w:firstLine="560" w:firstLineChars="200"/>
              <w:jc w:val="left"/>
              <w:rPr>
                <w:rFonts w:hint="eastAsia" w:ascii="Times New Roman" w:hAnsi="Times New Roman" w:eastAsia="仿宋" w:cs="Times New Roman"/>
                <w:sz w:val="28"/>
                <w:szCs w:val="28"/>
              </w:rPr>
            </w:pPr>
            <w:r>
              <w:rPr>
                <w:rFonts w:ascii="Times New Roman" w:hAnsi="Times New Roman" w:eastAsia="仿宋" w:cs="Times New Roman"/>
                <w:sz w:val="28"/>
                <w:szCs w:val="28"/>
              </w:rPr>
              <w:t>□第</w:t>
            </w:r>
            <w:r>
              <w:rPr>
                <w:rFonts w:hint="eastAsia" w:ascii="Times New Roman" w:hAnsi="Times New Roman" w:eastAsia="仿宋" w:cs="Times New Roman"/>
                <w:sz w:val="28"/>
                <w:szCs w:val="28"/>
                <w:lang w:eastAsia="zh-CN"/>
              </w:rPr>
              <w:t>四</w:t>
            </w:r>
            <w:r>
              <w:rPr>
                <w:rFonts w:hint="eastAsia" w:ascii="Times New Roman" w:hAnsi="Times New Roman" w:eastAsia="仿宋" w:cs="Times New Roman"/>
                <w:sz w:val="28"/>
                <w:szCs w:val="28"/>
              </w:rPr>
              <w:t>轮仿真（2025年3月24日至2025年3月28日）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r>
              <w:rPr>
                <w:rFonts w:hint="eastAsia" w:ascii="方正楷体_GBK" w:hAnsi="方正楷体_GBK" w:eastAsia="方正楷体_GBK" w:cs="方正楷体_GBK"/>
                <w:b w:val="0"/>
                <w:bCs w:val="0"/>
                <w:sz w:val="28"/>
                <w:szCs w:val="28"/>
                <w:lang w:eastAsia="zh-CN"/>
              </w:rPr>
              <w:t>（信息商需填写</w:t>
            </w:r>
            <w:r>
              <w:rPr>
                <w:rFonts w:hint="eastAsia" w:ascii="Times New Roman" w:hAnsi="Times New Roman" w:eastAsia="仿宋" w:cs="Times New Roman"/>
                <w:b w:val="0"/>
                <w:bCs w:val="0"/>
                <w:sz w:val="28"/>
                <w:szCs w:val="28"/>
                <w:lang w:val="en-US" w:eastAsia="zh-CN"/>
              </w:rPr>
              <w:t>6</w:t>
            </w:r>
            <w:r>
              <w:rPr>
                <w:rFonts w:hint="eastAsia" w:ascii="Times New Roman" w:hAnsi="Times New Roman" w:eastAsia="仿宋" w:cs="Times New Roman"/>
                <w:kern w:val="2"/>
                <w:sz w:val="28"/>
                <w:szCs w:val="28"/>
                <w:lang w:val="en-US" w:eastAsia="zh-CN" w:bidi="ar-SA"/>
              </w:rPr>
              <w:t>、7、8、10</w:t>
            </w:r>
            <w:r>
              <w:rPr>
                <w:rFonts w:hint="eastAsia" w:ascii="方正楷体_GBK" w:hAnsi="方正楷体_GBK" w:eastAsia="方正楷体_GBK" w:cs="方正楷体_GBK"/>
                <w:b w:val="0"/>
                <w:bCs w:val="0"/>
                <w:sz w:val="28"/>
                <w:szCs w:val="28"/>
                <w:lang w:val="en-US" w:eastAsia="zh-CN"/>
              </w:rPr>
              <w:t>项</w:t>
            </w:r>
            <w:r>
              <w:rPr>
                <w:rFonts w:hint="eastAsia" w:ascii="方正楷体_GBK" w:hAnsi="方正楷体_GBK" w:eastAsia="方正楷体_GBK" w:cs="方正楷体_GBK"/>
                <w:b w:val="0"/>
                <w:bCs w:val="0"/>
                <w:sz w:val="28"/>
                <w:szCs w:val="28"/>
                <w:lang w:eastAsia="zh-CN"/>
              </w:rPr>
              <w:t>）</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代码切换前</w:t>
            </w:r>
            <w:r>
              <w:rPr>
                <w:rFonts w:hint="eastAsia" w:ascii="Times New Roman" w:hAnsi="Times New Roman" w:eastAsia="仿宋" w:cs="Times New Roman"/>
                <w:sz w:val="28"/>
                <w:szCs w:val="28"/>
              </w:rPr>
              <w:t>使用老代码</w:t>
            </w:r>
            <w:r>
              <w:rPr>
                <w:rFonts w:hint="eastAsia" w:ascii="Times New Roman" w:hAnsi="Times New Roman" w:eastAsia="仿宋" w:cs="Times New Roman"/>
                <w:sz w:val="28"/>
                <w:szCs w:val="28"/>
                <w:lang w:eastAsia="zh-CN"/>
              </w:rPr>
              <w:t>正常</w:t>
            </w:r>
            <w:r>
              <w:rPr>
                <w:rFonts w:hint="eastAsia" w:ascii="Times New Roman" w:hAnsi="Times New Roman" w:eastAsia="仿宋" w:cs="Times New Roman"/>
                <w:sz w:val="28"/>
                <w:szCs w:val="28"/>
              </w:rPr>
              <w:t>完成日终处理。</w:t>
            </w:r>
          </w:p>
          <w:p>
            <w:pPr>
              <w:numPr>
                <w:ilvl w:val="0"/>
                <w:numId w:val="0"/>
              </w:numPr>
              <w:spacing w:before="60" w:after="60" w:line="0" w:lineRule="atLeast"/>
              <w:ind w:firstLine="560" w:firstLineChars="200"/>
              <w:rPr>
                <w:rFonts w:ascii="Times New Roman" w:hAnsi="Times New Roman" w:eastAsia="黑体" w:cs="Times New Roman"/>
                <w:sz w:val="28"/>
                <w:szCs w:val="28"/>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p>
          <w:p>
            <w:pPr>
              <w:spacing w:before="60" w:after="60" w:line="0" w:lineRule="atLeast"/>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代码切换阶段</w:t>
            </w:r>
            <w:r>
              <w:rPr>
                <w:rFonts w:hint="eastAsia" w:ascii="Times New Roman" w:hAnsi="Times New Roman" w:eastAsia="仿宋" w:cs="Times New Roman"/>
                <w:sz w:val="28"/>
                <w:szCs w:val="28"/>
                <w:lang w:val="en-US" w:eastAsia="zh-CN"/>
              </w:rPr>
              <w:t>能正确完成涉及交易、行情技术系统、投资者周边系统的代码切换</w:t>
            </w:r>
            <w:r>
              <w:rPr>
                <w:rFonts w:hint="eastAsia" w:ascii="Times New Roman" w:hAnsi="Times New Roman" w:eastAsia="仿宋" w:cs="Times New Roman"/>
                <w:sz w:val="28"/>
                <w:szCs w:val="28"/>
              </w:rPr>
              <w:t>。</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p>
          <w:p>
            <w:pPr>
              <w:numPr>
                <w:ilvl w:val="0"/>
                <w:numId w:val="0"/>
              </w:numPr>
              <w:spacing w:before="60" w:after="60" w:line="0" w:lineRule="atLeas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lang w:eastAsia="zh-CN"/>
              </w:rPr>
              <w:t>代码切换后数据核对阶段，交易结算类相关业务内部数据核对符合预期。</w:t>
            </w:r>
          </w:p>
          <w:p>
            <w:pPr>
              <w:numPr>
                <w:ilvl w:val="0"/>
                <w:numId w:val="0"/>
              </w:num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代码切换后数据核对阶段，北交所重新发送的</w:t>
            </w:r>
            <w:r>
              <w:rPr>
                <w:rFonts w:hint="eastAsia" w:ascii="Times New Roman" w:hAnsi="Times New Roman" w:eastAsia="仿宋" w:cs="Times New Roman"/>
                <w:sz w:val="28"/>
                <w:szCs w:val="28"/>
                <w:lang w:val="en-US" w:eastAsia="zh-CN"/>
              </w:rPr>
              <w:t>7个数据校验接口数据核对准确无误</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（券商适用）</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eastAsia="zh-CN"/>
              </w:rPr>
              <w:t>不涉及</w:t>
            </w:r>
            <w:r>
              <w:rPr>
                <w:rFonts w:hint="eastAsia" w:ascii="Times New Roman" w:hAnsi="Times New Roman" w:eastAsia="仿宋" w:cs="Times New Roman"/>
                <w:sz w:val="28"/>
                <w:szCs w:val="28"/>
                <w:lang w:val="en-US" w:eastAsia="zh-CN"/>
              </w:rPr>
              <w:t xml:space="preserve">    </w:t>
            </w:r>
          </w:p>
          <w:p>
            <w:pPr>
              <w:spacing w:before="60" w:after="60" w:line="0" w:lineRule="atLeas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lang w:eastAsia="zh-CN"/>
              </w:rPr>
              <w:t>代码切换后数据核对阶段，中国结算北分重新发送的</w:t>
            </w:r>
            <w:r>
              <w:rPr>
                <w:rFonts w:hint="eastAsia" w:ascii="Times New Roman" w:hAnsi="Times New Roman" w:eastAsia="仿宋" w:cs="Times New Roman"/>
                <w:sz w:val="28"/>
                <w:szCs w:val="28"/>
                <w:lang w:val="en-US" w:eastAsia="zh-CN"/>
              </w:rPr>
              <w:t>2个数据校验接口（明细结果库和股份结算对账库）数据核对准确无误</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（券商适用）</w:t>
            </w:r>
          </w:p>
          <w:p>
            <w:pPr>
              <w:numPr>
                <w:ilvl w:val="0"/>
                <w:numId w:val="0"/>
              </w:numPr>
              <w:spacing w:before="60" w:after="60" w:line="0" w:lineRule="atLeast"/>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不涉及</w:t>
            </w:r>
          </w:p>
          <w:p>
            <w:p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lang w:eastAsia="zh-CN"/>
              </w:rPr>
              <w:t>代码切换后已切换股票新三板期间行情不再与北交所上市期间行情连续。</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p>
          <w:p>
            <w:pPr>
              <w:numPr>
                <w:ilvl w:val="-1"/>
                <w:numId w:val="0"/>
              </w:numPr>
              <w:spacing w:before="60" w:after="60" w:line="0" w:lineRule="atLeas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lang w:eastAsia="zh-CN"/>
              </w:rPr>
              <w:t>代码切换后已切换股票在北交所上市以来行情信息（含精选层期间）按照新代码连续展示，切换后首日前收盘价为原代码前收盘价。</w:t>
            </w:r>
          </w:p>
          <w:p>
            <w:pPr>
              <w:numPr>
                <w:ilvl w:val="0"/>
                <w:numId w:val="0"/>
              </w:num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lang w:eastAsia="zh-CN"/>
              </w:rPr>
              <w:t>代码切换后能够按要求支持投资者使用新老代码查询行情、公告等信息。</w:t>
            </w:r>
          </w:p>
          <w:p>
            <w:pPr>
              <w:numPr>
                <w:ilvl w:val="0"/>
                <w:numId w:val="0"/>
              </w:num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lang w:eastAsia="zh-CN"/>
              </w:rPr>
              <w:t>代码切换后涉及已切换股票的各类北交所业务委托申报、回报处理、股份计算、资金冻结等均正常</w:t>
            </w:r>
            <w:r>
              <w:rPr>
                <w:rFonts w:hint="eastAsia" w:ascii="Times New Roman" w:hAnsi="Times New Roman" w:eastAsia="仿宋" w:cs="Times New Roman"/>
                <w:sz w:val="28"/>
                <w:szCs w:val="28"/>
              </w:rPr>
              <w:t>。</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p>
          <w:p>
            <w:pPr>
              <w:numPr>
                <w:ilvl w:val="0"/>
                <w:numId w:val="0"/>
              </w:numPr>
              <w:spacing w:before="60" w:after="60" w:line="0" w:lineRule="atLeas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10.代码切换完成后能够正确接收、处理北交所下发的行情信息。</w:t>
            </w:r>
          </w:p>
          <w:p>
            <w:p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p>
          <w:p>
            <w:pPr>
              <w:numPr>
                <w:ilvl w:val="0"/>
                <w:numId w:val="0"/>
              </w:numPr>
              <w:spacing w:before="60" w:after="60" w:line="0" w:lineRule="atLeas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11.代码切换完成后能够正常完成北交所股票的清算交收。</w:t>
            </w:r>
          </w:p>
          <w:p>
            <w:p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p>
          <w:p>
            <w:pPr>
              <w:spacing w:before="60" w:after="60" w:line="0" w:lineRule="atLeast"/>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12</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代码切换完成后融资融券相关业务可正常开展，余额等数据可正确报送</w:t>
            </w:r>
            <w:r>
              <w:rPr>
                <w:rFonts w:hint="eastAsia" w:ascii="Times New Roman" w:hAnsi="Times New Roman" w:eastAsia="仿宋" w:cs="Times New Roman"/>
                <w:sz w:val="28"/>
                <w:szCs w:val="28"/>
              </w:rPr>
              <w:t>。</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13</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代码切换完成后北交所做市商做市相关业务可正常开展，做市义务可正常履行</w:t>
            </w:r>
            <w:r>
              <w:rPr>
                <w:rFonts w:hint="eastAsia" w:ascii="Times New Roman" w:hAnsi="Times New Roman" w:eastAsia="仿宋" w:cs="Times New Roman"/>
                <w:sz w:val="28"/>
                <w:szCs w:val="28"/>
                <w:lang w:val="en-US" w:eastAsia="zh-CN"/>
              </w:rPr>
              <w:t>。</w:t>
            </w:r>
          </w:p>
          <w:p>
            <w:pPr>
              <w:spacing w:before="60" w:after="60" w:line="0" w:lineRule="atLeas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□通过       □未通过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不涉及</w:t>
            </w:r>
          </w:p>
          <w:p>
            <w:pPr>
              <w:spacing w:before="60" w:after="60" w:line="0" w:lineRule="atLeast"/>
              <w:ind w:firstLine="0" w:firstLineChars="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14.代码切换完成后投资者使用新老代码均可查询上市以来的全部交易流水记录，并按照实际发生时的代码正确展示。</w:t>
            </w:r>
          </w:p>
          <w:p>
            <w:pPr>
              <w:spacing w:before="60" w:after="60" w:line="0" w:lineRule="atLeas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不涉及</w:t>
            </w:r>
          </w:p>
          <w:p>
            <w:pPr>
              <w:spacing w:before="60" w:after="60" w:line="0" w:lineRule="atLeast"/>
              <w:ind w:firstLine="0" w:firstLineChars="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15</w:t>
            </w:r>
            <w:r>
              <w:rPr>
                <w:rFonts w:ascii="Times New Roman" w:hAnsi="Times New Roman" w:eastAsia="仿宋" w:cs="Times New Roman"/>
                <w:sz w:val="28"/>
                <w:szCs w:val="28"/>
                <w:lang w:val="en"/>
              </w:rPr>
              <w:t>.</w:t>
            </w:r>
            <w:r>
              <w:rPr>
                <w:rFonts w:hint="eastAsia" w:ascii="Times New Roman" w:hAnsi="Times New Roman" w:eastAsia="仿宋" w:cs="Times New Roman"/>
                <w:sz w:val="28"/>
                <w:szCs w:val="28"/>
                <w:lang w:eastAsia="zh-CN"/>
              </w:rPr>
              <w:t>代码切换完成后已切换</w:t>
            </w:r>
            <w:r>
              <w:rPr>
                <w:rFonts w:hint="eastAsia" w:ascii="Times New Roman" w:hAnsi="Times New Roman" w:eastAsia="仿宋" w:cs="Times New Roman"/>
                <w:sz w:val="28"/>
                <w:szCs w:val="28"/>
                <w:lang w:val="en-US" w:eastAsia="zh-CN"/>
              </w:rPr>
              <w:t>股票、未切换股票的各项业务</w:t>
            </w:r>
            <w:r>
              <w:rPr>
                <w:rFonts w:hint="eastAsia" w:ascii="Times New Roman" w:hAnsi="Times New Roman" w:eastAsia="仿宋" w:cs="Times New Roman"/>
                <w:sz w:val="28"/>
                <w:szCs w:val="28"/>
                <w:lang w:eastAsia="zh-CN"/>
              </w:rPr>
              <w:t>（含优先股、可转债、要约等）</w:t>
            </w:r>
            <w:r>
              <w:rPr>
                <w:rFonts w:hint="eastAsia" w:ascii="Times New Roman" w:hAnsi="Times New Roman" w:eastAsia="仿宋" w:cs="Times New Roman"/>
                <w:sz w:val="28"/>
                <w:szCs w:val="28"/>
                <w:lang w:val="en-US" w:eastAsia="zh-CN"/>
              </w:rPr>
              <w:t>均可正常开展。</w:t>
            </w:r>
          </w:p>
          <w:p>
            <w:pPr>
              <w:spacing w:before="60" w:after="60" w:line="0" w:lineRule="atLeas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p>
          <w:p>
            <w:pPr>
              <w:spacing w:before="60" w:after="60" w:line="0" w:lineRule="atLeast"/>
              <w:ind w:firstLine="0" w:firstLineChars="0"/>
              <w:rPr>
                <w:rFonts w:hint="default" w:ascii="Times New Roman" w:hAnsi="Times New Roman"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三、测试结论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□完全通过   □部分通过   □未通过</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lang w:eastAsia="zh-CN"/>
              </w:rPr>
              <w:t>。尚未完成技术改造的，请填写</w:t>
            </w:r>
            <w:r>
              <w:rPr>
                <w:rFonts w:ascii="Times New Roman" w:hAnsi="Times New Roman" w:eastAsia="仿宋" w:cs="Times New Roman"/>
                <w:sz w:val="28"/>
                <w:szCs w:val="28"/>
              </w:rPr>
              <w:t>预期改造完成时间。）</w:t>
            </w:r>
          </w:p>
          <w:p>
            <w:pPr>
              <w:spacing w:before="60" w:after="60" w:line="0" w:lineRule="atLeast"/>
              <w:jc w:val="lef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jc w:val="left"/>
              <w:rPr>
                <w:rFonts w:ascii="黑体" w:hAnsi="黑体" w:eastAsia="黑体" w:cs="Arial"/>
                <w:sz w:val="28"/>
                <w:szCs w:val="28"/>
              </w:rPr>
            </w:pPr>
            <w:r>
              <w:rPr>
                <w:rFonts w:ascii="黑体" w:hAnsi="黑体" w:eastAsia="黑体" w:cs="Arial"/>
                <w:sz w:val="28"/>
                <w:szCs w:val="28"/>
              </w:rPr>
              <w:t>四</w:t>
            </w:r>
            <w:r>
              <w:rPr>
                <w:rFonts w:hint="eastAsia" w:ascii="黑体" w:hAnsi="黑体" w:eastAsia="黑体" w:cs="Arial"/>
                <w:sz w:val="28"/>
                <w:szCs w:val="28"/>
              </w:rPr>
              <w:t>、</w:t>
            </w:r>
            <w:r>
              <w:rPr>
                <w:rFonts w:ascii="黑体" w:hAnsi="黑体" w:eastAsia="黑体" w:cs="Arial"/>
                <w:sz w:val="28"/>
                <w:szCs w:val="28"/>
              </w:rPr>
              <w:t>问题记录</w:t>
            </w: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sz w:val="28"/>
                <w:szCs w:val="28"/>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96" w:type="dxa"/>
          </w:tcPr>
          <w:p>
            <w:pPr>
              <w:spacing w:before="60" w:after="60" w:line="0" w:lineRule="atLeast"/>
              <w:jc w:val="lef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jc w:val="lef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spacing w:before="60" w:after="60" w:line="0" w:lineRule="atLeast"/>
              <w:jc w:val="left"/>
              <w:rPr>
                <w:rFonts w:ascii="黑体" w:hAnsi="黑体" w:eastAsia="黑体" w:cs="Arial"/>
                <w:sz w:val="28"/>
                <w:szCs w:val="28"/>
              </w:rPr>
            </w:pPr>
          </w:p>
        </w:tc>
      </w:tr>
    </w:tbl>
    <w:p>
      <w:pPr>
        <w:spacing w:line="0" w:lineRule="atLeast"/>
      </w:pPr>
    </w:p>
    <w:p>
      <w:pPr>
        <w:spacing w:line="0" w:lineRule="atLeast"/>
      </w:pPr>
    </w:p>
    <w:p>
      <w:pPr>
        <w:spacing w:line="0" w:lineRule="atLeast"/>
        <w:rPr>
          <w:rFonts w:ascii="Times New Roman" w:hAnsi="Times New Roman" w:eastAsia="楷体" w:cs="Times New Roman"/>
          <w:sz w:val="24"/>
          <w:szCs w:val="28"/>
        </w:rPr>
      </w:pPr>
      <w:r>
        <w:br w:type="textWrapping"/>
      </w:r>
      <w:r>
        <w:rPr>
          <w:rFonts w:ascii="Times New Roman" w:hAnsi="Times New Roman" w:eastAsia="楷体" w:cs="Times New Roman"/>
          <w:sz w:val="24"/>
          <w:szCs w:val="28"/>
        </w:rPr>
        <w:t>注：测试结束后，各</w:t>
      </w:r>
      <w:r>
        <w:rPr>
          <w:rFonts w:hint="eastAsia" w:ascii="Times New Roman" w:hAnsi="Times New Roman" w:eastAsia="楷体" w:cs="Times New Roman"/>
          <w:sz w:val="24"/>
          <w:szCs w:val="28"/>
          <w:lang w:eastAsia="zh-CN"/>
        </w:rPr>
        <w:t>证券公司、参测基金公司和信息商</w:t>
      </w:r>
      <w:r>
        <w:rPr>
          <w:rFonts w:hint="eastAsia" w:ascii="Times New Roman" w:hAnsi="Times New Roman" w:eastAsia="楷体" w:cs="Times New Roman"/>
          <w:sz w:val="24"/>
          <w:szCs w:val="28"/>
        </w:rPr>
        <w:t>应收集各自</w:t>
      </w:r>
      <w:r>
        <w:rPr>
          <w:rFonts w:ascii="Times New Roman" w:hAnsi="Times New Roman" w:eastAsia="楷体" w:cs="Times New Roman"/>
          <w:sz w:val="24"/>
          <w:szCs w:val="28"/>
        </w:rPr>
        <w:t>技术系统的测试情况，</w:t>
      </w:r>
      <w:r>
        <w:rPr>
          <w:rFonts w:hint="eastAsia" w:ascii="Times New Roman" w:hAnsi="Times New Roman" w:eastAsia="楷体" w:cs="Times New Roman"/>
          <w:sz w:val="24"/>
          <w:szCs w:val="28"/>
        </w:rPr>
        <w:t>并于测试结束当日（第一轮：2025年3月7日，第二轮：2025年3月14日，第三轮：2025年3月21日，第四轮：2025年3月28日）17:</w:t>
      </w:r>
      <w:r>
        <w:rPr>
          <w:rFonts w:ascii="Times New Roman" w:hAnsi="Times New Roman" w:eastAsia="楷体" w:cs="Times New Roman"/>
          <w:sz w:val="24"/>
          <w:szCs w:val="28"/>
        </w:rPr>
        <w:t>00之前通过</w:t>
      </w:r>
      <w:r>
        <w:rPr>
          <w:rFonts w:hint="eastAsia" w:ascii="Times New Roman" w:hAnsi="Times New Roman" w:eastAsia="楷体" w:cs="Times New Roman"/>
          <w:sz w:val="24"/>
          <w:szCs w:val="28"/>
        </w:rPr>
        <w:t>电子邮件</w:t>
      </w:r>
      <w:r>
        <w:rPr>
          <w:rFonts w:ascii="Times New Roman" w:hAnsi="Times New Roman" w:eastAsia="楷体" w:cs="Times New Roman"/>
          <w:sz w:val="24"/>
          <w:szCs w:val="28"/>
        </w:rPr>
        <w:t>向</w:t>
      </w:r>
      <w:r>
        <w:rPr>
          <w:rFonts w:hint="eastAsia" w:ascii="Times New Roman" w:hAnsi="Times New Roman" w:eastAsia="楷体" w:cs="Times New Roman"/>
          <w:sz w:val="24"/>
          <w:szCs w:val="28"/>
        </w:rPr>
        <w:t>北交所</w:t>
      </w:r>
      <w:r>
        <w:rPr>
          <w:rFonts w:ascii="Times New Roman" w:hAnsi="Times New Roman" w:eastAsia="楷体" w:cs="Times New Roman"/>
          <w:sz w:val="24"/>
          <w:szCs w:val="28"/>
        </w:rPr>
        <w:t>提交测试报告（</w:t>
      </w:r>
      <w:r>
        <w:rPr>
          <w:rFonts w:hint="eastAsia" w:ascii="Times New Roman" w:hAnsi="Times New Roman" w:eastAsia="楷体" w:cs="Times New Roman"/>
          <w:sz w:val="24"/>
          <w:szCs w:val="28"/>
        </w:rPr>
        <w:t>无需盖章</w:t>
      </w:r>
      <w:r>
        <w:rPr>
          <w:rFonts w:ascii="Times New Roman" w:hAnsi="Times New Roman" w:eastAsia="楷体" w:cs="Times New Roman"/>
          <w:sz w:val="24"/>
          <w:szCs w:val="28"/>
        </w:rPr>
        <w:t>）</w:t>
      </w:r>
      <w:r>
        <w:rPr>
          <w:rFonts w:hint="eastAsia" w:ascii="Times New Roman" w:hAnsi="Times New Roman" w:eastAsia="楷体" w:cs="Times New Roman"/>
          <w:sz w:val="24"/>
          <w:szCs w:val="28"/>
          <w:lang w:eastAsia="zh-CN"/>
        </w:rPr>
        <w:t>，</w:t>
      </w:r>
      <w:r>
        <w:rPr>
          <w:rFonts w:ascii="Times New Roman" w:hAnsi="Times New Roman" w:eastAsia="楷体" w:cs="Times New Roman"/>
          <w:sz w:val="24"/>
          <w:szCs w:val="28"/>
        </w:rPr>
        <w:t>邮件主题</w:t>
      </w:r>
      <w:r>
        <w:rPr>
          <w:rFonts w:hint="eastAsia" w:ascii="Times New Roman" w:hAnsi="Times New Roman" w:eastAsia="楷体" w:cs="Times New Roman"/>
          <w:sz w:val="24"/>
          <w:szCs w:val="28"/>
        </w:rPr>
        <w:t>和附件名称</w:t>
      </w:r>
      <w:r>
        <w:rPr>
          <w:rFonts w:ascii="Times New Roman" w:hAnsi="Times New Roman" w:eastAsia="楷体" w:cs="Times New Roman"/>
          <w:sz w:val="24"/>
          <w:szCs w:val="28"/>
        </w:rPr>
        <w:t>均为：</w:t>
      </w:r>
      <w:r>
        <w:rPr>
          <w:rFonts w:hint="eastAsia" w:ascii="Times New Roman" w:hAnsi="Times New Roman" w:eastAsia="楷体" w:cs="Times New Roman"/>
          <w:sz w:val="24"/>
          <w:szCs w:val="28"/>
        </w:rPr>
        <w:t>机构</w:t>
      </w:r>
      <w:r>
        <w:rPr>
          <w:rFonts w:ascii="Times New Roman" w:hAnsi="Times New Roman" w:eastAsia="楷体" w:cs="Times New Roman"/>
          <w:sz w:val="24"/>
          <w:szCs w:val="28"/>
        </w:rPr>
        <w:t>名称+</w:t>
      </w:r>
      <w:r>
        <w:rPr>
          <w:rFonts w:hint="eastAsia" w:ascii="Times New Roman" w:hAnsi="Times New Roman" w:eastAsia="楷体" w:cs="Times New Roman"/>
          <w:sz w:val="24"/>
          <w:szCs w:val="28"/>
        </w:rPr>
        <w:t>北交所存量上市公司代码切换（试点）</w:t>
      </w:r>
      <w:r>
        <w:rPr>
          <w:rFonts w:hint="eastAsia" w:ascii="Times New Roman" w:hAnsi="Times New Roman" w:eastAsia="楷体" w:cs="Times New Roman"/>
          <w:sz w:val="24"/>
          <w:szCs w:val="28"/>
          <w:lang w:val="en"/>
        </w:rPr>
        <w:t>第</w:t>
      </w:r>
      <w:r>
        <w:rPr>
          <w:rFonts w:hint="eastAsia" w:ascii="Times New Roman" w:hAnsi="Times New Roman" w:eastAsia="楷体" w:cs="Times New Roman"/>
          <w:sz w:val="24"/>
          <w:szCs w:val="28"/>
        </w:rPr>
        <w:t>N轮仿真</w:t>
      </w:r>
      <w:r>
        <w:rPr>
          <w:rFonts w:ascii="Times New Roman" w:hAnsi="Times New Roman" w:eastAsia="楷体" w:cs="Times New Roman"/>
          <w:sz w:val="24"/>
          <w:szCs w:val="28"/>
        </w:rPr>
        <w:t>测试</w:t>
      </w:r>
      <w:r>
        <w:rPr>
          <w:rFonts w:hint="eastAsia" w:ascii="Times New Roman" w:hAnsi="Times New Roman" w:eastAsia="楷体" w:cs="Times New Roman"/>
          <w:sz w:val="24"/>
          <w:szCs w:val="28"/>
        </w:rPr>
        <w:t>报告，</w:t>
      </w:r>
      <w:r>
        <w:rPr>
          <w:rFonts w:ascii="Times New Roman" w:hAnsi="Times New Roman" w:eastAsia="楷体" w:cs="Times New Roman"/>
          <w:sz w:val="24"/>
          <w:szCs w:val="28"/>
        </w:rPr>
        <w:t>收件邮箱为</w:t>
      </w:r>
      <w:r>
        <w:rPr>
          <w:rFonts w:hint="eastAsia" w:ascii="Times New Roman" w:hAnsi="Times New Roman" w:eastAsia="楷体" w:cs="Times New Roman"/>
          <w:sz w:val="24"/>
          <w:szCs w:val="28"/>
        </w:rPr>
        <w:t>：</w:t>
      </w:r>
      <w:r>
        <w:fldChar w:fldCharType="begin"/>
      </w:r>
      <w:r>
        <w:instrText xml:space="preserve"> HYPERLINK "mailto:techservice@neeq.com.cn" </w:instrText>
      </w:r>
      <w:r>
        <w:fldChar w:fldCharType="separate"/>
      </w:r>
      <w:r>
        <w:rPr>
          <w:rFonts w:hint="eastAsia" w:ascii="Times New Roman" w:hAnsi="Times New Roman" w:eastAsia="楷体" w:cs="Times New Roman"/>
          <w:sz w:val="24"/>
          <w:szCs w:val="28"/>
        </w:rPr>
        <w:t>techservice@neeq.com.cn</w:t>
      </w:r>
      <w:r>
        <w:rPr>
          <w:rFonts w:hint="eastAsia" w:ascii="Times New Roman" w:hAnsi="Times New Roman" w:eastAsia="楷体" w:cs="Times New Roman"/>
          <w:sz w:val="24"/>
          <w:szCs w:val="28"/>
        </w:rPr>
        <w:fldChar w:fldCharType="end"/>
      </w:r>
      <w:r>
        <w:rPr>
          <w:rFonts w:ascii="Times New Roman" w:hAnsi="Times New Roman" w:eastAsia="楷体" w:cs="Times New Roman"/>
          <w:sz w:val="24"/>
          <w:szCs w:val="28"/>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691242"/>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791657584"/>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0BB8"/>
    <w:multiLevelType w:val="singleLevel"/>
    <w:tmpl w:val="F7E60BB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trackRevisions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8"/>
    <w:rsid w:val="00030C62"/>
    <w:rsid w:val="000F10B6"/>
    <w:rsid w:val="00130595"/>
    <w:rsid w:val="00255DDF"/>
    <w:rsid w:val="00322042"/>
    <w:rsid w:val="003A719A"/>
    <w:rsid w:val="003B4AA8"/>
    <w:rsid w:val="003E7A93"/>
    <w:rsid w:val="004C25E3"/>
    <w:rsid w:val="005258A4"/>
    <w:rsid w:val="0066266D"/>
    <w:rsid w:val="00681E6B"/>
    <w:rsid w:val="006F059A"/>
    <w:rsid w:val="00822087"/>
    <w:rsid w:val="008A6B97"/>
    <w:rsid w:val="009879A7"/>
    <w:rsid w:val="009879C6"/>
    <w:rsid w:val="00A55770"/>
    <w:rsid w:val="00AC6261"/>
    <w:rsid w:val="00AD31F1"/>
    <w:rsid w:val="00B75920"/>
    <w:rsid w:val="00C56CE1"/>
    <w:rsid w:val="00C933F1"/>
    <w:rsid w:val="00C94C3D"/>
    <w:rsid w:val="00CA37AF"/>
    <w:rsid w:val="00D15D74"/>
    <w:rsid w:val="00D434A8"/>
    <w:rsid w:val="00D94A4E"/>
    <w:rsid w:val="00E35C9E"/>
    <w:rsid w:val="00E95E00"/>
    <w:rsid w:val="00F20D72"/>
    <w:rsid w:val="00F44274"/>
    <w:rsid w:val="00FA39EC"/>
    <w:rsid w:val="03D9ACEF"/>
    <w:rsid w:val="0A772342"/>
    <w:rsid w:val="15796B0D"/>
    <w:rsid w:val="15CEFEA2"/>
    <w:rsid w:val="17FF0A54"/>
    <w:rsid w:val="1BFCE234"/>
    <w:rsid w:val="31725D05"/>
    <w:rsid w:val="36FB5734"/>
    <w:rsid w:val="3799C458"/>
    <w:rsid w:val="3ABF3CAC"/>
    <w:rsid w:val="3BB29D43"/>
    <w:rsid w:val="3BBDC055"/>
    <w:rsid w:val="3BFF6F1D"/>
    <w:rsid w:val="3E969E0E"/>
    <w:rsid w:val="3EB377F2"/>
    <w:rsid w:val="3EBFCBF2"/>
    <w:rsid w:val="3EFF8A4B"/>
    <w:rsid w:val="3F7AE1CA"/>
    <w:rsid w:val="3F7F0C67"/>
    <w:rsid w:val="3FBCBDAD"/>
    <w:rsid w:val="3FD06DE2"/>
    <w:rsid w:val="3FDF8113"/>
    <w:rsid w:val="47FB12F6"/>
    <w:rsid w:val="4EDFCC35"/>
    <w:rsid w:val="4F5FD904"/>
    <w:rsid w:val="4FDF5ABD"/>
    <w:rsid w:val="4FFE035D"/>
    <w:rsid w:val="55FFF753"/>
    <w:rsid w:val="5757D02A"/>
    <w:rsid w:val="58D76499"/>
    <w:rsid w:val="5AF6E261"/>
    <w:rsid w:val="5DBF74CE"/>
    <w:rsid w:val="5EED6B51"/>
    <w:rsid w:val="5F7B0672"/>
    <w:rsid w:val="5F9E2A7E"/>
    <w:rsid w:val="5FE79210"/>
    <w:rsid w:val="5FFD4F20"/>
    <w:rsid w:val="5FFDE180"/>
    <w:rsid w:val="637FF77A"/>
    <w:rsid w:val="6BFF38C5"/>
    <w:rsid w:val="6E79CB86"/>
    <w:rsid w:val="6EBE9E74"/>
    <w:rsid w:val="6EFB9759"/>
    <w:rsid w:val="6FBD66D6"/>
    <w:rsid w:val="6FF7E4D9"/>
    <w:rsid w:val="71F7EEC8"/>
    <w:rsid w:val="735B3963"/>
    <w:rsid w:val="75FCE1AC"/>
    <w:rsid w:val="760F0B06"/>
    <w:rsid w:val="76EEC450"/>
    <w:rsid w:val="76FD742A"/>
    <w:rsid w:val="76FFA220"/>
    <w:rsid w:val="777FD2E6"/>
    <w:rsid w:val="78F6AFEC"/>
    <w:rsid w:val="7953A586"/>
    <w:rsid w:val="797F0C6E"/>
    <w:rsid w:val="79FD22D7"/>
    <w:rsid w:val="79FD7544"/>
    <w:rsid w:val="7ABF9DBB"/>
    <w:rsid w:val="7AF6780B"/>
    <w:rsid w:val="7AF77DEC"/>
    <w:rsid w:val="7BBBE419"/>
    <w:rsid w:val="7BD98582"/>
    <w:rsid w:val="7BFCC625"/>
    <w:rsid w:val="7BFFA96A"/>
    <w:rsid w:val="7C7D7FA8"/>
    <w:rsid w:val="7CB6FC75"/>
    <w:rsid w:val="7D7227D4"/>
    <w:rsid w:val="7D72A174"/>
    <w:rsid w:val="7D7F7417"/>
    <w:rsid w:val="7DDD760B"/>
    <w:rsid w:val="7DFF9F52"/>
    <w:rsid w:val="7E4EA57D"/>
    <w:rsid w:val="7E8D9F15"/>
    <w:rsid w:val="7ED79364"/>
    <w:rsid w:val="7EF29645"/>
    <w:rsid w:val="7EF4C752"/>
    <w:rsid w:val="7F3F27A1"/>
    <w:rsid w:val="7F6F463C"/>
    <w:rsid w:val="7FAF9AD7"/>
    <w:rsid w:val="7FBBE7EA"/>
    <w:rsid w:val="7FBE3A51"/>
    <w:rsid w:val="7FC62354"/>
    <w:rsid w:val="7FD073FA"/>
    <w:rsid w:val="7FD7EA07"/>
    <w:rsid w:val="7FF50DB3"/>
    <w:rsid w:val="7FFA2750"/>
    <w:rsid w:val="7FFF0DEC"/>
    <w:rsid w:val="89970294"/>
    <w:rsid w:val="97D56C17"/>
    <w:rsid w:val="9FCDF9A5"/>
    <w:rsid w:val="A6EFC633"/>
    <w:rsid w:val="A7DD3774"/>
    <w:rsid w:val="ABFC9E86"/>
    <w:rsid w:val="AEAF0AAA"/>
    <w:rsid w:val="AFDE12FA"/>
    <w:rsid w:val="B674C3DB"/>
    <w:rsid w:val="B7F32B0E"/>
    <w:rsid w:val="BDF45A77"/>
    <w:rsid w:val="BE7B697E"/>
    <w:rsid w:val="BEFF342F"/>
    <w:rsid w:val="BFF1E876"/>
    <w:rsid w:val="BFFF285B"/>
    <w:rsid w:val="BFFF6EAC"/>
    <w:rsid w:val="C6B7EA13"/>
    <w:rsid w:val="C7DF9328"/>
    <w:rsid w:val="C974431C"/>
    <w:rsid w:val="CDE9CF95"/>
    <w:rsid w:val="D1D70023"/>
    <w:rsid w:val="D61F5AD8"/>
    <w:rsid w:val="D757397D"/>
    <w:rsid w:val="DB5CECD3"/>
    <w:rsid w:val="DD3FC460"/>
    <w:rsid w:val="DD6B9DE1"/>
    <w:rsid w:val="DDEF2A55"/>
    <w:rsid w:val="DEFE5AB4"/>
    <w:rsid w:val="DF73F790"/>
    <w:rsid w:val="DFD9EB7B"/>
    <w:rsid w:val="DFDB83AF"/>
    <w:rsid w:val="DFFC362E"/>
    <w:rsid w:val="E7CB0401"/>
    <w:rsid w:val="E9671C18"/>
    <w:rsid w:val="EBEF2783"/>
    <w:rsid w:val="ECF73FF2"/>
    <w:rsid w:val="EED38A74"/>
    <w:rsid w:val="EEFCE7FC"/>
    <w:rsid w:val="EFD484EC"/>
    <w:rsid w:val="EFEEDEA2"/>
    <w:rsid w:val="EFFF3FD4"/>
    <w:rsid w:val="F2FF5FB5"/>
    <w:rsid w:val="F4EEEC03"/>
    <w:rsid w:val="F75C22CE"/>
    <w:rsid w:val="F7AF9381"/>
    <w:rsid w:val="F7DD92E8"/>
    <w:rsid w:val="F7ED2D55"/>
    <w:rsid w:val="F96F22D0"/>
    <w:rsid w:val="F9EDE235"/>
    <w:rsid w:val="FAFDFBC3"/>
    <w:rsid w:val="FB0F7AAE"/>
    <w:rsid w:val="FBBF32FA"/>
    <w:rsid w:val="FBCF5E67"/>
    <w:rsid w:val="FBFDCC5D"/>
    <w:rsid w:val="FBFF3E58"/>
    <w:rsid w:val="FD6F600B"/>
    <w:rsid w:val="FE2F5B5A"/>
    <w:rsid w:val="FE7D9353"/>
    <w:rsid w:val="FECDA975"/>
    <w:rsid w:val="FEEFA429"/>
    <w:rsid w:val="FEF9B186"/>
    <w:rsid w:val="FEFEC111"/>
    <w:rsid w:val="FEFF4A26"/>
    <w:rsid w:val="FF599AE5"/>
    <w:rsid w:val="FF5B9A42"/>
    <w:rsid w:val="FF5F1E14"/>
    <w:rsid w:val="FF722301"/>
    <w:rsid w:val="FF9C9063"/>
    <w:rsid w:val="FFBD2464"/>
    <w:rsid w:val="FFC63734"/>
    <w:rsid w:val="FFEC1714"/>
    <w:rsid w:val="FFFB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before="0" w:line="240" w:lineRule="auto"/>
      <w:ind w:firstLine="640" w:firstLineChars="200"/>
    </w:pPr>
    <w:rPr>
      <w:rFonts w:ascii="Calibri" w:hAnsi="Calibri" w:eastAsia="仿宋"/>
      <w:sz w:val="32"/>
    </w:r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Words>
  <Characters>1025</Characters>
  <Lines>8</Lines>
  <Paragraphs>2</Paragraphs>
  <TotalTime>10</TotalTime>
  <ScaleCrop>false</ScaleCrop>
  <LinksUpToDate>false</LinksUpToDate>
  <CharactersWithSpaces>1202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2022-09-24T23:42:00Z</dcterms:created>
  <dc:creator>张恒zh</dc:creator>
  <cp:lastModifiedBy>wangxm2</cp:lastModifiedBy>
  <dcterms:modified xsi:type="dcterms:W3CDTF">2025-02-24T09:52:50Z</dcterms:modified>
  <dc:title>北证办发〔2023〕X号附件2</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