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6614160" cy="1162050"/>
                        </a:xfrm>
                        <a:prstGeom prst="rect">
                          <a:avLst/>
                        </a:prstGeom>
                        <a:solidFill>
                          <a:srgbClr val="FFFFFF"/>
                        </a:solidFill>
                        <a:ln w="9525">
                          <a:solidFill>
                            <a:srgbClr val="FFFFFF"/>
                          </a:solidFill>
                          <a:miter lim="800000"/>
                        </a:ln>
                      </wps:spPr>
                      <wps:txb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r>
                              <w:rPr>
                                <w:rFonts w:hint="eastAsia" w:ascii="Times New Roman" w:hAnsi="Times New Roman" w:eastAsia="方正大标宋简体"/>
                                <w:color w:val="000000"/>
                                <w:sz w:val="42"/>
                                <w:szCs w:val="42"/>
                              </w:rPr>
                              <w:t>小贷公司</w:t>
                            </w:r>
                            <w:r>
                              <w:rPr>
                                <w:rFonts w:ascii="Times New Roman" w:hAnsi="Times New Roman" w:eastAsia="方正大标宋简体"/>
                                <w:color w:val="000000"/>
                                <w:sz w:val="42"/>
                                <w:szCs w:val="4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45pt;margin-top:-51.6pt;height:91.5pt;width:520.8pt;z-index:251667456;mso-width-relative:page;mso-height-relative:page;" fillcolor="#FFFFFF" filled="t" stroked="t" coordsize="21600,21600" o:gfxdata="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TDwAnZAAAACwEAAA8AAAAAAAAAAQAg&#10;AAAAOAAAAGRycy9kb3ducmV2LnhtbFBLAQIUABQAAAAIAIdO4kCD+kxJMAIAAEsEAAAOAAAAAAAA&#10;AAEAIAAAAD4BAABkcnMvZTJvRG9jLnhtbFBLBQYAAAAABgAGAFkBAADgBQAAAAA=&#10;">
                <v:fill on="t" focussize="0,0"/>
                <v:stroke color="#FFFFFF" miterlimit="8" joinstyle="miter"/>
                <v:imagedata o:title=""/>
                <o:lock v:ext="edit" aspectratio="f"/>
                <v:textbo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r>
                        <w:rPr>
                          <w:rFonts w:hint="eastAsia" w:ascii="Times New Roman" w:hAnsi="Times New Roman" w:eastAsia="方正大标宋简体"/>
                          <w:color w:val="000000"/>
                          <w:sz w:val="42"/>
                          <w:szCs w:val="42"/>
                        </w:rPr>
                        <w:t>小贷公司</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uL9xt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rFonts w:ascii="Calibri" w:hAnsi="Calibri" w:eastAsia="宋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0qItgAAAAJAQAADwAAAAAAAAABACAAAAA4AAAAZHJzL2Rvd25yZXYueG1sUEsBAhQA&#10;FAAAAAgAh07iQMaPoS5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XBjeN1QAAAAcBAAAPAAAAAAAAAAEAIAAAADgAAABkcnMvZG93bnJldi54bWxQSwECFAAUAAAA&#10;CACHTuJAZIfuuk0CAACABAAADgAAAAAAAAABACAAAAA6AQAAZHJzL2Uyb0RvYy54bWxQSwUGAAAA&#10;AAYABgBZAQAA+QU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5pt;margin-top:15.55pt;height:207.65pt;width:493.95pt;z-index:251662336;mso-width-relative:page;mso-height-relative:page;" fillcolor="#FFFFFF" filled="t" stroked="t" coordsize="21600,21600" o:gfxdata="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Fe1M32gAAAAoBAAAPAAAAAAAAAAEAIAAAADgAAABkcnMvZG93bnJldi54bWxQSwEC&#10;FAAUAAAACACHTuJAdYkV9k4CAACBBAAADgAAAAAAAAABACAAAAA/AQAAZHJzL2Uyb0RvYy54bWxQ&#10;SwUGAAAAAAYABgBZAQAA/wU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5.75pt;margin-top:15.9pt;height:57.05pt;width:165pt;z-index:251663360;mso-width-relative:page;mso-height-relative:page;" fillcolor="#FFFFFF" filled="t" stroked="t" coordsize="21600,21600" o:gfxdata="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H7XUNcAAAAKAQAADwAAAAAAAAABACAAAAA4AAAAZHJzL2Rvd25yZXYueG1sUEsBAhQAFAAA&#10;AAgAh07iQCmH4+V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20244</w:t>
                      </w:r>
                    </w:p>
                  </w:txbxContent>
                </v:textbox>
              </v:shape>
            </w:pict>
          </mc:Fallback>
        </mc:AlternateConten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rFonts w:ascii="Calibri" w:hAnsi="Calibri" w:eastAsia="宋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197"/>
      <w:bookmarkStart w:id="1" w:name="_Toc2274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5"/>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5"/>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六、本年度报告已在“第二节会计数据、经营情况和管理层分析”之“五</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5"/>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3325"/>
      <w:bookmarkStart w:id="3" w:name="_Toc26929"/>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5"/>
        <w:tblW w:w="10338" w:type="dxa"/>
        <w:jc w:val="center"/>
        <w:tblLayout w:type="autofit"/>
        <w:tblCellMar>
          <w:top w:w="0" w:type="dxa"/>
          <w:left w:w="108" w:type="dxa"/>
          <w:bottom w:w="0" w:type="dxa"/>
          <w:right w:w="108" w:type="dxa"/>
        </w:tblCellMar>
      </w:tblPr>
      <w:tblGrid>
        <w:gridCol w:w="2400"/>
        <w:gridCol w:w="2693"/>
        <w:gridCol w:w="2127"/>
        <w:gridCol w:w="3118"/>
      </w:tblGrid>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CellMar>
            <w:top w:w="0" w:type="dxa"/>
            <w:left w:w="108" w:type="dxa"/>
            <w:bottom w:w="0" w:type="dxa"/>
            <w:right w:w="108" w:type="dxa"/>
          </w:tblCellMar>
        </w:tblPrEx>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CellMar>
            <w:top w:w="0" w:type="dxa"/>
            <w:left w:w="108" w:type="dxa"/>
            <w:bottom w:w="0" w:type="dxa"/>
            <w:right w:w="108" w:type="dxa"/>
          </w:tblCellMar>
        </w:tblPrEx>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CellMar>
            <w:top w:w="0" w:type="dxa"/>
            <w:left w:w="108" w:type="dxa"/>
            <w:bottom w:w="0" w:type="dxa"/>
            <w:right w:w="108" w:type="dxa"/>
          </w:tblCellMar>
        </w:tblPrEx>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66"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val="0"/>
        <w:keepLines w:val="0"/>
        <w:spacing w:before="0" w:after="0"/>
        <w:jc w:val="left"/>
        <w:outlineLvl w:val="9"/>
        <w:rPr>
          <w:rFonts w:ascii="Calibri" w:hAnsi="Calibri" w:eastAsia="黑体" w:cs="Times New Roman"/>
          <w:b/>
          <w:bCs/>
          <w:kern w:val="44"/>
          <w:sz w:val="36"/>
          <w:szCs w:val="44"/>
          <w:lang w:val="zh-CN"/>
        </w:rPr>
      </w:pPr>
      <w:bookmarkStart w:id="4" w:name="_Toc20290"/>
      <w:bookmarkStart w:id="5" w:name="_Toc17493"/>
      <w:r>
        <w:rPr>
          <w:rFonts w:hint="eastAsia"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一、业务概要</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（一）商业模式与经营计划实现情况</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jc w:val="left"/>
        <w:rPr>
          <w:rFonts w:ascii="宋体" w:hAnsi="宋体" w:eastAsia="宋体" w:cs="Times New Roman"/>
          <w:b/>
          <w:color w:val="000000"/>
          <w:szCs w:val="44"/>
        </w:rPr>
      </w:pPr>
      <w:r>
        <w:rPr>
          <w:rFonts w:ascii="宋体" w:hAnsi="宋体" w:eastAsia="宋体" w:cs="Times New Roman"/>
          <w:b/>
          <w:color w:val="000000"/>
          <w:szCs w:val="44"/>
        </w:rPr>
        <w:t>开展网络小额贷款业务情况</w:t>
      </w:r>
      <w:r>
        <w:rPr>
          <w:rFonts w:hint="eastAsia" w:ascii="宋体" w:hAnsi="宋体" w:eastAsia="宋体" w:cs="Times New Roman"/>
          <w:b/>
          <w:color w:val="000000"/>
          <w:szCs w:val="44"/>
        </w:rPr>
        <w:t>：</w:t>
      </w:r>
    </w:p>
    <w:p>
      <w:pPr>
        <w:rPr>
          <w:rFonts w:ascii="Calibri" w:hAnsi="Calibri" w:eastAsia="宋体" w:cs="Times New Roman"/>
          <w:b/>
          <w:color w:val="000000"/>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简要说明报告期内公司开展网络小额贷款业务的基本情况，包括但不限于业务经营许可的获得、开展业务的方式、业务范围等。</w:t>
            </w:r>
          </w:p>
          <w:p>
            <w:pPr>
              <w:tabs>
                <w:tab w:val="left" w:pos="5140"/>
              </w:tabs>
              <w:ind w:firstLine="400" w:firstLineChars="200"/>
              <w:rPr>
                <w:rFonts w:ascii="宋体" w:hAnsi="宋体" w:eastAsia="宋体" w:cs="Times New Roman"/>
                <w:color w:val="000000"/>
                <w:kern w:val="0"/>
                <w:sz w:val="20"/>
                <w:szCs w:val="44"/>
              </w:rPr>
            </w:pPr>
          </w:p>
        </w:tc>
      </w:tr>
    </w:tbl>
    <w:p>
      <w:pPr>
        <w:jc w:val="left"/>
        <w:rPr>
          <w:rFonts w:ascii="宋体" w:hAnsi="宋体" w:eastAsia="宋体" w:cs="Times New Roman"/>
          <w:b/>
          <w:color w:val="000000"/>
          <w:szCs w:val="44"/>
        </w:rPr>
      </w:pPr>
      <w:r>
        <w:rPr>
          <w:rFonts w:hint="eastAsia" w:ascii="宋体" w:hAnsi="宋体" w:eastAsia="宋体" w:cs="Times New Roman"/>
          <w:b/>
          <w:color w:val="000000"/>
          <w:szCs w:val="44"/>
        </w:rPr>
        <w:t>行业信息：</w:t>
      </w:r>
    </w:p>
    <w:p>
      <w:pPr>
        <w:rPr>
          <w:rFonts w:ascii="宋体" w:hAnsi="宋体" w:eastAsia="宋体" w:cs="Times New Roman"/>
          <w:color w:val="000000"/>
          <w:szCs w:val="21"/>
        </w:rPr>
      </w:pPr>
      <w:r>
        <w:rPr>
          <w:rFonts w:hint="eastAsia" w:ascii="宋体" w:hAnsi="宋体" w:eastAsia="宋体" w:cs="Times New Roman"/>
          <w:color w:val="000000"/>
          <w:szCs w:val="21"/>
        </w:rPr>
        <w:t>是否自愿</w:t>
      </w:r>
      <w:r>
        <w:rPr>
          <w:rFonts w:ascii="宋体" w:hAnsi="宋体" w:eastAsia="宋体" w:cs="Times New Roman"/>
          <w:color w:val="000000"/>
          <w:szCs w:val="21"/>
        </w:rPr>
        <w:t>披露</w:t>
      </w:r>
    </w:p>
    <w:p>
      <w:pPr>
        <w:rPr>
          <w:rFonts w:ascii="Calibri" w:hAnsi="Calibri" w:eastAsia="宋体" w:cs="Times New Roman"/>
          <w:b/>
        </w:rPr>
      </w:pPr>
      <w:r>
        <w:rPr>
          <w:rFonts w:hint="eastAsia" w:ascii="Calibri" w:hAnsi="Calibri" w:eastAsia="宋体" w:cs="Times New Roman"/>
        </w:rPr>
        <w:t>□  是 □  否</w:t>
      </w:r>
    </w:p>
    <w:tbl>
      <w:tblPr>
        <w:tblStyle w:val="197"/>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基础层公司可根据全国股转公司公布的公司行业归属分类，自愿按照全国股转公司制定的各分行业信息披露指引披露年度报告相关的信息。</w:t>
            </w:r>
          </w:p>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（二）与创新属性</w:t>
      </w:r>
      <w:r>
        <w:rPr>
          <w:rFonts w:ascii="Times New Roman" w:hAnsi="Times New Roman" w:eastAsia="宋体" w:cs="Times New Roman"/>
          <w:b/>
          <w:bCs/>
          <w:szCs w:val="32"/>
          <w:lang w:val="zh-CN"/>
        </w:rPr>
        <w:t>相关</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认定</w:t>
      </w:r>
      <w:r>
        <w:rPr>
          <w:rFonts w:hint="eastAsia" w:ascii="Times New Roman" w:hAnsi="Times New Roman" w:eastAsia="宋体" w:cs="Times New Roman"/>
          <w:b/>
          <w:bCs/>
          <w:szCs w:val="32"/>
          <w:lang w:val="zh-CN"/>
        </w:rPr>
        <w:t>情况</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“专精特新”认定</w:t>
            </w:r>
          </w:p>
        </w:tc>
        <w:tc>
          <w:tcPr>
            <w:tcW w:w="6521" w:type="dxa"/>
            <w:shd w:val="clear" w:color="auto" w:fill="auto"/>
          </w:tcPr>
          <w:p>
            <w:pPr>
              <w:rPr>
                <w:rFonts w:ascii="Times New Roman" w:hAnsi="Times New Roman" w:eastAsia="宋体" w:cs="Times New Roman"/>
                <w:color w:val="000000"/>
                <w:kern w:val="0"/>
                <w:sz w:val="22"/>
              </w:rPr>
            </w:pPr>
            <w:r>
              <w:rPr>
                <w:rFonts w:hint="eastAsia" w:ascii="Times New Roman" w:hAnsi="Times New Roman" w:eastAsia="宋体" w:cs="Times New Roman"/>
                <w:color w:val="FF0000"/>
                <w:kern w:val="0"/>
                <w:sz w:val="22"/>
              </w:rPr>
              <w:t xml:space="preserve">匚国家级 </w:t>
            </w:r>
            <w:r>
              <w:rPr>
                <w:rFonts w:ascii="Times New Roman" w:hAnsi="Times New Roman" w:eastAsia="宋体" w:cs="Times New Roman"/>
                <w:color w:val="FF0000"/>
                <w:kern w:val="0"/>
                <w:sz w:val="22"/>
              </w:rPr>
              <w:t xml:space="preserve"> </w:t>
            </w:r>
            <w:r>
              <w:rPr>
                <w:rFonts w:hint="eastAsia" w:ascii="Times New Roman" w:hAnsi="Times New Roman" w:eastAsia="宋体" w:cs="Times New Roman"/>
                <w:color w:val="FF0000"/>
                <w:kern w:val="0"/>
                <w:sz w:val="22"/>
              </w:rPr>
              <w:t xml:space="preserve">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“单项冠军”认定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匚国家级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eastAsia="宋体" w:cs="Times New Roman"/>
                <w:color w:val="000000"/>
                <w:kern w:val="0"/>
                <w:sz w:val="22"/>
              </w:rPr>
            </w:pPr>
            <w:r>
              <w:rPr>
                <w:rFonts w:hint="eastAsia" w:ascii="Calibri" w:hAnsi="Calibri" w:eastAsia="宋体" w:cs="Times New Roman"/>
                <w:sz w:val="22"/>
              </w:rPr>
              <w:t>“高新技术企业”认定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匚是（如不适用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详细情况</w:t>
            </w:r>
          </w:p>
        </w:tc>
        <w:tc>
          <w:tcPr>
            <w:tcW w:w="6521" w:type="dxa"/>
            <w:shd w:val="clear" w:color="auto" w:fill="auto"/>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公司</w:t>
            </w:r>
            <w:r>
              <w:rPr>
                <w:rFonts w:ascii="宋体" w:hAnsi="宋体" w:eastAsia="宋体" w:cs="Times New Roman"/>
                <w:i/>
                <w:color w:val="FF0000"/>
                <w:szCs w:val="44"/>
              </w:rPr>
              <w:t>应</w:t>
            </w:r>
            <w:r>
              <w:rPr>
                <w:rFonts w:hint="eastAsia" w:ascii="宋体" w:hAnsi="宋体" w:eastAsia="宋体" w:cs="Times New Roman"/>
                <w:i/>
                <w:color w:val="FF0000"/>
                <w:szCs w:val="44"/>
              </w:rPr>
              <w:t>披露获得相关认定的类别</w:t>
            </w:r>
            <w:r>
              <w:rPr>
                <w:rFonts w:ascii="宋体" w:hAnsi="宋体" w:eastAsia="宋体" w:cs="Times New Roman"/>
                <w:i/>
                <w:color w:val="FF0000"/>
                <w:szCs w:val="44"/>
              </w:rPr>
              <w:t>、</w:t>
            </w:r>
            <w:r>
              <w:rPr>
                <w:rFonts w:hint="eastAsia" w:ascii="宋体" w:hAnsi="宋体" w:eastAsia="宋体" w:cs="Times New Roman"/>
                <w:i/>
                <w:color w:val="FF0000"/>
                <w:szCs w:val="44"/>
              </w:rPr>
              <w:t>时间</w:t>
            </w:r>
            <w:r>
              <w:rPr>
                <w:rFonts w:ascii="宋体" w:hAnsi="宋体" w:eastAsia="宋体" w:cs="Times New Roman"/>
                <w:i/>
                <w:color w:val="FF0000"/>
                <w:szCs w:val="44"/>
              </w:rPr>
              <w:t>、批次、</w:t>
            </w:r>
            <w:r>
              <w:rPr>
                <w:rFonts w:hint="eastAsia" w:ascii="宋体" w:hAnsi="宋体" w:eastAsia="宋体" w:cs="Times New Roman"/>
                <w:i/>
                <w:color w:val="FF0000"/>
                <w:szCs w:val="44"/>
              </w:rPr>
              <w:t>认定有效期等信息，</w:t>
            </w:r>
            <w:r>
              <w:rPr>
                <w:rFonts w:ascii="宋体" w:hAnsi="宋体" w:eastAsia="宋体" w:cs="Times New Roman"/>
                <w:i/>
                <w:color w:val="FF0000"/>
                <w:szCs w:val="44"/>
              </w:rPr>
              <w:t>可以</w:t>
            </w:r>
            <w:r>
              <w:rPr>
                <w:rFonts w:hint="eastAsia" w:ascii="宋体" w:hAnsi="宋体" w:eastAsia="宋体" w:cs="Times New Roman"/>
                <w:i/>
                <w:color w:val="FF0000"/>
                <w:szCs w:val="44"/>
              </w:rPr>
              <w:t>简要介绍获得相关</w:t>
            </w:r>
            <w:r>
              <w:rPr>
                <w:rFonts w:ascii="宋体" w:hAnsi="宋体" w:eastAsia="宋体" w:cs="Times New Roman"/>
                <w:i/>
                <w:color w:val="FF0000"/>
                <w:szCs w:val="44"/>
              </w:rPr>
              <w:t>认定的</w:t>
            </w:r>
            <w:r>
              <w:rPr>
                <w:rFonts w:hint="eastAsia" w:ascii="宋体" w:hAnsi="宋体" w:eastAsia="宋体" w:cs="Times New Roman"/>
                <w:i/>
                <w:color w:val="FF0000"/>
                <w:szCs w:val="44"/>
              </w:rPr>
              <w:t>主要指标依据、对公司的经营影响、</w:t>
            </w:r>
            <w:r>
              <w:rPr>
                <w:rFonts w:ascii="宋体" w:hAnsi="宋体" w:eastAsia="宋体" w:cs="Times New Roman"/>
                <w:i/>
                <w:color w:val="FF0000"/>
                <w:szCs w:val="44"/>
              </w:rPr>
              <w:t>未来发展目标或方向等。</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其中</w:t>
            </w:r>
            <w:r>
              <w:rPr>
                <w:rFonts w:ascii="宋体" w:hAnsi="宋体" w:eastAsia="宋体" w:cs="Times New Roman"/>
                <w:i/>
                <w:color w:val="FF0000"/>
                <w:szCs w:val="44"/>
              </w:rPr>
              <w:t>，国家级</w:t>
            </w:r>
            <w:r>
              <w:rPr>
                <w:rFonts w:hint="eastAsia" w:ascii="宋体" w:hAnsi="宋体" w:eastAsia="宋体" w:cs="Times New Roman"/>
                <w:i/>
                <w:color w:val="FF0000"/>
                <w:szCs w:val="44"/>
              </w:rPr>
              <w:t>专精特新“小巨人”企业认定依据应</w:t>
            </w:r>
            <w:r>
              <w:rPr>
                <w:rFonts w:ascii="宋体" w:hAnsi="宋体" w:eastAsia="宋体" w:cs="Times New Roman"/>
                <w:i/>
                <w:color w:val="FF0000"/>
                <w:szCs w:val="44"/>
              </w:rPr>
              <w:t>为</w:t>
            </w:r>
            <w:r>
              <w:rPr>
                <w:rFonts w:hint="eastAsia" w:ascii="宋体" w:hAnsi="宋体" w:eastAsia="宋体" w:cs="Times New Roman"/>
                <w:i/>
                <w:color w:val="FF0000"/>
                <w:szCs w:val="44"/>
              </w:rPr>
              <w:t>《优质中小企业梯度培育管理暂行办法》；</w:t>
            </w:r>
            <w:r>
              <w:rPr>
                <w:rFonts w:ascii="宋体" w:hAnsi="宋体" w:eastAsia="宋体" w:cs="Times New Roman"/>
                <w:i/>
                <w:color w:val="FF0000"/>
                <w:szCs w:val="44"/>
              </w:rPr>
              <w:t>国家级</w:t>
            </w:r>
            <w:r>
              <w:rPr>
                <w:rFonts w:hint="eastAsia" w:ascii="宋体" w:hAnsi="宋体" w:eastAsia="宋体" w:cs="Times New Roman"/>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宋体" w:hAnsi="宋体" w:eastAsia="宋体" w:cs="Times New Roman"/>
                <w:i/>
                <w:color w:val="FF0000"/>
                <w:szCs w:val="44"/>
              </w:rPr>
              <w:t>应为</w:t>
            </w:r>
            <w:r>
              <w:rPr>
                <w:rFonts w:hint="eastAsia" w:ascii="宋体" w:hAnsi="宋体" w:eastAsia="宋体" w:cs="Times New Roman"/>
                <w:i/>
                <w:color w:val="FF0000"/>
                <w:szCs w:val="44"/>
              </w:rPr>
              <w:t>《高新技术企业认定管理办法》(国科发火〔2016〕32号)。</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860" w:type="dxa"/>
        <w:jc w:val="center"/>
        <w:tblLayout w:type="autofit"/>
        <w:tblCellMar>
          <w:top w:w="0" w:type="dxa"/>
          <w:left w:w="108" w:type="dxa"/>
          <w:bottom w:w="0" w:type="dxa"/>
          <w:right w:w="108" w:type="dxa"/>
        </w:tblCellMar>
      </w:tblPr>
      <w:tblGrid>
        <w:gridCol w:w="3544"/>
        <w:gridCol w:w="1676"/>
        <w:gridCol w:w="1820"/>
        <w:gridCol w:w="1820"/>
      </w:tblGrid>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676"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营业收入</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利润</w:t>
            </w:r>
            <w:r>
              <w:rPr>
                <w:rFonts w:asciiTheme="minorEastAsia" w:hAnsiTheme="minorEastAsia"/>
                <w:color w:val="000000" w:themeColor="text1"/>
                <w:kern w:val="0"/>
                <w:sz w:val="22"/>
                <w14:textFill>
                  <w14:solidFill>
                    <w14:schemeClr w14:val="tx1"/>
                  </w14:solidFill>
                </w14:textFill>
              </w:rPr>
              <w:t>总额</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归属于</w:t>
            </w:r>
            <w:r>
              <w:rPr>
                <w:rFonts w:asciiTheme="minorEastAsia" w:hAnsiTheme="minorEastAsia"/>
                <w:color w:val="000000" w:themeColor="text1"/>
                <w:kern w:val="0"/>
                <w:sz w:val="22"/>
                <w14:textFill>
                  <w14:solidFill>
                    <w14:schemeClr w14:val="tx1"/>
                  </w14:solidFill>
                </w14:textFill>
              </w:rPr>
              <w:t>挂牌公司股东的净利润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归属于</w:t>
            </w:r>
            <w:r>
              <w:rPr>
                <w:rFonts w:asciiTheme="minorEastAsia" w:hAnsiTheme="minorEastAsia"/>
                <w:color w:val="000000" w:themeColor="text1"/>
                <w:kern w:val="0"/>
                <w:sz w:val="22"/>
                <w14:textFill>
                  <w14:solidFill>
                    <w14:schemeClr w14:val="tx1"/>
                  </w14:solidFill>
                </w14:textFill>
              </w:rPr>
              <w:t>挂牌公司股东的扣</w:t>
            </w:r>
            <w:r>
              <w:rPr>
                <w:rFonts w:hint="eastAsia" w:asciiTheme="minorEastAsia" w:hAnsiTheme="minorEastAsia"/>
                <w:color w:val="000000" w:themeColor="text1"/>
                <w:kern w:val="0"/>
                <w:sz w:val="22"/>
                <w14:textFill>
                  <w14:solidFill>
                    <w14:schemeClr w14:val="tx1"/>
                  </w14:solidFill>
                </w14:textFill>
              </w:rPr>
              <w:t>除非经常性</w:t>
            </w:r>
            <w:r>
              <w:rPr>
                <w:rFonts w:asciiTheme="minorEastAsia" w:hAnsiTheme="minorEastAsia"/>
                <w:color w:val="000000" w:themeColor="text1"/>
                <w:kern w:val="0"/>
                <w:sz w:val="22"/>
                <w14:textFill>
                  <w14:solidFill>
                    <w14:schemeClr w14:val="tx1"/>
                  </w14:solidFill>
                </w14:textFill>
              </w:rPr>
              <w:t>损益后的净利润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加权平均净资产收益率%（依据归属于</w:t>
            </w:r>
            <w:r>
              <w:rPr>
                <w:rFonts w:asciiTheme="minorEastAsia" w:hAnsiTheme="minorEastAsia"/>
                <w:color w:val="000000" w:themeColor="text1"/>
                <w:kern w:val="0"/>
                <w:sz w:val="22"/>
                <w14:textFill>
                  <w14:solidFill>
                    <w14:schemeClr w14:val="tx1"/>
                  </w14:solidFill>
                </w14:textFill>
              </w:rPr>
              <w:t>挂牌公司股东的净利润计算</w:t>
            </w:r>
            <w:r>
              <w:rPr>
                <w:rFonts w:hint="eastAsia" w:asciiTheme="minorEastAsia" w:hAnsiTheme="minorEastAsia"/>
                <w:color w:val="000000" w:themeColor="text1"/>
                <w:kern w:val="0"/>
                <w:sz w:val="22"/>
                <w14:textFill>
                  <w14:solidFill>
                    <w14:schemeClr w14:val="tx1"/>
                  </w14:solidFill>
                </w14:textFill>
              </w:rPr>
              <w:t>）</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876" w:hRule="atLeast"/>
          <w:jc w:val="center"/>
        </w:trPr>
        <w:tc>
          <w:tcPr>
            <w:tcW w:w="3544"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加权平均净资产收益率%（依据归属于</w:t>
            </w:r>
            <w:r>
              <w:rPr>
                <w:rFonts w:asciiTheme="minorEastAsia" w:hAnsiTheme="minorEastAsia"/>
                <w:color w:val="000000" w:themeColor="text1"/>
                <w:kern w:val="0"/>
                <w:sz w:val="22"/>
                <w14:textFill>
                  <w14:solidFill>
                    <w14:schemeClr w14:val="tx1"/>
                  </w14:solidFill>
                </w14:textFill>
              </w:rPr>
              <w:t>挂牌公司股东的扣</w:t>
            </w:r>
            <w:r>
              <w:rPr>
                <w:rFonts w:hint="eastAsia" w:asciiTheme="minorEastAsia" w:hAnsiTheme="minorEastAsia"/>
                <w:color w:val="000000" w:themeColor="text1"/>
                <w:kern w:val="0"/>
                <w:sz w:val="22"/>
                <w14:textFill>
                  <w14:solidFill>
                    <w14:schemeClr w14:val="tx1"/>
                  </w14:solidFill>
                </w14:textFill>
              </w:rPr>
              <w:t>除非经常性</w:t>
            </w:r>
            <w:r>
              <w:rPr>
                <w:rFonts w:asciiTheme="minorEastAsia" w:hAnsiTheme="minorEastAsia"/>
                <w:color w:val="000000" w:themeColor="text1"/>
                <w:kern w:val="0"/>
                <w:sz w:val="22"/>
                <w14:textFill>
                  <w14:solidFill>
                    <w14:schemeClr w14:val="tx1"/>
                  </w14:solidFill>
                </w14:textFill>
              </w:rPr>
              <w:t>损益后的净利润计算</w:t>
            </w:r>
            <w:r>
              <w:rPr>
                <w:rFonts w:hint="eastAsia" w:asciiTheme="minorEastAsia" w:hAnsiTheme="minorEastAsia"/>
                <w:color w:val="000000" w:themeColor="text1"/>
                <w:kern w:val="0"/>
                <w:sz w:val="22"/>
                <w14:textFill>
                  <w14:solidFill>
                    <w14:schemeClr w14:val="tx1"/>
                  </w14:solidFill>
                </w14:textFill>
              </w:rPr>
              <w:t>）</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基本每股收益</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Theme="minorEastAsia" w:hAnsiTheme="minorEastAsia"/>
                <w:color w:val="000000" w:themeColor="text1"/>
                <w:kern w:val="0"/>
                <w:sz w:val="22"/>
                <w14:textFill>
                  <w14:solidFill>
                    <w14:schemeClr w14:val="tx1"/>
                  </w14:solidFill>
                </w14:textFill>
              </w:rPr>
              <w:t>经营</w:t>
            </w:r>
            <w:r>
              <w:rPr>
                <w:rFonts w:asciiTheme="minorEastAsia" w:hAnsiTheme="minorEastAsia"/>
                <w:color w:val="000000" w:themeColor="text1"/>
                <w:kern w:val="0"/>
                <w:sz w:val="22"/>
                <w14:textFill>
                  <w14:solidFill>
                    <w14:schemeClr w14:val="tx1"/>
                  </w14:solidFill>
                </w14:textFill>
              </w:rPr>
              <w:t>活动</w:t>
            </w:r>
            <w:r>
              <w:rPr>
                <w:rFonts w:hint="eastAsia" w:asciiTheme="minorEastAsia" w:hAnsiTheme="minorEastAsia"/>
                <w:color w:val="000000" w:themeColor="text1"/>
                <w:kern w:val="0"/>
                <w:sz w:val="22"/>
                <w14:textFill>
                  <w14:solidFill>
                    <w14:schemeClr w14:val="tx1"/>
                  </w14:solidFill>
                </w14:textFill>
              </w:rPr>
              <w:t>产生的</w:t>
            </w:r>
            <w:r>
              <w:rPr>
                <w:rFonts w:asciiTheme="minorEastAsia" w:hAnsiTheme="minorEastAsia"/>
                <w:color w:val="000000" w:themeColor="text1"/>
                <w:kern w:val="0"/>
                <w:sz w:val="22"/>
                <w14:textFill>
                  <w14:solidFill>
                    <w14:schemeClr w14:val="tx1"/>
                  </w14:solidFill>
                </w14:textFill>
              </w:rPr>
              <w:t>现金流量净额</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highlight w:val="yellow"/>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highlight w:val="yellow"/>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货币资金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应收款项</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发放贷款及垫款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递延所得税</w:t>
            </w:r>
            <w:r>
              <w:rPr>
                <w:rFonts w:asciiTheme="minorEastAsia" w:hAnsiTheme="minorEastAsia"/>
                <w:color w:val="000000" w:themeColor="text1"/>
                <w:sz w:val="22"/>
                <w14:textFill>
                  <w14:solidFill>
                    <w14:schemeClr w14:val="tx1"/>
                  </w14:solidFill>
                </w14:textFill>
              </w:rPr>
              <w:t>资产</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短期</w:t>
            </w:r>
            <w:r>
              <w:rPr>
                <w:rFonts w:asciiTheme="minorEastAsia" w:hAnsiTheme="minorEastAsia"/>
                <w:color w:val="000000" w:themeColor="text1"/>
                <w:sz w:val="22"/>
                <w14:textFill>
                  <w14:solidFill>
                    <w14:schemeClr w14:val="tx1"/>
                  </w14:solidFill>
                </w14:textFill>
              </w:rPr>
              <w:t>借款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拆入</w:t>
            </w:r>
            <w:r>
              <w:rPr>
                <w:rFonts w:asciiTheme="minorEastAsia" w:hAnsiTheme="minorEastAsia"/>
                <w:color w:val="000000" w:themeColor="text1"/>
                <w:sz w:val="22"/>
                <w14:textFill>
                  <w14:solidFill>
                    <w14:schemeClr w14:val="tx1"/>
                  </w14:solidFill>
                </w14:textFill>
              </w:rPr>
              <w:t>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应付款项</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长期</w:t>
            </w:r>
            <w:r>
              <w:rPr>
                <w:rFonts w:asciiTheme="minorEastAsia" w:hAnsiTheme="minorEastAsia"/>
                <w:color w:val="000000" w:themeColor="text1"/>
                <w:sz w:val="22"/>
                <w14:textFill>
                  <w14:solidFill>
                    <w14:schemeClr w14:val="tx1"/>
                  </w14:solidFill>
                </w14:textFill>
              </w:rPr>
              <w:t>借款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其他</w:t>
            </w:r>
            <w:r>
              <w:rPr>
                <w:rFonts w:asciiTheme="minorEastAsia" w:hAnsiTheme="minorEastAsia"/>
                <w:color w:val="000000" w:themeColor="text1"/>
                <w:sz w:val="22"/>
                <w14:textFill>
                  <w14:solidFill>
                    <w14:schemeClr w14:val="tx1"/>
                  </w14:solidFill>
                </w14:textFill>
              </w:rPr>
              <w:t>负债</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w:t>
            </w:r>
            <w:r>
              <w:rPr>
                <w:rFonts w:asciiTheme="minorEastAsia" w:hAnsiTheme="minorEastAsia"/>
                <w:color w:val="000000" w:themeColor="text1"/>
                <w:sz w:val="22"/>
                <w14:textFill>
                  <w14:solidFill>
                    <w14:schemeClr w14:val="tx1"/>
                  </w14:solidFill>
                </w14:textFill>
              </w:rPr>
              <w:t>自动添行）</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r>
              <w:rPr>
                <w:rFonts w:hint="eastAsia" w:eastAsia="宋体" w:cs="Times New Roman" w:asciiTheme="minorEastAsia" w:hAnsiTheme="minorEastAsia"/>
                <w:i/>
                <w:color w:val="FF0000"/>
                <w:kern w:val="0"/>
                <w:sz w:val="20"/>
                <w:szCs w:val="44"/>
              </w:rPr>
              <w:t>公司可免于分析金额占总资产10%以下的资产负债表科目。</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jc w:val="right"/>
        <w:rPr>
          <w:rFonts w:ascii="Calibri" w:hAnsi="Calibri" w:eastAsia="宋体" w:cs="Times New Roman"/>
          <w:b/>
          <w:color w:val="000000"/>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708"/>
        <w:gridCol w:w="2127"/>
        <w:gridCol w:w="708"/>
        <w:gridCol w:w="2127"/>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上年同期</w:t>
            </w:r>
          </w:p>
        </w:tc>
        <w:tc>
          <w:tcPr>
            <w:tcW w:w="1984"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本期与</w:t>
            </w:r>
            <w:r>
              <w:rPr>
                <w:rFonts w:ascii="宋体" w:hAnsi="宋体" w:eastAsia="宋体" w:cs="Times New Roman"/>
                <w:b/>
                <w:color w:val="000000"/>
                <w:sz w:val="22"/>
              </w:rPr>
              <w:t>上年同期金额</w:t>
            </w: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vAlign w:val="center"/>
          </w:tcPr>
          <w:p>
            <w:pPr>
              <w:tabs>
                <w:tab w:val="left" w:pos="5140"/>
              </w:tabs>
              <w:jc w:val="center"/>
              <w:rPr>
                <w:rFonts w:ascii="宋体" w:hAnsi="宋体" w:eastAsia="宋体" w:cs="Times New Roman"/>
                <w:color w:val="000000"/>
                <w:sz w:val="22"/>
              </w:rPr>
            </w:pPr>
          </w:p>
        </w:tc>
        <w:tc>
          <w:tcPr>
            <w:tcW w:w="70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12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70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12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1984"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营业收入</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198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营业成本</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198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jc w:val="left"/>
              <w:rPr>
                <w:rFonts w:ascii="宋体" w:hAnsi="宋体" w:eastAsia="宋体" w:cs="Times New Roman"/>
                <w:color w:val="000000"/>
                <w:sz w:val="22"/>
              </w:rPr>
            </w:pPr>
            <w:r>
              <w:rPr>
                <w:rFonts w:hint="eastAsia" w:ascii="宋体" w:hAnsi="宋体" w:eastAsia="宋体" w:cs="Times New Roman"/>
                <w:color w:val="000000"/>
                <w:sz w:val="22"/>
              </w:rPr>
              <w:t>净利润</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c>
          <w:tcPr>
            <w:tcW w:w="1984"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bl>
    <w:p>
      <w:pPr>
        <w:rPr>
          <w:rFonts w:ascii="Calibri" w:hAnsi="Calibri" w:eastAsia="宋体" w:cs="Times New Roman"/>
          <w:color w:val="000000"/>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ind w:firstLine="400" w:firstLineChars="200"/>
              <w:textAlignment w:val="center"/>
              <w:rPr>
                <w:rFonts w:eastAsia="宋体" w:cs="Times New Roman" w:asciiTheme="minorEastAsia" w:hAnsiTheme="minorEastAsia"/>
                <w:i/>
                <w:color w:val="FF0000"/>
                <w:kern w:val="0"/>
                <w:sz w:val="20"/>
                <w:szCs w:val="44"/>
              </w:rPr>
            </w:pPr>
            <w:r>
              <w:rPr>
                <w:rFonts w:hint="eastAsia" w:ascii="宋体" w:hAnsi="宋体" w:eastAsia="宋体" w:cs="Times New Roman"/>
                <w:i/>
                <w:color w:val="FF0000"/>
                <w:kern w:val="0"/>
                <w:sz w:val="20"/>
                <w:szCs w:val="44"/>
              </w:rPr>
              <w:t>注：若</w:t>
            </w:r>
            <w:r>
              <w:rPr>
                <w:rFonts w:ascii="宋体" w:hAnsi="宋体" w:eastAsia="宋体" w:cs="Times New Roman"/>
                <w:i/>
                <w:color w:val="FF0000"/>
                <w:kern w:val="0"/>
                <w:sz w:val="20"/>
                <w:szCs w:val="44"/>
              </w:rPr>
              <w:t>利润构成和利润来源发生重大变动，应当详细说明具体变动情况及原因。</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w:t>
            </w:r>
            <w:r>
              <w:rPr>
                <w:rFonts w:hint="eastAsia" w:eastAsia="宋体" w:cs="Times New Roman" w:asciiTheme="minorEastAsia" w:hAnsiTheme="minorEastAsia"/>
                <w:i/>
                <w:color w:val="FF0000"/>
                <w:kern w:val="0"/>
                <w:sz w:val="20"/>
                <w:szCs w:val="44"/>
              </w:rPr>
              <w:t>公司可免于分析金额占营业收入</w:t>
            </w:r>
            <w:r>
              <w:rPr>
                <w:rFonts w:eastAsia="宋体" w:cs="Times New Roman" w:asciiTheme="minorEastAsia" w:hAnsiTheme="minorEastAsia"/>
                <w:i/>
                <w:color w:val="FF0000"/>
                <w:kern w:val="0"/>
                <w:sz w:val="20"/>
                <w:szCs w:val="44"/>
              </w:rPr>
              <w:t>10%以下的利润表科目。</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2、</w:t>
      </w:r>
      <w:r>
        <w:rPr>
          <w:rFonts w:ascii="宋体" w:hAnsi="宋体" w:eastAsia="宋体" w:cs="Times New Roman"/>
          <w:b/>
          <w:color w:val="000000"/>
          <w:szCs w:val="44"/>
        </w:rPr>
        <w:t>收入构成</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232"/>
        <w:gridCol w:w="2233"/>
        <w:gridCol w:w="2233"/>
        <w:gridCol w:w="22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利息收入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手续费</w:t>
            </w:r>
            <w:r>
              <w:rPr>
                <w:rFonts w:asciiTheme="minorEastAsia" w:hAnsiTheme="minorEastAsia"/>
                <w:color w:val="000000" w:themeColor="text1"/>
                <w:sz w:val="22"/>
                <w14:textFill>
                  <w14:solidFill>
                    <w14:schemeClr w14:val="tx1"/>
                  </w14:solidFill>
                </w14:textFill>
              </w:rPr>
              <w:t>及佣金</w:t>
            </w:r>
            <w:r>
              <w:rPr>
                <w:rFonts w:hint="eastAsia" w:asciiTheme="minorEastAsia" w:hAnsiTheme="minorEastAsia"/>
                <w:color w:val="000000" w:themeColor="text1"/>
                <w:sz w:val="22"/>
                <w14:textFill>
                  <w14:solidFill>
                    <w14:schemeClr w14:val="tx1"/>
                  </w14:solidFill>
                </w14:textFill>
              </w:rPr>
              <w:t>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收入构成变动的原因</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注：若</w:t>
            </w:r>
            <w:r>
              <w:rPr>
                <w:rFonts w:ascii="宋体" w:hAnsi="宋体" w:eastAsia="宋体" w:cs="Times New Roman"/>
                <w:i/>
                <w:color w:val="FF0000"/>
                <w:szCs w:val="44"/>
              </w:rPr>
              <w:t>收入构成发生重大变</w:t>
            </w:r>
            <w:r>
              <w:rPr>
                <w:rFonts w:hint="eastAsia" w:ascii="宋体" w:hAnsi="宋体" w:eastAsia="宋体" w:cs="Times New Roman"/>
                <w:i/>
                <w:color w:val="FF0000"/>
                <w:szCs w:val="44"/>
              </w:rPr>
              <w:t>动</w:t>
            </w:r>
            <w:r>
              <w:rPr>
                <w:rFonts w:ascii="宋体" w:hAnsi="宋体" w:eastAsia="宋体" w:cs="Times New Roman"/>
                <w:i/>
                <w:color w:val="FF0000"/>
                <w:szCs w:val="44"/>
              </w:rPr>
              <w:t>，应当详细说明具体变动情况及原因。</w:t>
            </w:r>
            <w:r>
              <w:rPr>
                <w:rFonts w:hint="eastAsia" w:ascii="宋体" w:hAnsi="宋体" w:eastAsia="宋体" w:cs="Times New Roman"/>
                <w:i/>
                <w:color w:val="FF0000"/>
                <w:szCs w:val="44"/>
              </w:rPr>
              <w:t>对与上年同期相比变动达到或超过</w:t>
            </w:r>
            <w:r>
              <w:rPr>
                <w:rFonts w:ascii="宋体" w:hAnsi="宋体" w:eastAsia="宋体" w:cs="Times New Roman"/>
                <w:i/>
                <w:color w:val="FF0000"/>
                <w:szCs w:val="44"/>
              </w:rPr>
              <w:t>30%的项目，应充分解释导致变动的原因。</w:t>
            </w:r>
          </w:p>
        </w:tc>
      </w:tr>
    </w:tbl>
    <w:p>
      <w:pPr>
        <w:tabs>
          <w:tab w:val="left" w:pos="5140"/>
        </w:tabs>
        <w:rPr>
          <w:rFonts w:ascii="宋体" w:hAnsi="宋体" w:eastAsia="宋体" w:cs="Times New Roman"/>
          <w:i/>
          <w:color w:val="FF0000"/>
          <w:szCs w:val="44"/>
        </w:rPr>
      </w:pPr>
      <w:r>
        <w:rPr>
          <w:rFonts w:ascii="宋体" w:hAnsi="宋体" w:eastAsia="宋体" w:cs="Times New Roman"/>
          <w:b/>
          <w:color w:val="000000"/>
          <w:szCs w:val="44"/>
        </w:rPr>
        <w:t>3</w:t>
      </w:r>
      <w:r>
        <w:rPr>
          <w:rFonts w:hint="eastAsia" w:ascii="宋体" w:hAnsi="宋体" w:eastAsia="宋体" w:cs="Times New Roman"/>
          <w:b/>
          <w:color w:val="000000"/>
          <w:szCs w:val="44"/>
        </w:rPr>
        <w:t>、业务及管理费构成</w:t>
      </w:r>
    </w:p>
    <w:tbl>
      <w:tblPr>
        <w:tblStyle w:val="46"/>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843"/>
        <w:gridCol w:w="2552"/>
        <w:gridCol w:w="2268"/>
        <w:gridCol w:w="311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843"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项目</w:t>
            </w:r>
          </w:p>
        </w:tc>
        <w:tc>
          <w:tcPr>
            <w:tcW w:w="2552"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本期金额</w:t>
            </w:r>
          </w:p>
        </w:tc>
        <w:tc>
          <w:tcPr>
            <w:tcW w:w="2268" w:type="dxa"/>
            <w:shd w:val="pct10" w:color="auto" w:fill="auto"/>
            <w:vAlign w:val="center"/>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上期</w:t>
            </w:r>
            <w:r>
              <w:rPr>
                <w:rFonts w:asciiTheme="minorEastAsia" w:hAnsiTheme="minorEastAsia"/>
                <w:b/>
                <w:color w:val="000000" w:themeColor="text1"/>
                <w:kern w:val="0"/>
                <w:sz w:val="22"/>
                <w:szCs w:val="20"/>
                <w14:textFill>
                  <w14:solidFill>
                    <w14:schemeClr w14:val="tx1"/>
                  </w14:solidFill>
                </w14:textFill>
              </w:rPr>
              <w:t>金额</w:t>
            </w:r>
          </w:p>
        </w:tc>
        <w:tc>
          <w:tcPr>
            <w:tcW w:w="3118" w:type="dxa"/>
            <w:shd w:val="pct10" w:color="auto" w:fill="auto"/>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变动</w:t>
            </w:r>
            <w:r>
              <w:rPr>
                <w:rFonts w:asciiTheme="minorEastAsia" w:hAnsiTheme="minorEastAsia"/>
                <w:b/>
                <w:color w:val="000000" w:themeColor="text1"/>
                <w:kern w:val="0"/>
                <w:sz w:val="22"/>
                <w:szCs w:val="20"/>
                <w14:textFill>
                  <w14:solidFill>
                    <w14:schemeClr w14:val="tx1"/>
                  </w14:solidFill>
                </w14:textFill>
              </w:rPr>
              <w:t>比例</w:t>
            </w:r>
            <w:r>
              <w:rPr>
                <w:rFonts w:hint="eastAsia" w:asciiTheme="minorEastAsia" w:hAnsiTheme="minorEastAsia"/>
                <w:b/>
                <w:color w:val="000000" w:themeColor="text1"/>
                <w:kern w:val="0"/>
                <w:sz w:val="22"/>
                <w:szCs w:val="20"/>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84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255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26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31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84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255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26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31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84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p>
        </w:tc>
        <w:tc>
          <w:tcPr>
            <w:tcW w:w="255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26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31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843" w:type="dxa"/>
          </w:tcPr>
          <w:p>
            <w:pPr>
              <w:tabs>
                <w:tab w:val="left" w:pos="5140"/>
              </w:tabs>
              <w:jc w:val="left"/>
              <w:rPr>
                <w:rFonts w:asciiTheme="minorEastAsia" w:hAnsiTheme="minorEastAsia"/>
                <w:color w:val="000000" w:themeColor="text1"/>
                <w:kern w:val="0"/>
                <w:sz w:val="22"/>
                <w:szCs w:val="20"/>
                <w14:textFill>
                  <w14:solidFill>
                    <w14:schemeClr w14:val="tx1"/>
                  </w14:solidFill>
                </w14:textFill>
              </w:rPr>
            </w:pPr>
            <w:r>
              <w:rPr>
                <w:rFonts w:asciiTheme="minorEastAsia" w:hAnsiTheme="minorEastAsia"/>
                <w:color w:val="000000" w:themeColor="text1"/>
                <w:kern w:val="0"/>
                <w:sz w:val="22"/>
                <w:szCs w:val="20"/>
                <w14:textFill>
                  <w14:solidFill>
                    <w14:schemeClr w14:val="tx1"/>
                  </w14:solidFill>
                </w14:textFill>
              </w:rPr>
              <w:t>（自动添行）</w:t>
            </w:r>
          </w:p>
        </w:tc>
        <w:tc>
          <w:tcPr>
            <w:tcW w:w="2552"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226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c>
          <w:tcPr>
            <w:tcW w:w="3118" w:type="dxa"/>
          </w:tcPr>
          <w:p>
            <w:pPr>
              <w:tabs>
                <w:tab w:val="left" w:pos="5140"/>
              </w:tabs>
              <w:rPr>
                <w:rFonts w:asciiTheme="minorEastAsia" w:hAnsiTheme="minorEastAsia"/>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843" w:type="dxa"/>
          </w:tcPr>
          <w:p>
            <w:pPr>
              <w:tabs>
                <w:tab w:val="left" w:pos="5140"/>
              </w:tabs>
              <w:jc w:val="center"/>
              <w:rPr>
                <w:rFonts w:asciiTheme="minorEastAsia" w:hAnsiTheme="minorEastAsia"/>
                <w:b/>
                <w:color w:val="000000" w:themeColor="text1"/>
                <w:kern w:val="0"/>
                <w:sz w:val="22"/>
                <w:szCs w:val="20"/>
                <w14:textFill>
                  <w14:solidFill>
                    <w14:schemeClr w14:val="tx1"/>
                  </w14:solidFill>
                </w14:textFill>
              </w:rPr>
            </w:pPr>
            <w:r>
              <w:rPr>
                <w:rFonts w:hint="eastAsia" w:asciiTheme="minorEastAsia" w:hAnsiTheme="minorEastAsia"/>
                <w:b/>
                <w:color w:val="000000" w:themeColor="text1"/>
                <w:kern w:val="0"/>
                <w:sz w:val="22"/>
                <w:szCs w:val="20"/>
                <w14:textFill>
                  <w14:solidFill>
                    <w14:schemeClr w14:val="tx1"/>
                  </w14:solidFill>
                </w14:textFill>
              </w:rPr>
              <w:t>合计</w:t>
            </w:r>
          </w:p>
        </w:tc>
        <w:tc>
          <w:tcPr>
            <w:tcW w:w="2552"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226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c>
          <w:tcPr>
            <w:tcW w:w="3118" w:type="dxa"/>
          </w:tcPr>
          <w:p>
            <w:pPr>
              <w:tabs>
                <w:tab w:val="left" w:pos="5140"/>
              </w:tabs>
              <w:rPr>
                <w:rFonts w:asciiTheme="minorEastAsia" w:hAnsiTheme="minorEastAsia"/>
                <w:b/>
                <w:color w:val="000000" w:themeColor="text1"/>
                <w:kern w:val="0"/>
                <w:sz w:val="22"/>
                <w:szCs w:val="20"/>
                <w14:textFill>
                  <w14:solidFill>
                    <w14:schemeClr w14:val="tx1"/>
                  </w14:solidFill>
                </w14:textFill>
              </w:rPr>
            </w:pPr>
          </w:p>
        </w:tc>
      </w:tr>
    </w:tbl>
    <w:p>
      <w:pPr>
        <w:tabs>
          <w:tab w:val="left" w:pos="5140"/>
        </w:tabs>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业务及</w:t>
      </w:r>
      <w:r>
        <w:rPr>
          <w:rFonts w:asciiTheme="minorEastAsia" w:hAnsiTheme="minorEastAsia"/>
          <w:b/>
          <w:color w:val="000000" w:themeColor="text1"/>
          <w:szCs w:val="44"/>
          <w14:textFill>
            <w14:solidFill>
              <w14:schemeClr w14:val="tx1"/>
            </w14:solidFill>
          </w14:textFill>
        </w:rPr>
        <w:t>管理费</w:t>
      </w:r>
      <w:r>
        <w:rPr>
          <w:rFonts w:hint="eastAsia" w:asciiTheme="minorEastAsia" w:hAnsiTheme="minorEastAsia"/>
          <w:b/>
          <w:color w:val="000000" w:themeColor="text1"/>
          <w:szCs w:val="44"/>
          <w14:textFill>
            <w14:solidFill>
              <w14:schemeClr w14:val="tx1"/>
            </w14:solidFill>
          </w14:textFill>
        </w:rPr>
        <w:t>构成变动的原因：</w:t>
      </w:r>
    </w:p>
    <w:tbl>
      <w:tblPr>
        <w:tblStyle w:val="46"/>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 xml:space="preserve"> </w:t>
            </w:r>
            <w:r>
              <w:rPr>
                <w:rFonts w:hint="eastAsia" w:asciiTheme="minorEastAsia" w:hAnsiTheme="minorEastAsia"/>
                <w:i/>
                <w:color w:val="FF0000"/>
                <w:kern w:val="0"/>
                <w:sz w:val="20"/>
                <w:szCs w:val="44"/>
              </w:rPr>
              <w:t>对于上述分类列示项目的重大变动（达到或超过</w:t>
            </w:r>
            <w:r>
              <w:rPr>
                <w:rFonts w:asciiTheme="minorEastAsia" w:hAnsiTheme="minorEastAsia"/>
                <w:i/>
                <w:color w:val="FF0000"/>
                <w:kern w:val="0"/>
                <w:sz w:val="20"/>
                <w:szCs w:val="44"/>
              </w:rPr>
              <w:t>3</w:t>
            </w:r>
            <w:r>
              <w:rPr>
                <w:rFonts w:hint="eastAsia" w:asciiTheme="minorEastAsia" w:hAnsiTheme="minorEastAsia"/>
                <w:i/>
                <w:color w:val="FF0000"/>
                <w:kern w:val="0"/>
                <w:sz w:val="20"/>
                <w:szCs w:val="44"/>
              </w:rPr>
              <w:t>0%），应充分解释导致变动的原因。</w:t>
            </w:r>
          </w:p>
          <w:p>
            <w:pPr>
              <w:tabs>
                <w:tab w:val="left" w:pos="5140"/>
              </w:tabs>
              <w:rPr>
                <w:rFonts w:asciiTheme="minorEastAsia" w:hAnsiTheme="minorEastAsia"/>
                <w:color w:val="000000" w:themeColor="text1"/>
                <w:kern w:val="0"/>
                <w:sz w:val="20"/>
                <w:szCs w:val="44"/>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5"/>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宋体" w:hAnsi="宋体" w:eastAsia="宋体" w:cs="Times New Roman"/>
                <w:color w:val="FF0000"/>
                <w:sz w:val="22"/>
                <w:szCs w:val="22"/>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szCs w:val="22"/>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5"/>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2"/>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五、公司面临的重大风险分析</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注：第二节第一到第五项披露的部分内容如与财务报表附注相同的，公司可以建立相关查询索引，避免重复。</w:t>
      </w:r>
    </w:p>
    <w:p>
      <w:pPr>
        <w:widowControl/>
        <w:rPr>
          <w:rFonts w:ascii="黑体" w:hAnsi="黑体" w:eastAsia="黑体" w:cs="Times New Roman"/>
          <w:color w:val="000000"/>
          <w:sz w:val="36"/>
          <w:szCs w:val="28"/>
        </w:rPr>
        <w:sectPr>
          <w:footerReference r:id="rId3" w:type="default"/>
          <w:pgSz w:w="11907" w:h="16840"/>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6" w:name="_Toc23678"/>
      <w:bookmarkStart w:id="7" w:name="_Toc9124"/>
      <w:r>
        <w:rPr>
          <w:rFonts w:hint="eastAsia" w:eastAsia="黑体"/>
          <w:sz w:val="36"/>
        </w:rPr>
        <w:t>第三节</w:t>
      </w:r>
      <w:r>
        <w:rPr>
          <w:rFonts w:eastAsia="黑体"/>
          <w:sz w:val="36"/>
        </w:rPr>
        <w:t xml:space="preserve"> </w:t>
      </w:r>
      <w:r>
        <w:rPr>
          <w:rFonts w:hint="eastAsia" w:eastAsia="黑体"/>
          <w:sz w:val="36"/>
        </w:rPr>
        <w:t>重大事件</w:t>
      </w:r>
      <w:bookmarkEnd w:id="6"/>
      <w:bookmarkEnd w:id="7"/>
    </w:p>
    <w:p>
      <w:pPr>
        <w:keepNext/>
        <w:keepLines/>
        <w:spacing w:before="100" w:after="100"/>
        <w:outlineLvl w:val="1"/>
        <w:rPr>
          <w:rFonts w:ascii="Calibri Light" w:hAnsi="Calibri Light" w:eastAsia="微软雅黑" w:cs="Times New Roman"/>
          <w:b/>
          <w:bCs/>
          <w:sz w:val="22"/>
          <w:szCs w:val="32"/>
        </w:rPr>
      </w:pPr>
      <w:bookmarkStart w:id="8" w:name="_Toc25807"/>
      <w:bookmarkStart w:id="9" w:name="_Toc21538"/>
      <w:r>
        <w:rPr>
          <w:rFonts w:hint="eastAsia" w:ascii="Calibri Light" w:hAnsi="Calibri Light" w:eastAsia="微软雅黑" w:cs="Times New Roman"/>
          <w:b/>
          <w:bCs/>
          <w:sz w:val="22"/>
          <w:szCs w:val="32"/>
        </w:rPr>
        <w:t>一、重大事件索引</w:t>
      </w:r>
      <w:bookmarkEnd w:id="8"/>
      <w:bookmarkEnd w:id="9"/>
    </w:p>
    <w:tbl>
      <w:tblPr>
        <w:tblStyle w:val="45"/>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是否存在提供担保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w:t>
            </w:r>
            <w:r>
              <w:rPr>
                <w:rFonts w:hint="eastAsia" w:ascii="宋体" w:hAnsi="宋体" w:eastAsia="宋体" w:cs="Times New Roman"/>
                <w:color w:val="000000"/>
                <w:sz w:val="22"/>
              </w:rPr>
              <w:t>股东会</w:t>
            </w:r>
            <w:r>
              <w:rPr>
                <w:rFonts w:ascii="宋体" w:hAnsi="宋体" w:eastAsia="宋体" w:cs="Times New Roman"/>
                <w:color w:val="000000"/>
                <w:sz w:val="22"/>
              </w:rPr>
              <w:t>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是否存在破产重整事项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bookmarkStart w:id="10" w:name="_Toc3806"/>
      <w:bookmarkStart w:id="11" w:name="_Toc2489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Calibri" w:hAnsi="Calibri" w:eastAsia="宋体" w:cs="Times New Roman"/>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 xml:space="preserve">□ </w:t>
      </w:r>
      <w:r>
        <w:t xml:space="preserve"> </w:t>
      </w:r>
      <w:r>
        <w:rPr>
          <w:rFonts w:hint="eastAsia"/>
        </w:rPr>
        <w:t xml:space="preserve">是  □ </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5"/>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5"/>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8"/>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（二）公司发生的提供担保事项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rFonts w:ascii="Calibri" w:hAnsi="Calibri" w:eastAsia="宋体" w:cs="Times New Roman"/>
          <w:b/>
        </w:rPr>
      </w:pPr>
      <w:r>
        <w:rPr>
          <w:rFonts w:hint="eastAsia" w:ascii="Calibri" w:hAnsi="Calibri" w:eastAsia="宋体" w:cs="Times New Roman"/>
          <w:b/>
        </w:rPr>
        <w:t>挂牌公司及合并报表范围内子公司存在违规担保事项，或者报告期内履行的及尚未履行完毕的担保累计金额超过挂牌公司本年度末合并报表经审计净资产绝对值的10%</w:t>
      </w:r>
    </w:p>
    <w:p>
      <w:pPr>
        <w:rPr>
          <w:rFonts w:ascii="Calibri" w:hAnsi="Calibri" w:eastAsia="宋体" w:cs="Times New Roman"/>
        </w:rPr>
      </w:pPr>
      <w:r>
        <w:rPr>
          <w:rFonts w:hint="eastAsia" w:ascii="Calibri" w:hAnsi="Calibri" w:eastAsia="宋体" w:cs="Times New Roman"/>
        </w:rPr>
        <w:t>□  是  □  否</w:t>
      </w:r>
    </w:p>
    <w:p>
      <w:pPr>
        <w:jc w:val="right"/>
        <w:rPr>
          <w:rFonts w:ascii="Calibri" w:hAnsi="Calibri" w:eastAsia="宋体" w:cs="Times New Roman"/>
        </w:rPr>
      </w:pPr>
      <w:r>
        <w:rPr>
          <w:rFonts w:hint="eastAsia" w:ascii="Calibri" w:hAnsi="Calibri" w:eastAsia="宋体" w:cs="Times New Roman"/>
        </w:rPr>
        <w:t>单位：元</w:t>
      </w:r>
    </w:p>
    <w:tbl>
      <w:tblPr>
        <w:tblStyle w:val="45"/>
        <w:tblW w:w="1090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275"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14:textFill>
                  <w14:solidFill>
                    <w14:schemeClr w14:val="tx1"/>
                  </w14:solidFill>
                </w14:textFill>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0"/>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5"/>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担保余额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vAlign w:val="center"/>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r>
              <w:rPr>
                <w:rFonts w:hint="eastAsia" w:ascii="宋体" w:hAnsi="宋体" w:eastAsia="宋体" w:cs="Times New Roman"/>
                <w:color w:val="FF0000"/>
                <w:kern w:val="0"/>
                <w:sz w:val="22"/>
                <w:szCs w:val="22"/>
              </w:rPr>
              <w:t>（无，填</w:t>
            </w:r>
            <w:r>
              <w:rPr>
                <w:rFonts w:ascii="宋体" w:hAnsi="宋体" w:eastAsia="宋体" w:cs="Times New Roman"/>
                <w:color w:val="FF0000"/>
                <w:kern w:val="0"/>
                <w:sz w:val="22"/>
                <w:szCs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r>
              <w:rPr>
                <w:rFonts w:hint="eastAsia" w:ascii="宋体" w:hAnsi="宋体" w:eastAsia="宋体" w:cs="Times New Roman"/>
                <w:color w:val="FF0000"/>
                <w:kern w:val="0"/>
                <w:sz w:val="22"/>
                <w:szCs w:val="22"/>
              </w:rPr>
              <w:t>（无，填</w:t>
            </w:r>
            <w:r>
              <w:rPr>
                <w:rFonts w:ascii="宋体" w:hAnsi="宋体" w:eastAsia="宋体" w:cs="Times New Roman"/>
                <w:color w:val="FF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公司直接或间接为资产负债率超过</w:t>
            </w:r>
            <w:r>
              <w:rPr>
                <w:rFonts w:ascii="宋体" w:hAnsi="宋体" w:eastAsia="宋体" w:cs="Times New Roman"/>
                <w:color w:val="000000"/>
                <w:sz w:val="22"/>
                <w:szCs w:val="22"/>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公司担保总额超过净资产</w:t>
            </w:r>
            <w:r>
              <w:rPr>
                <w:rFonts w:ascii="宋体" w:hAnsi="宋体" w:eastAsia="宋体" w:cs="Times New Roman"/>
                <w:color w:val="000000"/>
                <w:sz w:val="22"/>
                <w:szCs w:val="22"/>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0"/>
      <w:bookmarkEnd w:id="11"/>
    </w:tbl>
    <w:p>
      <w:pPr>
        <w:jc w:val="left"/>
        <w:rPr>
          <w:rFonts w:ascii="宋体" w:hAnsi="宋体" w:eastAsia="宋体" w:cs="Times New Roman"/>
          <w:b/>
          <w:color w:val="000000"/>
          <w:szCs w:val="24"/>
        </w:rPr>
      </w:pPr>
      <w:bookmarkStart w:id="12" w:name="_Toc10244"/>
      <w:bookmarkStart w:id="13" w:name="_Toc2486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pPr w:leftFromText="180" w:rightFromText="180" w:vertAnchor="text" w:tblpXSpec="center" w:tblpY="1"/>
        <w:tblOverlap w:val="never"/>
        <w:tblW w:w="5717"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19"/>
        <w:gridCol w:w="1219"/>
        <w:gridCol w:w="1219"/>
        <w:gridCol w:w="1219"/>
        <w:gridCol w:w="1219"/>
        <w:gridCol w:w="1219"/>
        <w:gridCol w:w="1219"/>
        <w:gridCol w:w="121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tabs>
          <w:tab w:val="left" w:pos="5140"/>
        </w:tabs>
        <w:jc w:val="right"/>
        <w:rPr>
          <w:rFonts w:ascii="Calibri" w:hAnsi="Calibri" w:eastAsia="宋体" w:cs="Times New Roman"/>
        </w:rPr>
      </w:pPr>
    </w:p>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7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购买原材料、燃料、动力,</w:t>
            </w:r>
            <w:r>
              <w:rPr>
                <w:rFonts w:ascii="宋体" w:hAnsi="宋体" w:eastAsia="宋体" w:cs="Times New Roman"/>
                <w:color w:val="000000"/>
                <w:sz w:val="22"/>
              </w:rPr>
              <w:t>接</w:t>
            </w:r>
            <w:r>
              <w:rPr>
                <w:rFonts w:hint="eastAsia" w:ascii="宋体" w:hAnsi="宋体" w:eastAsia="宋体" w:cs="Times New Roman"/>
                <w:color w:val="000000"/>
                <w:sz w:val="22"/>
              </w:rPr>
              <w:t>受</w:t>
            </w:r>
            <w:r>
              <w:rPr>
                <w:rFonts w:ascii="宋体" w:hAnsi="宋体" w:eastAsia="宋体" w:cs="Times New Roman"/>
                <w:color w:val="000000"/>
                <w:sz w:val="22"/>
              </w:rPr>
              <w:t>劳务</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销售产品</w:t>
            </w:r>
            <w:r>
              <w:rPr>
                <w:rFonts w:ascii="宋体" w:hAnsi="宋体" w:eastAsia="宋体" w:cs="Times New Roman"/>
                <w:color w:val="000000"/>
                <w:sz w:val="22"/>
              </w:rPr>
              <w:t>、商品</w:t>
            </w:r>
            <w:r>
              <w:rPr>
                <w:rFonts w:hint="eastAsia" w:ascii="宋体" w:hAnsi="宋体" w:eastAsia="宋体" w:cs="Times New Roman"/>
                <w:color w:val="000000"/>
                <w:sz w:val="22"/>
              </w:rPr>
              <w:t>，</w:t>
            </w:r>
            <w:r>
              <w:rPr>
                <w:rFonts w:ascii="宋体" w:hAnsi="宋体" w:eastAsia="宋体" w:cs="Times New Roman"/>
                <w:color w:val="000000"/>
                <w:sz w:val="22"/>
              </w:rPr>
              <w:t>提供劳务</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公司章程中</w:t>
            </w:r>
            <w:r>
              <w:rPr>
                <w:rFonts w:ascii="宋体" w:hAnsi="宋体" w:eastAsia="宋体" w:cs="Times New Roman"/>
                <w:color w:val="000000"/>
                <w:sz w:val="22"/>
              </w:rPr>
              <w:t>约定适用于本公司的日常关联交易类型</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其他</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ind w:left="181" w:leftChars="86"/>
              <w:rPr>
                <w:rFonts w:hint="eastAsia" w:ascii="宋体" w:hAnsi="宋体" w:eastAsia="宋体" w:cs="Times New Roman"/>
                <w:color w:val="000000" w:themeColor="text1"/>
                <w:sz w:val="22"/>
                <w14:textFill>
                  <w14:solidFill>
                    <w14:schemeClr w14:val="tx1"/>
                  </w14:solidFill>
                </w14:textFill>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（六）</w:t>
      </w:r>
      <w:r>
        <w:rPr>
          <w:rFonts w:hint="eastAsia" w:ascii="Times New Roman" w:hAnsi="Times New Roman" w:eastAsia="宋体" w:cs="Times New Roman"/>
          <w:b/>
          <w:bCs/>
          <w:szCs w:val="32"/>
          <w:lang w:val="zh-CN"/>
        </w:rPr>
        <w:t>股权激励计划、员工持股计划或其他员工激励措施</w:t>
      </w:r>
      <w:bookmarkEnd w:id="12"/>
      <w:bookmarkEnd w:id="13"/>
    </w:p>
    <w:tbl>
      <w:tblPr>
        <w:tblStyle w:val="4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4" w:name="_Toc7804"/>
      <w:bookmarkStart w:id="15" w:name="_Toc31983"/>
      <w:r>
        <w:rPr>
          <w:rFonts w:hint="eastAsia" w:ascii="Times New Roman" w:hAnsi="Times New Roman" w:eastAsia="宋体" w:cs="Times New Roman"/>
          <w:b/>
          <w:bCs/>
          <w:szCs w:val="32"/>
          <w:lang w:val="zh-CN"/>
        </w:rPr>
        <w:t>（七）股份回购情况</w:t>
      </w:r>
    </w:p>
    <w:tbl>
      <w:tblPr>
        <w:tblStyle w:val="18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（八）承诺事项的履行情况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（九）</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（十）调查</w:t>
      </w:r>
      <w:r>
        <w:rPr>
          <w:rFonts w:ascii="Times New Roman" w:hAnsi="Times New Roman" w:eastAsia="宋体" w:cs="Times New Roman"/>
          <w:b/>
          <w:bCs/>
          <w:lang w:val="zh-CN"/>
        </w:rPr>
        <w:t>处罚事项</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（十一）失信情况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bookmarkEnd w:id="14"/>
      <w:bookmarkEnd w:id="15"/>
    </w:tbl>
    <w:p>
      <w:pPr>
        <w:keepNext/>
        <w:keepLines/>
        <w:spacing w:before="100" w:after="100"/>
        <w:outlineLvl w:val="2"/>
        <w:rPr>
          <w:rFonts w:ascii="Times New Roman" w:hAnsi="Times New Roman"/>
          <w:b/>
          <w:bCs/>
          <w:szCs w:val="32"/>
          <w:lang w:val="zh-CN"/>
        </w:rPr>
      </w:pPr>
      <w:bookmarkStart w:id="16" w:name="_Toc27292"/>
      <w:bookmarkStart w:id="17" w:name="_Toc16352"/>
      <w:r>
        <w:rPr>
          <w:rFonts w:hint="eastAsia" w:ascii="Times New Roman" w:hAnsi="Times New Roman"/>
          <w:b/>
          <w:bCs/>
          <w:szCs w:val="32"/>
          <w:lang w:val="zh-CN"/>
        </w:rPr>
        <w:t>（十二）破产重整事项</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tabs>
          <w:tab w:val="left" w:pos="5140"/>
        </w:tabs>
        <w:jc w:val="center"/>
        <w:outlineLvl w:val="9"/>
        <w:rPr>
          <w:rFonts w:ascii="黑体" w:hAnsi="黑体" w:eastAsia="黑体" w:cs="Times New Roman"/>
          <w:color w:val="000000"/>
          <w:sz w:val="36"/>
          <w:szCs w:val="28"/>
        </w:rPr>
      </w:pPr>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16"/>
      <w:bookmarkEnd w:id="17"/>
    </w:p>
    <w:p>
      <w:pPr>
        <w:pStyle w:val="3"/>
        <w:spacing w:before="100" w:after="100" w:line="240" w:lineRule="auto"/>
        <w:rPr>
          <w:rFonts w:eastAsia="微软雅黑" w:asciiTheme="majorHAnsi" w:hAnsiTheme="majorHAnsi" w:cstheme="majorBidi"/>
          <w:sz w:val="22"/>
          <w:lang w:val="zh-CN"/>
        </w:rPr>
      </w:pPr>
      <w:bookmarkStart w:id="18" w:name="_Toc32232"/>
      <w:bookmarkStart w:id="19" w:name="_Toc28326"/>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18"/>
      <w:bookmarkEnd w:id="19"/>
    </w:p>
    <w:p>
      <w:pPr>
        <w:keepNext/>
        <w:keepLines/>
        <w:spacing w:before="100" w:after="100"/>
        <w:outlineLvl w:val="2"/>
        <w:rPr>
          <w:rFonts w:ascii="Times New Roman" w:hAnsi="Times New Roman" w:eastAsia="宋体" w:cs="Times New Roman"/>
          <w:b/>
          <w:bCs/>
          <w:szCs w:val="32"/>
          <w:lang w:val="zh-CN"/>
        </w:rPr>
      </w:pPr>
      <w:bookmarkStart w:id="20" w:name="_Toc20566"/>
      <w:bookmarkStart w:id="21" w:name="_Toc5389"/>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0"/>
      <w:bookmarkEnd w:id="21"/>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29"/>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2" w:name="_Toc16120"/>
      <w:bookmarkStart w:id="23" w:name="_Toc389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2"/>
      <w:bookmarkEnd w:id="23"/>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5"/>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8"/>
        <w:gridCol w:w="1171"/>
        <w:gridCol w:w="871"/>
        <w:gridCol w:w="726"/>
        <w:gridCol w:w="873"/>
        <w:gridCol w:w="871"/>
        <w:gridCol w:w="1310"/>
        <w:gridCol w:w="1313"/>
        <w:gridCol w:w="1168"/>
        <w:gridCol w:w="11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6"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tcPr>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6"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ind w:left="181" w:leftChars="86"/>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普通股前十名股东情况说明</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i/>
                <w:color w:val="FF0000"/>
                <w:szCs w:val="44"/>
              </w:rPr>
            </w:pPr>
            <w:r>
              <w:rPr>
                <w:rFonts w:hint="eastAsia" w:asciiTheme="minorEastAsia" w:hAnsiTheme="minorEastAsia"/>
                <w:i/>
                <w:color w:val="FF0000"/>
                <w:szCs w:val="44"/>
              </w:rPr>
              <w:t>如普通股前十名股东之间存在关联关系或属于《上市公司收购管理办法》规定的一致行动人，应当予以说明。</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p>
            <w:pPr>
              <w:ind w:right="420" w:firstLine="420" w:firstLineChars="200"/>
              <w:rPr>
                <w:rFonts w:ascii="Calibri" w:hAnsi="Calibri" w:eastAsia="宋体" w:cs="Times New Roman"/>
                <w:i/>
                <w:color w:val="FF0000"/>
              </w:rPr>
            </w:pPr>
            <w:r>
              <w:rPr>
                <w:rFonts w:hint="eastAsia"/>
                <w:i/>
                <w:color w:val="FF0000"/>
              </w:rPr>
              <w:t>（如控股股东与实际控制人一致，合并披露）</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tc>
      </w:tr>
    </w:tbl>
    <w:p>
      <w:pPr>
        <w:rPr>
          <w:rFonts w:ascii="Calibri" w:hAnsi="Calibri" w:eastAsia="宋体" w:cs="Times New Roman"/>
          <w:b/>
        </w:rPr>
      </w:pPr>
      <w:bookmarkStart w:id="24" w:name="_Toc21810"/>
      <w:bookmarkStart w:id="25" w:name="_Toc1857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5"/>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2"/>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2"/>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26" w:name="_Toc25205"/>
      <w:bookmarkStart w:id="27" w:name="_Toc18252"/>
      <w:r>
        <w:rPr>
          <w:rFonts w:hint="eastAsia" w:ascii="宋体" w:hAnsi="宋体" w:eastAsia="宋体" w:cs="Times New Roman"/>
          <w:b/>
          <w:color w:val="000000"/>
          <w:szCs w:val="44"/>
        </w:rPr>
        <w:t>（一）基本情况</w:t>
      </w:r>
      <w:bookmarkEnd w:id="26"/>
      <w:bookmarkEnd w:id="27"/>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28" w:name="_Toc8802"/>
      <w:bookmarkStart w:id="29" w:name="_Toc20245"/>
      <w:r>
        <w:rPr>
          <w:rFonts w:hint="eastAsia" w:ascii="宋体" w:hAnsi="宋体" w:eastAsia="宋体" w:cs="Times New Roman"/>
          <w:b/>
          <w:color w:val="000000"/>
          <w:szCs w:val="44"/>
        </w:rPr>
        <w:t>（二）股东情况</w:t>
      </w:r>
      <w:bookmarkEnd w:id="28"/>
      <w:bookmarkEnd w:id="29"/>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0" w:name="_Toc4858"/>
      <w:bookmarkStart w:id="31" w:name="_Toc23805"/>
      <w:r>
        <w:rPr>
          <w:rFonts w:hint="eastAsia" w:ascii="宋体" w:hAnsi="宋体" w:eastAsia="宋体" w:cs="Times New Roman"/>
          <w:b/>
          <w:color w:val="000000"/>
          <w:szCs w:val="44"/>
        </w:rPr>
        <w:t>（三）利润分配情况</w:t>
      </w:r>
      <w:bookmarkEnd w:id="30"/>
      <w:bookmarkEnd w:id="31"/>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7866"/>
      <w:bookmarkStart w:id="33" w:name="_Toc24383"/>
      <w:r>
        <w:rPr>
          <w:rFonts w:hint="eastAsia" w:ascii="宋体" w:hAnsi="宋体" w:eastAsia="宋体" w:cs="Times New Roman"/>
          <w:b/>
          <w:color w:val="000000"/>
          <w:szCs w:val="44"/>
        </w:rPr>
        <w:t>（四）回购情况</w:t>
      </w:r>
      <w:bookmarkEnd w:id="32"/>
      <w:bookmarkEnd w:id="3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8903"/>
      <w:bookmarkStart w:id="35" w:name="_Toc30085"/>
      <w:r>
        <w:rPr>
          <w:rFonts w:hint="eastAsia" w:ascii="宋体" w:hAnsi="宋体" w:eastAsia="宋体" w:cs="Times New Roman"/>
          <w:b/>
          <w:color w:val="000000"/>
          <w:szCs w:val="44"/>
        </w:rPr>
        <w:t>（五）转换情况</w:t>
      </w:r>
      <w:bookmarkEnd w:id="34"/>
      <w:bookmarkEnd w:id="3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14503"/>
      <w:bookmarkStart w:id="37" w:name="_Toc8453"/>
      <w:r>
        <w:rPr>
          <w:rFonts w:hint="eastAsia" w:ascii="宋体" w:hAnsi="宋体" w:eastAsia="宋体" w:cs="Times New Roman"/>
          <w:b/>
          <w:color w:val="000000"/>
          <w:szCs w:val="44"/>
        </w:rPr>
        <w:t>（六）表决权恢复情况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债券</w:t>
            </w:r>
            <w:r>
              <w:rPr>
                <w:rFonts w:ascii="宋体" w:hAnsi="宋体" w:eastAsia="宋体" w:cs="Times New Roman"/>
                <w:b/>
                <w:color w:val="000000"/>
                <w:sz w:val="22"/>
                <w:szCs w:val="22"/>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融资金额</w:t>
            </w:r>
          </w:p>
        </w:tc>
        <w:tc>
          <w:tcPr>
            <w:tcW w:w="1206"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票面利率</w:t>
            </w:r>
            <w:r>
              <w:rPr>
                <w:rFonts w:hint="eastAsia" w:ascii="宋体" w:hAnsi="宋体" w:eastAsia="宋体" w:cs="Times New Roman"/>
                <w:b/>
                <w:color w:val="000000"/>
                <w:sz w:val="22"/>
                <w:szCs w:val="22"/>
              </w:rPr>
              <w:t>%</w:t>
            </w:r>
          </w:p>
        </w:tc>
        <w:tc>
          <w:tcPr>
            <w:tcW w:w="2410" w:type="dxa"/>
            <w:gridSpan w:val="2"/>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 w:val="22"/>
                <w:szCs w:val="22"/>
              </w:rPr>
            </w:pPr>
          </w:p>
        </w:tc>
        <w:tc>
          <w:tcPr>
            <w:tcW w:w="1010" w:type="dxa"/>
            <w:vMerge w:val="continue"/>
          </w:tcPr>
          <w:p>
            <w:pPr>
              <w:tabs>
                <w:tab w:val="left" w:pos="5140"/>
              </w:tabs>
              <w:rPr>
                <w:rFonts w:ascii="宋体" w:hAnsi="宋体" w:eastAsia="宋体" w:cs="Times New Roman"/>
                <w:color w:val="000000"/>
                <w:sz w:val="22"/>
                <w:szCs w:val="22"/>
              </w:rPr>
            </w:pPr>
          </w:p>
        </w:tc>
        <w:tc>
          <w:tcPr>
            <w:tcW w:w="1485" w:type="dxa"/>
            <w:vMerge w:val="continue"/>
          </w:tcPr>
          <w:p>
            <w:pPr>
              <w:tabs>
                <w:tab w:val="left" w:pos="5140"/>
              </w:tabs>
              <w:rPr>
                <w:rFonts w:ascii="宋体" w:hAnsi="宋体" w:eastAsia="宋体" w:cs="Times New Roman"/>
                <w:color w:val="000000"/>
                <w:sz w:val="22"/>
                <w:szCs w:val="22"/>
              </w:rPr>
            </w:pPr>
          </w:p>
        </w:tc>
        <w:tc>
          <w:tcPr>
            <w:tcW w:w="1545" w:type="dxa"/>
            <w:vMerge w:val="continue"/>
          </w:tcPr>
          <w:p>
            <w:pPr>
              <w:tabs>
                <w:tab w:val="left" w:pos="5140"/>
              </w:tabs>
              <w:rPr>
                <w:rFonts w:ascii="宋体" w:hAnsi="宋体" w:eastAsia="宋体" w:cs="Times New Roman"/>
                <w:color w:val="000000"/>
                <w:sz w:val="22"/>
                <w:szCs w:val="22"/>
              </w:rPr>
            </w:pPr>
          </w:p>
        </w:tc>
        <w:tc>
          <w:tcPr>
            <w:tcW w:w="1206" w:type="dxa"/>
            <w:vMerge w:val="continue"/>
            <w:shd w:val="pct10" w:color="auto" w:fill="auto"/>
          </w:tcPr>
          <w:p>
            <w:pPr>
              <w:tabs>
                <w:tab w:val="left" w:pos="5140"/>
              </w:tabs>
              <w:rPr>
                <w:rFonts w:ascii="宋体" w:hAnsi="宋体" w:eastAsia="宋体" w:cs="Times New Roman"/>
                <w:color w:val="000000"/>
                <w:sz w:val="22"/>
                <w:szCs w:val="22"/>
              </w:rPr>
            </w:pPr>
          </w:p>
        </w:tc>
        <w:tc>
          <w:tcPr>
            <w:tcW w:w="1276" w:type="dxa"/>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起始日期</w:t>
            </w:r>
          </w:p>
        </w:tc>
        <w:tc>
          <w:tcPr>
            <w:tcW w:w="1134" w:type="dxa"/>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终止日期</w:t>
            </w:r>
          </w:p>
        </w:tc>
        <w:tc>
          <w:tcPr>
            <w:tcW w:w="850" w:type="dxa"/>
            <w:vMerge w:val="continue"/>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日历控件</w:t>
            </w:r>
          </w:p>
        </w:tc>
        <w:tc>
          <w:tcPr>
            <w:tcW w:w="1134"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w:t>
            </w:r>
            <w:r>
              <w:rPr>
                <w:rFonts w:ascii="宋体" w:hAnsi="宋体" w:eastAsia="宋体" w:cs="Times New Roman"/>
                <w:color w:val="FF0000"/>
                <w:sz w:val="22"/>
                <w:szCs w:val="22"/>
              </w:rPr>
              <w:t>控件</w:t>
            </w: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p>
        </w:tc>
        <w:tc>
          <w:tcPr>
            <w:tcW w:w="1134" w:type="dxa"/>
          </w:tcPr>
          <w:p>
            <w:pPr>
              <w:tabs>
                <w:tab w:val="left" w:pos="5140"/>
              </w:tabs>
              <w:rPr>
                <w:rFonts w:ascii="宋体" w:hAnsi="宋体" w:eastAsia="宋体" w:cs="Times New Roman"/>
                <w:color w:val="000000"/>
                <w:sz w:val="22"/>
                <w:szCs w:val="22"/>
              </w:rPr>
            </w:pP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合计</w:t>
            </w:r>
          </w:p>
        </w:tc>
        <w:tc>
          <w:tcPr>
            <w:tcW w:w="101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485"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545" w:type="dxa"/>
          </w:tcPr>
          <w:p>
            <w:pPr>
              <w:tabs>
                <w:tab w:val="left" w:pos="5140"/>
              </w:tabs>
              <w:jc w:val="center"/>
              <w:rPr>
                <w:rFonts w:ascii="宋体" w:hAnsi="宋体" w:eastAsia="宋体" w:cs="Times New Roman"/>
                <w:b/>
                <w:color w:val="000000"/>
                <w:sz w:val="22"/>
                <w:szCs w:val="22"/>
              </w:rPr>
            </w:pPr>
          </w:p>
        </w:tc>
        <w:tc>
          <w:tcPr>
            <w:tcW w:w="120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27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134"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85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36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38" w:name="_Toc18418"/>
      <w:bookmarkStart w:id="39" w:name="_Toc8826"/>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38"/>
      <w:bookmarkEnd w:id="39"/>
    </w:p>
    <w:p>
      <w:pPr>
        <w:keepNext/>
        <w:keepLines/>
        <w:spacing w:before="100" w:after="100"/>
        <w:outlineLvl w:val="2"/>
        <w:rPr>
          <w:rFonts w:ascii="Times New Roman" w:hAnsi="Times New Roman" w:eastAsia="宋体" w:cs="Times New Roman"/>
          <w:b/>
          <w:bCs/>
          <w:szCs w:val="32"/>
          <w:lang w:val="zh-CN"/>
        </w:rPr>
      </w:pPr>
      <w:bookmarkStart w:id="40" w:name="_Toc27262"/>
      <w:bookmarkStart w:id="41" w:name="_Toc22605"/>
      <w:r>
        <w:rPr>
          <w:rFonts w:hint="eastAsia" w:ascii="Times New Roman" w:hAnsi="Times New Roman" w:eastAsia="宋体" w:cs="Times New Roman"/>
          <w:b/>
          <w:bCs/>
          <w:szCs w:val="32"/>
          <w:lang w:val="zh-CN"/>
        </w:rPr>
        <w:t>（一）报告期内的利润分配与公积金转增股本情况</w:t>
      </w:r>
      <w:bookmarkEnd w:id="40"/>
      <w:bookmarkEnd w:id="41"/>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股东会</w:t>
            </w:r>
            <w:r>
              <w:rPr>
                <w:rFonts w:ascii="宋体" w:hAnsi="宋体"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股派现数</w:t>
            </w:r>
          </w:p>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股送股数</w:t>
            </w:r>
          </w:p>
        </w:tc>
        <w:tc>
          <w:tcPr>
            <w:tcW w:w="2339"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（自行</w:t>
            </w:r>
            <w:r>
              <w:rPr>
                <w:rFonts w:ascii="宋体" w:hAnsi="宋体" w:eastAsia="宋体" w:cs="Times New Roman"/>
                <w:color w:val="000000"/>
                <w:kern w:val="0"/>
                <w:sz w:val="22"/>
                <w:szCs w:val="20"/>
              </w:rPr>
              <w:t>添行）</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利润分配与公积金转增股本的执行情况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ascii="宋体" w:hAnsi="宋体" w:eastAsia="宋体" w:cs="Times New Roman"/>
                <w:i/>
                <w:color w:val="FF0000"/>
                <w:szCs w:val="44"/>
              </w:rPr>
              <w:t>注</w:t>
            </w:r>
            <w:r>
              <w:rPr>
                <w:rFonts w:hint="eastAsia" w:ascii="宋体" w:hAnsi="宋体" w:eastAsia="宋体" w:cs="Times New Roman"/>
                <w:i/>
                <w:color w:val="FF0000"/>
                <w:szCs w:val="44"/>
              </w:rPr>
              <w:t>：</w:t>
            </w:r>
            <w:r>
              <w:rPr>
                <w:rFonts w:ascii="宋体" w:hAnsi="宋体" w:eastAsia="宋体" w:cs="Times New Roman"/>
                <w:i/>
                <w:color w:val="FF0000"/>
                <w:szCs w:val="44"/>
              </w:rPr>
              <w:t>披露</w:t>
            </w:r>
            <w:r>
              <w:rPr>
                <w:rFonts w:hint="eastAsia" w:ascii="宋体" w:hAnsi="宋体" w:eastAsia="宋体" w:cs="Times New Roman"/>
                <w:i/>
                <w:color w:val="FF0000"/>
                <w:szCs w:val="44"/>
              </w:rPr>
              <w:t>利润分配与公积金转增股本</w:t>
            </w:r>
            <w:r>
              <w:rPr>
                <w:rFonts w:ascii="宋体" w:hAnsi="宋体" w:eastAsia="宋体" w:cs="Times New Roman"/>
                <w:i/>
                <w:color w:val="FF0000"/>
                <w:szCs w:val="44"/>
              </w:rPr>
              <w:t>相关议案审议情况</w:t>
            </w:r>
            <w:r>
              <w:rPr>
                <w:rFonts w:hint="eastAsia" w:ascii="宋体" w:hAnsi="宋体" w:eastAsia="宋体" w:cs="Times New Roman"/>
                <w:i/>
                <w:color w:val="FF0000"/>
                <w:szCs w:val="44"/>
              </w:rPr>
              <w:t>、</w:t>
            </w:r>
            <w:r>
              <w:rPr>
                <w:rFonts w:ascii="宋体" w:hAnsi="宋体" w:eastAsia="宋体" w:cs="Times New Roman"/>
                <w:i/>
                <w:color w:val="FF0000"/>
                <w:szCs w:val="44"/>
              </w:rPr>
              <w:t>执行情况</w:t>
            </w:r>
            <w:r>
              <w:rPr>
                <w:rFonts w:hint="eastAsia" w:ascii="宋体" w:hAnsi="宋体" w:eastAsia="宋体" w:cs="Times New Roman"/>
                <w:i/>
                <w:color w:val="FF0000"/>
                <w:szCs w:val="44"/>
              </w:rPr>
              <w:t>；</w:t>
            </w:r>
            <w:r>
              <w:rPr>
                <w:rFonts w:ascii="宋体" w:hAnsi="宋体" w:eastAsia="宋体" w:cs="Times New Roman"/>
                <w:i/>
                <w:color w:val="FF0000"/>
                <w:szCs w:val="44"/>
              </w:rPr>
              <w:t>对于</w:t>
            </w:r>
            <w:r>
              <w:rPr>
                <w:rFonts w:hint="eastAsia" w:ascii="宋体" w:hAnsi="宋体"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2" w:name="_Toc30584"/>
      <w:bookmarkStart w:id="43" w:name="_Toc4775"/>
      <w:r>
        <w:rPr>
          <w:rFonts w:hint="eastAsia" w:ascii="Times New Roman" w:hAnsi="Times New Roman" w:eastAsia="宋体" w:cs="Times New Roman"/>
          <w:b/>
          <w:bCs/>
          <w:szCs w:val="32"/>
          <w:lang w:val="zh-CN"/>
        </w:rPr>
        <w:t>（二）权益分派预案</w:t>
      </w:r>
      <w:bookmarkEnd w:id="42"/>
      <w:bookmarkEnd w:id="4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项目</w:t>
            </w:r>
          </w:p>
        </w:tc>
        <w:tc>
          <w:tcPr>
            <w:tcW w:w="2977"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w:t>
            </w:r>
            <w:r>
              <w:rPr>
                <w:rFonts w:hint="default" w:ascii="Times New Roman" w:hAnsi="Times New Roman" w:eastAsia="宋体" w:cs="Times New Roman"/>
                <w:b/>
                <w:color w:val="000000"/>
                <w:kern w:val="0"/>
                <w:sz w:val="22"/>
                <w:szCs w:val="20"/>
              </w:rPr>
              <w:t>0</w:t>
            </w:r>
            <w:r>
              <w:rPr>
                <w:rFonts w:ascii="宋体" w:hAnsi="宋体" w:eastAsia="宋体" w:cs="Times New Roman"/>
                <w:b/>
                <w:color w:val="000000"/>
                <w:kern w:val="0"/>
                <w:sz w:val="22"/>
                <w:szCs w:val="20"/>
              </w:rPr>
              <w:t>股派现数</w:t>
            </w: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268"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股送股数</w:t>
            </w:r>
          </w:p>
        </w:tc>
        <w:tc>
          <w:tcPr>
            <w:tcW w:w="1770"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年度分配预案</w:t>
            </w:r>
          </w:p>
        </w:tc>
        <w:tc>
          <w:tcPr>
            <w:tcW w:w="2977" w:type="dxa"/>
          </w:tcPr>
          <w:p>
            <w:pPr>
              <w:tabs>
                <w:tab w:val="left" w:pos="5140"/>
              </w:tabs>
              <w:rPr>
                <w:rFonts w:ascii="宋体" w:hAnsi="宋体" w:eastAsia="宋体" w:cs="Times New Roman"/>
                <w:color w:val="000000"/>
                <w:kern w:val="0"/>
                <w:sz w:val="22"/>
                <w:szCs w:val="20"/>
              </w:rPr>
            </w:pPr>
          </w:p>
        </w:tc>
        <w:tc>
          <w:tcPr>
            <w:tcW w:w="2268" w:type="dxa"/>
          </w:tcPr>
          <w:p>
            <w:pPr>
              <w:tabs>
                <w:tab w:val="left" w:pos="5140"/>
              </w:tabs>
              <w:rPr>
                <w:rFonts w:ascii="宋体" w:hAnsi="宋体" w:eastAsia="宋体" w:cs="Times New Roman"/>
                <w:color w:val="000000"/>
                <w:kern w:val="0"/>
                <w:sz w:val="22"/>
                <w:szCs w:val="20"/>
              </w:rPr>
            </w:pPr>
          </w:p>
        </w:tc>
        <w:tc>
          <w:tcPr>
            <w:tcW w:w="1770" w:type="dxa"/>
          </w:tcPr>
          <w:p>
            <w:pPr>
              <w:tabs>
                <w:tab w:val="left" w:pos="5140"/>
              </w:tabs>
              <w:rPr>
                <w:rFonts w:ascii="宋体" w:hAnsi="宋体" w:eastAsia="宋体" w:cs="Times New Roman"/>
                <w:color w:val="000000"/>
                <w:kern w:val="0"/>
                <w:sz w:val="22"/>
                <w:szCs w:val="20"/>
              </w:rPr>
            </w:pP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pStyle w:val="2"/>
        <w:spacing w:before="100" w:after="100" w:line="240" w:lineRule="auto"/>
        <w:jc w:val="center"/>
        <w:rPr>
          <w:rFonts w:eastAsia="黑体"/>
          <w:sz w:val="36"/>
        </w:rPr>
      </w:pPr>
      <w:r>
        <w:rPr>
          <w:rFonts w:hint="eastAsia" w:eastAsia="黑体"/>
          <w:sz w:val="36"/>
        </w:rPr>
        <w:t>第五节</w:t>
      </w:r>
      <w:r>
        <w:rPr>
          <w:rFonts w:eastAsia="黑体"/>
          <w:sz w:val="36"/>
        </w:rPr>
        <w:t xml:space="preserve"> </w:t>
      </w:r>
      <w:bookmarkEnd w:id="24"/>
      <w:bookmarkEnd w:id="25"/>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4" w:name="_Toc8141"/>
      <w:bookmarkStart w:id="45" w:name="_Toc22910"/>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注：公司</w:t>
      </w:r>
      <w:r>
        <w:rPr>
          <w:rFonts w:ascii="Calibri" w:hAnsi="Calibri" w:eastAsia="宋体" w:cs="Times New Roman"/>
          <w:i/>
          <w:color w:val="FF0000"/>
        </w:rPr>
        <w:t>应当披露</w:t>
      </w:r>
      <w:r>
        <w:rPr>
          <w:rFonts w:hint="eastAsia" w:ascii="Calibri" w:hAnsi="Calibri" w:eastAsia="宋体" w:cs="Times New Roman"/>
          <w:i/>
          <w:color w:val="FF0000"/>
        </w:rPr>
        <w:t>新任</w:t>
      </w:r>
      <w:r>
        <w:rPr>
          <w:rFonts w:ascii="Calibri" w:hAnsi="Calibri" w:eastAsia="宋体" w:cs="Times New Roman"/>
          <w:i/>
          <w:color w:val="FF0000"/>
        </w:rPr>
        <w:t>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w:t>
      </w:r>
      <w:r>
        <w:rPr>
          <w:rFonts w:ascii="Calibri" w:hAnsi="Calibri" w:eastAsia="宋体" w:cs="Times New Roman"/>
          <w:i/>
          <w:color w:val="FF0000"/>
        </w:rPr>
        <w:t>基本情况。</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5"/>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5"/>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4"/>
    <w:bookmarkEnd w:id="45"/>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8"/>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0"/>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D8D8D8" w:themeFill="background1" w:themeFillShade="D9"/>
            <w:vAlign w:val="center"/>
          </w:tcPr>
          <w:p>
            <w:pPr>
              <w:jc w:val="center"/>
              <w:rPr>
                <w:b/>
                <w:sz w:val="22"/>
              </w:rPr>
            </w:pPr>
            <w:r>
              <w:rPr>
                <w:rFonts w:hint="eastAsia"/>
                <w:b/>
                <w:sz w:val="22"/>
              </w:rPr>
              <w:t>姓名</w:t>
            </w:r>
          </w:p>
        </w:tc>
        <w:tc>
          <w:tcPr>
            <w:tcW w:w="729" w:type="pct"/>
            <w:shd w:val="clear" w:color="auto" w:fill="D8D8D8" w:themeFill="background1" w:themeFillShade="D9"/>
            <w:vAlign w:val="center"/>
          </w:tcPr>
          <w:p>
            <w:pPr>
              <w:jc w:val="center"/>
              <w:rPr>
                <w:b/>
                <w:sz w:val="22"/>
              </w:rPr>
            </w:pPr>
            <w:r>
              <w:rPr>
                <w:rFonts w:hint="eastAsia"/>
                <w:b/>
                <w:sz w:val="22"/>
              </w:rPr>
              <w:t>变动情况</w:t>
            </w:r>
          </w:p>
        </w:tc>
        <w:tc>
          <w:tcPr>
            <w:tcW w:w="441" w:type="pct"/>
            <w:shd w:val="clear" w:color="auto" w:fill="D8D8D8" w:themeFill="background1" w:themeFillShade="D9"/>
            <w:vAlign w:val="center"/>
          </w:tcPr>
          <w:p>
            <w:pPr>
              <w:jc w:val="center"/>
              <w:rPr>
                <w:b/>
                <w:sz w:val="22"/>
              </w:rPr>
            </w:pPr>
            <w:r>
              <w:rPr>
                <w:rFonts w:hint="eastAsia"/>
                <w:b/>
                <w:sz w:val="22"/>
              </w:rPr>
              <w:t>职务</w:t>
            </w:r>
          </w:p>
        </w:tc>
        <w:tc>
          <w:tcPr>
            <w:tcW w:w="1250" w:type="pct"/>
            <w:shd w:val="clear" w:color="auto" w:fill="D8D8D8" w:themeFill="background1" w:themeFillShade="D9"/>
            <w:vAlign w:val="center"/>
          </w:tcPr>
          <w:p>
            <w:pPr>
              <w:widowControl/>
              <w:jc w:val="center"/>
              <w:rPr>
                <w:b/>
                <w:sz w:val="22"/>
              </w:rPr>
            </w:pPr>
            <w:r>
              <w:rPr>
                <w:rFonts w:hint="eastAsia"/>
                <w:b/>
                <w:sz w:val="22"/>
              </w:rPr>
              <w:t>期初持普通股股数</w:t>
            </w:r>
          </w:p>
        </w:tc>
        <w:tc>
          <w:tcPr>
            <w:tcW w:w="809" w:type="pct"/>
            <w:shd w:val="clear" w:color="auto" w:fill="D8D8D8" w:themeFill="background1" w:themeFillShade="D9"/>
            <w:vAlign w:val="center"/>
          </w:tcPr>
          <w:p>
            <w:pPr>
              <w:widowControl/>
              <w:jc w:val="center"/>
              <w:rPr>
                <w:b/>
                <w:sz w:val="22"/>
              </w:rPr>
            </w:pPr>
            <w:r>
              <w:rPr>
                <w:rFonts w:hint="eastAsia"/>
                <w:b/>
                <w:sz w:val="22"/>
              </w:rPr>
              <w:t>持股</w:t>
            </w:r>
            <w:r>
              <w:rPr>
                <w:b/>
                <w:sz w:val="22"/>
              </w:rPr>
              <w:t>数量变动</w:t>
            </w:r>
          </w:p>
        </w:tc>
        <w:tc>
          <w:tcPr>
            <w:tcW w:w="1029" w:type="pct"/>
            <w:shd w:val="clear" w:color="auto" w:fill="D8D8D8" w:themeFill="background1" w:themeFillShade="D9"/>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46" w:name="_Toc11304"/>
      <w:bookmarkStart w:id="47" w:name="_Toc28124"/>
      <w:bookmarkStart w:id="48" w:name="_Toc9561"/>
      <w:bookmarkStart w:id="49" w:name="_Toc26572"/>
      <w:bookmarkStart w:id="50" w:name="_Toc30807"/>
      <w:bookmarkStart w:id="51" w:name="_Toc3366"/>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46"/>
      <w:bookmarkEnd w:id="47"/>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事项</w:t>
            </w:r>
          </w:p>
        </w:tc>
        <w:tc>
          <w:tcPr>
            <w:tcW w:w="1417"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投资机构是否派驻董事</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监事会对本年监督事项是否存在异议</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管理层是否引入职业经理人</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报告期</w:t>
            </w:r>
            <w:r>
              <w:rPr>
                <w:rFonts w:ascii="Times New Roman" w:hAnsi="Times New Roman"/>
                <w:color w:val="000000" w:themeColor="text1"/>
                <w:kern w:val="0"/>
                <w:sz w:val="22"/>
                <w:szCs w:val="20"/>
                <w14:textFill>
                  <w14:solidFill>
                    <w14:schemeClr w14:val="tx1"/>
                  </w14:solidFill>
                </w14:textFill>
              </w:rPr>
              <w:t>内</w:t>
            </w:r>
            <w:r>
              <w:rPr>
                <w:rFonts w:hint="eastAsia" w:ascii="Times New Roman" w:hAnsi="Times New Roman"/>
                <w:color w:val="000000" w:themeColor="text1"/>
                <w:kern w:val="0"/>
                <w:sz w:val="22"/>
                <w:szCs w:val="20"/>
                <w14:textFill>
                  <w14:solidFill>
                    <w14:schemeClr w14:val="tx1"/>
                  </w14:solidFill>
                </w14:textFill>
              </w:rPr>
              <w:t>是否新增</w:t>
            </w:r>
            <w:r>
              <w:rPr>
                <w:rFonts w:ascii="Times New Roman" w:hAnsi="Times New Roman"/>
                <w:color w:val="000000" w:themeColor="text1"/>
                <w:kern w:val="0"/>
                <w:sz w:val="22"/>
                <w:szCs w:val="20"/>
                <w14:textFill>
                  <w14:solidFill>
                    <w14:schemeClr w14:val="tx1"/>
                  </w14:solidFill>
                </w14:textFill>
              </w:rPr>
              <w:t>关联方</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52" w:name="_Toc1328"/>
      <w:bookmarkStart w:id="53" w:name="_Toc14513"/>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2"/>
      <w:bookmarkEnd w:id="53"/>
      <w:r>
        <w:rPr>
          <w:rFonts w:hint="eastAsia" w:ascii="Times New Roman" w:hAnsi="Times New Roman" w:eastAsia="宋体" w:cs="Times New Roman"/>
          <w:b/>
          <w:bCs/>
          <w:szCs w:val="32"/>
          <w:lang w:val="zh-CN"/>
        </w:rPr>
        <w:t>基本情况</w:t>
      </w:r>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p>
        </w:tc>
      </w:tr>
    </w:tbl>
    <w:p>
      <w:pPr>
        <w:keepNext/>
        <w:keepLines/>
        <w:spacing w:before="100" w:after="100"/>
        <w:outlineLvl w:val="2"/>
        <w:rPr>
          <w:rFonts w:ascii="Times New Roman" w:hAnsi="Times New Roman" w:eastAsia="宋体" w:cs="Times New Roman"/>
          <w:b/>
          <w:bCs/>
          <w:szCs w:val="32"/>
          <w:lang w:val="zh-CN"/>
        </w:rPr>
      </w:pPr>
      <w:bookmarkStart w:id="54" w:name="_Toc4118"/>
      <w:bookmarkStart w:id="55" w:name="_Toc1322"/>
      <w:r>
        <w:rPr>
          <w:rFonts w:hint="eastAsia" w:ascii="Times New Roman" w:hAnsi="Times New Roman" w:eastAsia="宋体" w:cs="Times New Roman"/>
          <w:b/>
          <w:bCs/>
          <w:szCs w:val="32"/>
          <w:lang w:val="zh-CN"/>
        </w:rPr>
        <w:t>（二）</w:t>
      </w:r>
      <w:bookmarkStart w:id="56" w:name="_Toc26831"/>
      <w:bookmarkStart w:id="57" w:name="_Toc32612"/>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56"/>
      <w:bookmarkEnd w:id="57"/>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58" w:name="_Toc23971"/>
      <w:bookmarkStart w:id="59" w:name="_Toc1235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58"/>
      <w:bookmarkEnd w:id="59"/>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0" w:name="_Toc14079"/>
      <w:bookmarkStart w:id="61" w:name="_Toc26971"/>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0"/>
      <w:bookmarkEnd w:id="61"/>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4"/>
      <w:bookmarkEnd w:id="55"/>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48"/>
      <w:bookmarkEnd w:id="49"/>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5"/>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D9D9D9"/>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D9D9D9"/>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8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jc w:val="center"/>
        <w:outlineLvl w:val="9"/>
        <w:rPr>
          <w:rFonts w:ascii="Calibri" w:hAnsi="Calibri" w:eastAsia="宋体" w:cs="Times New Roman"/>
        </w:rPr>
      </w:pPr>
      <w:r>
        <w:rPr>
          <w:rFonts w:ascii="Calibri" w:hAnsi="Calibri" w:eastAsia="宋体" w:cs="Times New Roman"/>
        </w:rPr>
        <w:br w:type="page"/>
      </w: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r>
        <w:rPr>
          <w:rFonts w:hint="eastAsia" w:eastAsia="黑体"/>
          <w:sz w:val="36"/>
        </w:rPr>
        <w:t>财务会计报告</w:t>
      </w:r>
      <w:bookmarkEnd w:id="50"/>
      <w:bookmarkEnd w:id="51"/>
    </w:p>
    <w:p>
      <w:pPr>
        <w:keepNext/>
        <w:keepLines/>
        <w:spacing w:before="100" w:after="100"/>
        <w:outlineLvl w:val="1"/>
        <w:rPr>
          <w:rFonts w:ascii="Calibri Light" w:hAnsi="Calibri Light" w:eastAsia="微软雅黑" w:cs="Times New Roman"/>
          <w:b/>
          <w:bCs/>
          <w:sz w:val="22"/>
          <w:szCs w:val="32"/>
        </w:rPr>
      </w:pPr>
      <w:bookmarkStart w:id="62" w:name="_Toc24970"/>
      <w:bookmarkStart w:id="63" w:name="_Toc23015"/>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2"/>
      <w:bookmarkEnd w:id="63"/>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4" w:name="_Toc13862"/>
      <w:bookmarkStart w:id="65" w:name="_Toc29146"/>
      <w:bookmarkStart w:id="66" w:name="_Toc241636382"/>
      <w:bookmarkStart w:id="67" w:name="_Toc247371786"/>
      <w:bookmarkStart w:id="68" w:name="_Toc369159472"/>
      <w:bookmarkStart w:id="69" w:name="_Toc247094011"/>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4"/>
      <w:bookmarkEnd w:id="65"/>
    </w:p>
    <w:p>
      <w:pPr>
        <w:keepNext/>
        <w:keepLines/>
        <w:spacing w:before="100" w:after="100"/>
        <w:outlineLvl w:val="2"/>
        <w:rPr>
          <w:rFonts w:ascii="Times New Roman" w:hAnsi="Times New Roman" w:eastAsia="宋体" w:cs="Times New Roman"/>
          <w:b/>
          <w:bCs/>
          <w:szCs w:val="32"/>
          <w:lang w:val="zh-CN"/>
        </w:rPr>
      </w:pPr>
      <w:bookmarkStart w:id="70" w:name="_Toc8339"/>
      <w:bookmarkStart w:id="71" w:name="_Toc27363"/>
      <w:r>
        <w:rPr>
          <w:rFonts w:hint="eastAsia" w:ascii="Times New Roman" w:hAnsi="Times New Roman" w:eastAsia="宋体" w:cs="Times New Roman"/>
          <w:b/>
          <w:bCs/>
          <w:szCs w:val="32"/>
          <w:lang w:val="zh-CN"/>
        </w:rPr>
        <w:t>（一）合并资产负债表</w:t>
      </w:r>
      <w:bookmarkEnd w:id="70"/>
      <w:bookmarkEnd w:id="71"/>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59"/>
        <w:gridCol w:w="1896"/>
        <w:gridCol w:w="2622"/>
        <w:gridCol w:w="23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56"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322" w:type="pct"/>
            <w:shd w:val="pct10" w:color="auto" w:fill="FFFFFF"/>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2024年</w:t>
            </w:r>
            <w:r>
              <w:rPr>
                <w:rFonts w:ascii="Times New Roman" w:hAnsi="Times New Roman" w:eastAsia="宋体" w:cs="Times New Roman"/>
                <w:b/>
                <w:sz w:val="18"/>
                <w:szCs w:val="18"/>
              </w:rPr>
              <w:t>12月31日</w:t>
            </w:r>
          </w:p>
        </w:tc>
        <w:tc>
          <w:tcPr>
            <w:tcW w:w="1177" w:type="pct"/>
            <w:shd w:val="pct10" w:color="auto" w:fill="FFFFFF"/>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2023</w:t>
            </w:r>
            <w:r>
              <w:rPr>
                <w:rFonts w:ascii="Times New Roman" w:hAnsi="Times New Roman" w:eastAsia="宋体" w:cs="Times New Roman"/>
                <w:b/>
                <w:sz w:val="18"/>
                <w:szCs w:val="18"/>
              </w:rPr>
              <w:t>年</w:t>
            </w:r>
            <w:r>
              <w:rPr>
                <w:rFonts w:hint="eastAsia" w:ascii="Times New Roman" w:hAnsi="Times New Roman" w:eastAsia="宋体" w:cs="Times New Roman"/>
                <w:b/>
                <w:sz w:val="18"/>
                <w:szCs w:val="18"/>
              </w:rPr>
              <w:t>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宋体"/>
                <w:b/>
                <w:sz w:val="18"/>
                <w:szCs w:val="18"/>
              </w:rPr>
            </w:pPr>
            <w:r>
              <w:rPr>
                <w:rFonts w:hint="eastAsia" w:asciiTheme="minorEastAsia" w:hAnsiTheme="minorEastAsia"/>
                <w:b/>
                <w:sz w:val="18"/>
                <w:szCs w:val="21"/>
              </w:rPr>
              <w:t>资产：</w:t>
            </w:r>
          </w:p>
        </w:tc>
        <w:tc>
          <w:tcPr>
            <w:tcW w:w="956" w:type="pct"/>
            <w:shd w:val="clear" w:color="auto" w:fill="auto"/>
          </w:tcPr>
          <w:p>
            <w:pPr>
              <w:widowControl/>
              <w:tabs>
                <w:tab w:val="left" w:pos="1380"/>
              </w:tabs>
              <w:jc w:val="right"/>
              <w:rPr>
                <w:rFonts w:ascii="宋体" w:hAnsi="宋体" w:eastAsia="宋体" w:cs="宋体"/>
                <w:kern w:val="0"/>
                <w:sz w:val="18"/>
                <w:szCs w:val="18"/>
              </w:rPr>
            </w:pPr>
            <w:r>
              <w:rPr>
                <w:rFonts w:ascii="宋体" w:hAnsi="宋体" w:eastAsia="宋体" w:cs="宋体"/>
                <w:kern w:val="0"/>
                <w:sz w:val="18"/>
                <w:szCs w:val="18"/>
              </w:rPr>
              <w:tab/>
            </w: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货币资金</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拆出资金</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衍生金融资产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应收</w:t>
            </w:r>
            <w:r>
              <w:rPr>
                <w:rFonts w:asciiTheme="minorEastAsia" w:hAnsiTheme="minorEastAsia"/>
                <w:sz w:val="18"/>
                <w:szCs w:val="21"/>
              </w:rPr>
              <w:t>款项</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其中</w:t>
            </w:r>
            <w:r>
              <w:rPr>
                <w:rFonts w:asciiTheme="minorEastAsia" w:hAnsiTheme="minorEastAsia"/>
                <w:sz w:val="18"/>
                <w:szCs w:val="21"/>
              </w:rPr>
              <w:t>：应收利息</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合同</w:t>
            </w:r>
            <w:r>
              <w:rPr>
                <w:rFonts w:asciiTheme="minorEastAsia" w:hAnsiTheme="minorEastAsia"/>
                <w:sz w:val="18"/>
                <w:szCs w:val="21"/>
              </w:rPr>
              <w:t>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买</w:t>
            </w:r>
            <w:r>
              <w:rPr>
                <w:rFonts w:asciiTheme="minorEastAsia" w:hAnsiTheme="minorEastAsia"/>
                <w:sz w:val="18"/>
                <w:szCs w:val="21"/>
              </w:rPr>
              <w:t>入返售</w:t>
            </w:r>
            <w:r>
              <w:rPr>
                <w:rFonts w:hint="eastAsia" w:asciiTheme="minorEastAsia" w:hAnsiTheme="minorEastAsia"/>
                <w:sz w:val="18"/>
                <w:szCs w:val="21"/>
              </w:rPr>
              <w:t>金</w:t>
            </w:r>
            <w:r>
              <w:rPr>
                <w:rFonts w:asciiTheme="minorEastAsia" w:hAnsiTheme="minorEastAsia"/>
                <w:sz w:val="18"/>
                <w:szCs w:val="21"/>
              </w:rPr>
              <w:t>融资产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预付款项</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其他应收款</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代理业务</w:t>
            </w:r>
            <w:r>
              <w:rPr>
                <w:rFonts w:asciiTheme="minorEastAsia" w:hAnsiTheme="minorEastAsia"/>
                <w:sz w:val="18"/>
                <w:szCs w:val="21"/>
              </w:rPr>
              <w:t>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持有待售资产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发放贷款及垫款</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金融</w:t>
            </w:r>
            <w:r>
              <w:rPr>
                <w:rFonts w:asciiTheme="minorEastAsia" w:hAnsiTheme="minorEastAsia"/>
                <w:sz w:val="18"/>
                <w:szCs w:val="21"/>
              </w:rPr>
              <w:t>投资</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其中：交易</w:t>
            </w:r>
            <w:r>
              <w:rPr>
                <w:rFonts w:asciiTheme="minorEastAsia" w:hAnsiTheme="minorEastAsia"/>
                <w:sz w:val="18"/>
                <w:szCs w:val="21"/>
              </w:rPr>
              <w:t>性金融资产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ind w:firstLine="540" w:firstLineChars="300"/>
              <w:rPr>
                <w:rFonts w:ascii="宋体" w:hAnsi="宋体" w:eastAsia="宋体" w:cs="Times New Roman"/>
                <w:sz w:val="18"/>
                <w:szCs w:val="18"/>
              </w:rPr>
            </w:pPr>
            <w:r>
              <w:rPr>
                <w:rFonts w:hint="eastAsia" w:asciiTheme="minorEastAsia" w:hAnsiTheme="minorEastAsia"/>
                <w:sz w:val="18"/>
                <w:szCs w:val="21"/>
              </w:rPr>
              <w:t>债权</w:t>
            </w:r>
            <w:r>
              <w:rPr>
                <w:rFonts w:asciiTheme="minorEastAsia" w:hAnsiTheme="minorEastAsia"/>
                <w:sz w:val="18"/>
                <w:szCs w:val="21"/>
              </w:rPr>
              <w:t>投资</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ind w:firstLine="540" w:firstLineChars="300"/>
              <w:rPr>
                <w:rFonts w:ascii="宋体" w:hAnsi="宋体" w:eastAsia="宋体" w:cs="Times New Roman"/>
                <w:sz w:val="18"/>
                <w:szCs w:val="18"/>
              </w:rPr>
            </w:pPr>
            <w:r>
              <w:rPr>
                <w:rFonts w:hint="eastAsia" w:asciiTheme="minorEastAsia" w:hAnsiTheme="minorEastAsia"/>
                <w:sz w:val="18"/>
                <w:szCs w:val="21"/>
              </w:rPr>
              <w:t>其他</w:t>
            </w:r>
            <w:r>
              <w:rPr>
                <w:rFonts w:asciiTheme="minorEastAsia" w:hAnsiTheme="minorEastAsia"/>
                <w:sz w:val="18"/>
                <w:szCs w:val="21"/>
              </w:rPr>
              <w:t>债权投资</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ind w:firstLine="540" w:firstLineChars="300"/>
              <w:rPr>
                <w:rFonts w:ascii="宋体" w:hAnsi="宋体" w:eastAsia="宋体" w:cs="宋体"/>
                <w:sz w:val="18"/>
                <w:szCs w:val="18"/>
              </w:rPr>
            </w:pPr>
            <w:r>
              <w:rPr>
                <w:rFonts w:hint="eastAsia" w:asciiTheme="minorEastAsia" w:hAnsiTheme="minorEastAsia"/>
                <w:sz w:val="18"/>
                <w:szCs w:val="21"/>
              </w:rPr>
              <w:t>其他</w:t>
            </w:r>
            <w:r>
              <w:rPr>
                <w:rFonts w:asciiTheme="minorEastAsia" w:hAnsiTheme="minorEastAsia"/>
                <w:sz w:val="18"/>
                <w:szCs w:val="21"/>
              </w:rPr>
              <w:t>权益工具投资</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Times New Roman"/>
                <w:sz w:val="18"/>
                <w:szCs w:val="18"/>
              </w:rPr>
            </w:pPr>
            <w:r>
              <w:rPr>
                <w:rFonts w:hint="eastAsia" w:ascii="宋体" w:hAnsi="宋体"/>
                <w:sz w:val="18"/>
                <w:szCs w:val="21"/>
              </w:rPr>
              <w:t>委托贷款</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长期股权投资</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投资性房地产</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固定资产</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2"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auto"/>
            <w:vAlign w:val="center"/>
          </w:tcPr>
          <w:p>
            <w:pPr>
              <w:rPr>
                <w:rFonts w:ascii="宋体" w:hAnsi="宋体" w:eastAsia="宋体" w:cs="宋体"/>
                <w:b/>
                <w:sz w:val="18"/>
                <w:szCs w:val="18"/>
              </w:rPr>
            </w:pPr>
            <w:r>
              <w:rPr>
                <w:rFonts w:hint="eastAsia" w:asciiTheme="minorEastAsia" w:hAnsiTheme="minorEastAsia"/>
                <w:sz w:val="18"/>
                <w:szCs w:val="21"/>
              </w:rPr>
              <w:t>在建工程</w:t>
            </w:r>
          </w:p>
        </w:tc>
        <w:tc>
          <w:tcPr>
            <w:tcW w:w="956" w:type="pct"/>
            <w:shd w:val="pct10" w:color="FFFFFF" w:themeColor="background1" w:fill="auto"/>
          </w:tcPr>
          <w:p>
            <w:pPr>
              <w:widowControl/>
              <w:jc w:val="right"/>
              <w:rPr>
                <w:rFonts w:ascii="宋体" w:hAnsi="宋体" w:eastAsia="宋体" w:cs="宋体"/>
                <w:kern w:val="0"/>
                <w:sz w:val="18"/>
                <w:szCs w:val="18"/>
              </w:rPr>
            </w:pPr>
          </w:p>
        </w:tc>
        <w:tc>
          <w:tcPr>
            <w:tcW w:w="1322" w:type="pct"/>
            <w:shd w:val="pct10" w:color="FFFFFF" w:themeColor="background1" w:fill="auto"/>
          </w:tcPr>
          <w:p>
            <w:pPr>
              <w:widowControl/>
              <w:jc w:val="right"/>
              <w:rPr>
                <w:rFonts w:ascii="宋体" w:hAnsi="宋体" w:eastAsia="宋体" w:cs="宋体"/>
                <w:kern w:val="0"/>
                <w:sz w:val="18"/>
                <w:szCs w:val="18"/>
              </w:rPr>
            </w:pPr>
          </w:p>
        </w:tc>
        <w:tc>
          <w:tcPr>
            <w:tcW w:w="1177" w:type="pct"/>
            <w:shd w:val="pct10" w:color="FFFFFF" w:themeColor="background1"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jc w:val="left"/>
              <w:rPr>
                <w:rFonts w:ascii="宋体" w:hAnsi="宋体" w:eastAsia="宋体" w:cs="宋体"/>
                <w:b/>
                <w:sz w:val="18"/>
                <w:szCs w:val="18"/>
              </w:rPr>
            </w:pPr>
            <w:r>
              <w:rPr>
                <w:rFonts w:hint="eastAsia" w:asciiTheme="minorEastAsia" w:hAnsiTheme="minorEastAsia"/>
                <w:sz w:val="18"/>
                <w:szCs w:val="21"/>
              </w:rPr>
              <w:t>使用权</w:t>
            </w:r>
            <w:r>
              <w:rPr>
                <w:rFonts w:asciiTheme="minorEastAsia" w:hAnsiTheme="minorEastAsia"/>
                <w:sz w:val="18"/>
                <w:szCs w:val="21"/>
              </w:rPr>
              <w:t>资产</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无形资产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开发</w:t>
            </w:r>
            <w:r>
              <w:rPr>
                <w:rFonts w:asciiTheme="minorEastAsia" w:hAnsiTheme="minorEastAsia"/>
                <w:sz w:val="18"/>
                <w:szCs w:val="21"/>
              </w:rPr>
              <w:t>支出</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抵债资产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商誉</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长期待摊费用</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递延所得税资产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其他资产</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ind w:firstLine="1084" w:firstLineChars="600"/>
              <w:rPr>
                <w:rFonts w:ascii="宋体" w:hAnsi="宋体" w:eastAsia="宋体" w:cs="宋体"/>
                <w:sz w:val="18"/>
                <w:szCs w:val="18"/>
              </w:rPr>
            </w:pPr>
            <w:r>
              <w:rPr>
                <w:rFonts w:hint="eastAsia" w:asciiTheme="minorEastAsia" w:hAnsiTheme="minorEastAsia"/>
                <w:b/>
                <w:sz w:val="18"/>
                <w:szCs w:val="21"/>
              </w:rPr>
              <w:t>资产总计</w:t>
            </w:r>
          </w:p>
        </w:tc>
        <w:tc>
          <w:tcPr>
            <w:tcW w:w="956" w:type="pct"/>
            <w:shd w:val="clear" w:color="auto" w:fill="E7E6E6" w:themeFill="background2"/>
            <w:vAlign w:val="center"/>
          </w:tcPr>
          <w:p>
            <w:pPr>
              <w:jc w:val="right"/>
              <w:rPr>
                <w:rFonts w:ascii="宋体" w:hAnsi="宋体" w:eastAsia="宋体" w:cs="宋体"/>
                <w:color w:val="000000"/>
                <w:sz w:val="18"/>
                <w:szCs w:val="18"/>
              </w:rPr>
            </w:pPr>
          </w:p>
        </w:tc>
        <w:tc>
          <w:tcPr>
            <w:tcW w:w="1322" w:type="pct"/>
            <w:shd w:val="clear" w:color="auto" w:fill="E7E6E6" w:themeFill="background2"/>
          </w:tcPr>
          <w:p>
            <w:pPr>
              <w:widowControl/>
              <w:jc w:val="right"/>
              <w:rPr>
                <w:rFonts w:ascii="宋体" w:hAnsi="宋体" w:eastAsia="宋体" w:cs="宋体"/>
                <w:kern w:val="0"/>
                <w:sz w:val="18"/>
                <w:szCs w:val="18"/>
              </w:rPr>
            </w:pPr>
          </w:p>
        </w:tc>
        <w:tc>
          <w:tcPr>
            <w:tcW w:w="1177" w:type="pct"/>
            <w:shd w:val="clear" w:color="auto" w:fill="E7E6E6" w:themeFill="background2"/>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b/>
                <w:sz w:val="18"/>
                <w:szCs w:val="21"/>
              </w:rPr>
              <w:t>负债：</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短期借款</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拆入资金</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交易性</w:t>
            </w:r>
            <w:r>
              <w:rPr>
                <w:rFonts w:asciiTheme="minorEastAsia" w:hAnsiTheme="minorEastAsia"/>
                <w:sz w:val="18"/>
                <w:szCs w:val="21"/>
              </w:rPr>
              <w:t>金融负债</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4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衍生金融负债</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应付款项</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预收款项</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卖出回购金融资产款</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应付职工薪酬</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应交税费</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合同</w:t>
            </w:r>
            <w:r>
              <w:rPr>
                <w:rFonts w:asciiTheme="minorEastAsia" w:hAnsiTheme="minorEastAsia"/>
                <w:sz w:val="18"/>
                <w:szCs w:val="21"/>
              </w:rPr>
              <w:t>负债</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2"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auto"/>
            <w:vAlign w:val="center"/>
          </w:tcPr>
          <w:p>
            <w:pPr>
              <w:rPr>
                <w:rFonts w:ascii="宋体" w:hAnsi="宋体" w:eastAsia="宋体" w:cs="宋体"/>
                <w:b/>
                <w:sz w:val="18"/>
                <w:szCs w:val="18"/>
              </w:rPr>
            </w:pPr>
            <w:r>
              <w:rPr>
                <w:rFonts w:hint="eastAsia" w:asciiTheme="minorEastAsia" w:hAnsiTheme="minorEastAsia"/>
                <w:sz w:val="18"/>
                <w:szCs w:val="21"/>
              </w:rPr>
              <w:t>其他应付款</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3" w:type="pct"/>
            <w:shd w:val="pct10" w:color="auto" w:fill="auto"/>
            <w:vAlign w:val="center"/>
          </w:tcPr>
          <w:p>
            <w:pPr>
              <w:rPr>
                <w:rFonts w:ascii="宋体" w:hAnsi="宋体" w:eastAsia="宋体" w:cs="宋体"/>
                <w:b/>
                <w:sz w:val="18"/>
                <w:szCs w:val="18"/>
              </w:rPr>
            </w:pPr>
            <w:r>
              <w:rPr>
                <w:rFonts w:hint="eastAsia" w:asciiTheme="minorEastAsia" w:hAnsiTheme="minorEastAsia"/>
                <w:sz w:val="18"/>
                <w:szCs w:val="21"/>
              </w:rPr>
              <w:t>未到期责任准备金</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43"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担保赔偿准备金</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代理业务负债</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持有待售负债</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长期借款</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应付债券</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ind w:firstLine="0" w:firstLineChars="0"/>
              <w:jc w:val="left"/>
              <w:rPr>
                <w:rFonts w:ascii="宋体" w:hAnsi="宋体" w:eastAsia="宋体" w:cs="Times New Roman"/>
                <w:sz w:val="18"/>
                <w:szCs w:val="18"/>
              </w:rPr>
            </w:pPr>
            <w:r>
              <w:rPr>
                <w:rFonts w:hint="eastAsia" w:asciiTheme="minorEastAsia" w:hAnsiTheme="minorEastAsia"/>
                <w:sz w:val="18"/>
                <w:szCs w:val="21"/>
              </w:rPr>
              <w:t>其中：优先股</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Calibri" w:hAnsi="Calibri" w:eastAsia="宋体" w:cs="Times New Roman"/>
                <w:sz w:val="18"/>
                <w:szCs w:val="18"/>
              </w:rPr>
            </w:pPr>
            <w:r>
              <w:rPr>
                <w:rFonts w:hint="eastAsia" w:asciiTheme="minorEastAsia" w:hAnsiTheme="minorEastAsia"/>
                <w:sz w:val="18"/>
                <w:szCs w:val="21"/>
              </w:rPr>
              <w:t xml:space="preserve">      永续债</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租赁</w:t>
            </w:r>
            <w:r>
              <w:rPr>
                <w:rFonts w:asciiTheme="minorEastAsia" w:hAnsiTheme="minorEastAsia"/>
                <w:sz w:val="18"/>
                <w:szCs w:val="21"/>
              </w:rPr>
              <w:t>负债</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0" w:hRule="atLeast"/>
        </w:trPr>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长期应付职工薪酬</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担保</w:t>
            </w:r>
            <w:r>
              <w:rPr>
                <w:rFonts w:asciiTheme="minorEastAsia" w:hAnsiTheme="minorEastAsia"/>
                <w:sz w:val="18"/>
                <w:szCs w:val="21"/>
              </w:rPr>
              <w:t>业务准备金</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预计负债</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递延收益</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递延所得税负债</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其他负债</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ind w:firstLine="1174" w:firstLineChars="650"/>
              <w:jc w:val="left"/>
              <w:rPr>
                <w:rFonts w:ascii="宋体" w:hAnsi="宋体" w:eastAsia="宋体" w:cs="Times New Roman"/>
                <w:sz w:val="18"/>
                <w:szCs w:val="18"/>
              </w:rPr>
            </w:pPr>
            <w:r>
              <w:rPr>
                <w:rFonts w:hint="eastAsia" w:asciiTheme="minorEastAsia" w:hAnsiTheme="minorEastAsia"/>
                <w:b/>
                <w:sz w:val="18"/>
                <w:szCs w:val="21"/>
              </w:rPr>
              <w:t>负债合计</w:t>
            </w:r>
          </w:p>
        </w:tc>
        <w:tc>
          <w:tcPr>
            <w:tcW w:w="956" w:type="pct"/>
            <w:shd w:val="clear" w:color="auto" w:fill="E7E6E6" w:themeFill="background2"/>
            <w:vAlign w:val="center"/>
          </w:tcPr>
          <w:p>
            <w:pPr>
              <w:jc w:val="right"/>
              <w:rPr>
                <w:rFonts w:ascii="宋体" w:hAnsi="宋体" w:eastAsia="宋体" w:cs="宋体"/>
                <w:color w:val="000000"/>
                <w:sz w:val="18"/>
                <w:szCs w:val="18"/>
              </w:rPr>
            </w:pPr>
          </w:p>
        </w:tc>
        <w:tc>
          <w:tcPr>
            <w:tcW w:w="1322" w:type="pct"/>
            <w:shd w:val="clear" w:color="auto" w:fill="E7E6E6" w:themeFill="background2"/>
          </w:tcPr>
          <w:p>
            <w:pPr>
              <w:widowControl/>
              <w:jc w:val="right"/>
              <w:rPr>
                <w:rFonts w:ascii="宋体" w:hAnsi="宋体" w:eastAsia="宋体" w:cs="宋体"/>
                <w:kern w:val="0"/>
                <w:sz w:val="18"/>
                <w:szCs w:val="18"/>
              </w:rPr>
            </w:pPr>
          </w:p>
        </w:tc>
        <w:tc>
          <w:tcPr>
            <w:tcW w:w="1177" w:type="pct"/>
            <w:shd w:val="clear" w:color="auto" w:fill="E7E6E6" w:themeFill="background2"/>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b/>
                <w:sz w:val="18"/>
                <w:szCs w:val="21"/>
              </w:rPr>
              <w:t>所有者权益（或股东权益）：</w:t>
            </w:r>
          </w:p>
        </w:tc>
        <w:tc>
          <w:tcPr>
            <w:tcW w:w="956" w:type="pct"/>
            <w:shd w:val="clear" w:color="auto" w:fill="E7E6E6" w:themeFill="background2"/>
            <w:vAlign w:val="center"/>
          </w:tcPr>
          <w:p>
            <w:pPr>
              <w:jc w:val="right"/>
              <w:rPr>
                <w:rFonts w:ascii="宋体" w:hAnsi="宋体" w:eastAsia="宋体" w:cs="宋体"/>
                <w:color w:val="000000"/>
                <w:sz w:val="18"/>
                <w:szCs w:val="18"/>
              </w:rPr>
            </w:pPr>
          </w:p>
        </w:tc>
        <w:tc>
          <w:tcPr>
            <w:tcW w:w="1322" w:type="pct"/>
            <w:shd w:val="clear" w:color="auto" w:fill="E7E6E6" w:themeFill="background2"/>
          </w:tcPr>
          <w:p>
            <w:pPr>
              <w:widowControl/>
              <w:jc w:val="right"/>
              <w:rPr>
                <w:rFonts w:ascii="宋体" w:hAnsi="宋体" w:eastAsia="宋体" w:cs="宋体"/>
                <w:kern w:val="0"/>
                <w:sz w:val="18"/>
                <w:szCs w:val="18"/>
              </w:rPr>
            </w:pPr>
          </w:p>
        </w:tc>
        <w:tc>
          <w:tcPr>
            <w:tcW w:w="1177" w:type="pct"/>
            <w:shd w:val="clear" w:color="auto" w:fill="E7E6E6" w:themeFill="background2"/>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股本</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其他权益工具</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ind w:firstLine="0" w:firstLineChars="0"/>
              <w:jc w:val="left"/>
              <w:rPr>
                <w:rFonts w:ascii="宋体" w:hAnsi="宋体" w:eastAsia="宋体" w:cs="Times New Roman"/>
                <w:sz w:val="18"/>
                <w:szCs w:val="18"/>
              </w:rPr>
            </w:pPr>
            <w:r>
              <w:rPr>
                <w:rFonts w:hint="eastAsia" w:asciiTheme="minorEastAsia" w:hAnsiTheme="minorEastAsia"/>
                <w:sz w:val="18"/>
                <w:szCs w:val="21"/>
              </w:rPr>
              <w:t>其中：优先股</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Theme="minorEastAsia" w:hAnsiTheme="minorEastAsia"/>
                <w:sz w:val="18"/>
                <w:szCs w:val="21"/>
              </w:rPr>
              <w:t>永续债</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资本公积</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减：库存股</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其他综合收益</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专项储备</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2"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auto"/>
            <w:vAlign w:val="center"/>
          </w:tcPr>
          <w:p>
            <w:pPr>
              <w:widowControl/>
              <w:rPr>
                <w:rFonts w:ascii="宋体" w:hAnsi="宋体" w:eastAsia="宋体" w:cs="Times New Roman"/>
                <w:b/>
                <w:sz w:val="18"/>
                <w:szCs w:val="18"/>
              </w:rPr>
            </w:pPr>
            <w:r>
              <w:rPr>
                <w:rFonts w:hint="eastAsia" w:asciiTheme="minorEastAsia" w:hAnsiTheme="minorEastAsia"/>
                <w:sz w:val="18"/>
                <w:szCs w:val="21"/>
              </w:rPr>
              <w:t>盈余公积</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b/>
                <w:sz w:val="18"/>
                <w:szCs w:val="18"/>
              </w:rPr>
            </w:pPr>
            <w:r>
              <w:rPr>
                <w:rFonts w:hint="eastAsia" w:asciiTheme="minorEastAsia" w:hAnsiTheme="minorEastAsia"/>
                <w:sz w:val="18"/>
                <w:szCs w:val="21"/>
              </w:rPr>
              <w:t>一般风险准备</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未分配利润</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归属于母公司所有者权益（或股东权益）合计</w:t>
            </w:r>
          </w:p>
        </w:tc>
        <w:tc>
          <w:tcPr>
            <w:tcW w:w="956" w:type="pct"/>
            <w:shd w:val="clear" w:color="auto" w:fill="auto"/>
            <w:vAlign w:val="center"/>
          </w:tcPr>
          <w:p>
            <w:pPr>
              <w:jc w:val="right"/>
              <w:rPr>
                <w:rFonts w:ascii="宋体" w:hAnsi="宋体" w:eastAsia="宋体" w:cs="宋体"/>
                <w:color w:val="00000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3" w:type="pct"/>
            <w:shd w:val="pct10" w:color="auto" w:fill="FFFFFF"/>
            <w:vAlign w:val="center"/>
          </w:tcPr>
          <w:p>
            <w:pPr>
              <w:widowControl/>
              <w:jc w:val="left"/>
              <w:rPr>
                <w:rFonts w:ascii="宋体" w:hAnsi="宋体" w:eastAsia="宋体" w:cs="Times New Roman"/>
                <w:sz w:val="18"/>
                <w:szCs w:val="18"/>
              </w:rPr>
            </w:pPr>
            <w:r>
              <w:rPr>
                <w:rFonts w:hint="eastAsia" w:asciiTheme="minorEastAsia" w:hAnsiTheme="minorEastAsia"/>
                <w:sz w:val="18"/>
                <w:szCs w:val="21"/>
              </w:rPr>
              <w:t>少数股东权益</w:t>
            </w:r>
          </w:p>
        </w:tc>
        <w:tc>
          <w:tcPr>
            <w:tcW w:w="956" w:type="pct"/>
            <w:shd w:val="clear" w:color="auto" w:fill="auto"/>
          </w:tcPr>
          <w:p>
            <w:pPr>
              <w:widowControl/>
              <w:jc w:val="right"/>
              <w:rPr>
                <w:rFonts w:ascii="宋体" w:hAnsi="宋体" w:eastAsia="宋体" w:cs="宋体"/>
                <w:kern w:val="0"/>
                <w:sz w:val="18"/>
                <w:szCs w:val="18"/>
              </w:rPr>
            </w:pPr>
          </w:p>
        </w:tc>
        <w:tc>
          <w:tcPr>
            <w:tcW w:w="1322"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3" w:type="pct"/>
            <w:shd w:val="pct10" w:color="auto" w:fill="FFFFFF"/>
            <w:vAlign w:val="center"/>
          </w:tcPr>
          <w:p>
            <w:pPr>
              <w:widowControl/>
              <w:jc w:val="left"/>
              <w:rPr>
                <w:rFonts w:asciiTheme="minorEastAsia" w:hAnsiTheme="minorEastAsia" w:eastAsiaTheme="minorEastAsia" w:cstheme="minorBidi"/>
                <w:b/>
                <w:sz w:val="18"/>
                <w:szCs w:val="21"/>
              </w:rPr>
            </w:pPr>
            <w:r>
              <w:rPr>
                <w:rFonts w:hint="eastAsia" w:asciiTheme="minorEastAsia" w:hAnsiTheme="minorEastAsia"/>
                <w:b/>
                <w:sz w:val="18"/>
                <w:szCs w:val="21"/>
                <w:shd w:val="clear" w:color="auto" w:fill="auto"/>
              </w:rPr>
              <w:t>所有者权益</w:t>
            </w:r>
            <w:r>
              <w:rPr>
                <w:rFonts w:hint="eastAsia" w:asciiTheme="minorEastAsia" w:hAnsiTheme="minorEastAsia"/>
                <w:b/>
                <w:sz w:val="18"/>
                <w:szCs w:val="21"/>
              </w:rPr>
              <w:t>（或股东权益）</w:t>
            </w:r>
            <w:r>
              <w:rPr>
                <w:rFonts w:hint="eastAsia" w:asciiTheme="minorEastAsia" w:hAnsiTheme="minorEastAsia"/>
                <w:b/>
                <w:sz w:val="18"/>
                <w:szCs w:val="21"/>
                <w:shd w:val="clear" w:color="auto" w:fill="auto"/>
              </w:rPr>
              <w:t>合计</w:t>
            </w:r>
          </w:p>
        </w:tc>
        <w:tc>
          <w:tcPr>
            <w:tcW w:w="956" w:type="pct"/>
            <w:shd w:val="clear" w:color="auto" w:fill="E7E6E6" w:themeFill="background2"/>
          </w:tcPr>
          <w:p>
            <w:pPr>
              <w:widowControl/>
              <w:jc w:val="right"/>
              <w:rPr>
                <w:rFonts w:ascii="宋体" w:hAnsi="宋体" w:eastAsia="宋体" w:cs="宋体"/>
                <w:kern w:val="0"/>
                <w:sz w:val="18"/>
                <w:szCs w:val="18"/>
              </w:rPr>
            </w:pPr>
          </w:p>
        </w:tc>
        <w:tc>
          <w:tcPr>
            <w:tcW w:w="1322" w:type="pct"/>
            <w:shd w:val="clear" w:color="auto" w:fill="E7E6E6" w:themeFill="background2"/>
          </w:tcPr>
          <w:p>
            <w:pPr>
              <w:widowControl/>
              <w:jc w:val="right"/>
              <w:rPr>
                <w:rFonts w:ascii="宋体" w:hAnsi="宋体" w:eastAsia="宋体" w:cs="宋体"/>
                <w:kern w:val="0"/>
                <w:sz w:val="18"/>
                <w:szCs w:val="18"/>
              </w:rPr>
            </w:pPr>
          </w:p>
        </w:tc>
        <w:tc>
          <w:tcPr>
            <w:tcW w:w="1177" w:type="pct"/>
            <w:shd w:val="clear" w:color="auto" w:fill="E7E6E6" w:themeFill="background2"/>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3" w:type="pct"/>
            <w:shd w:val="pct10" w:color="auto" w:fill="FFFFFF"/>
            <w:vAlign w:val="center"/>
          </w:tcPr>
          <w:p>
            <w:pPr>
              <w:widowControl/>
              <w:jc w:val="left"/>
              <w:rPr>
                <w:rFonts w:asciiTheme="minorEastAsia" w:hAnsiTheme="minorEastAsia" w:eastAsiaTheme="minorEastAsia" w:cstheme="minorBidi"/>
                <w:b/>
                <w:sz w:val="18"/>
                <w:szCs w:val="21"/>
              </w:rPr>
            </w:pPr>
            <w:r>
              <w:rPr>
                <w:rFonts w:hint="eastAsia" w:asciiTheme="minorEastAsia" w:hAnsiTheme="minorEastAsia"/>
                <w:b/>
                <w:sz w:val="18"/>
                <w:szCs w:val="21"/>
                <w:shd w:val="clear" w:color="auto" w:fill="auto"/>
              </w:rPr>
              <w:t>负债和所有者权益</w:t>
            </w:r>
            <w:r>
              <w:rPr>
                <w:rFonts w:hint="eastAsia" w:asciiTheme="minorEastAsia" w:hAnsiTheme="minorEastAsia"/>
                <w:b/>
                <w:sz w:val="18"/>
                <w:szCs w:val="21"/>
              </w:rPr>
              <w:t>（或股东权益）</w:t>
            </w:r>
            <w:r>
              <w:rPr>
                <w:rFonts w:hint="eastAsia" w:asciiTheme="minorEastAsia" w:hAnsiTheme="minorEastAsia"/>
                <w:b/>
                <w:sz w:val="18"/>
                <w:szCs w:val="21"/>
                <w:shd w:val="clear" w:color="auto" w:fill="auto"/>
              </w:rPr>
              <w:t>总计</w:t>
            </w:r>
          </w:p>
        </w:tc>
        <w:tc>
          <w:tcPr>
            <w:tcW w:w="956" w:type="pct"/>
            <w:shd w:val="clear" w:color="auto" w:fill="E7E6E6" w:themeFill="background2"/>
          </w:tcPr>
          <w:p>
            <w:pPr>
              <w:widowControl/>
              <w:jc w:val="right"/>
              <w:rPr>
                <w:rFonts w:ascii="宋体" w:hAnsi="宋体" w:eastAsia="宋体" w:cs="宋体"/>
                <w:kern w:val="0"/>
                <w:sz w:val="18"/>
                <w:szCs w:val="18"/>
              </w:rPr>
            </w:pPr>
          </w:p>
        </w:tc>
        <w:tc>
          <w:tcPr>
            <w:tcW w:w="1322" w:type="pct"/>
            <w:shd w:val="clear" w:color="auto" w:fill="E7E6E6" w:themeFill="background2"/>
          </w:tcPr>
          <w:p>
            <w:pPr>
              <w:widowControl/>
              <w:jc w:val="right"/>
              <w:rPr>
                <w:rFonts w:ascii="宋体" w:hAnsi="宋体" w:eastAsia="宋体" w:cs="宋体"/>
                <w:kern w:val="0"/>
                <w:sz w:val="18"/>
                <w:szCs w:val="18"/>
              </w:rPr>
            </w:pPr>
          </w:p>
        </w:tc>
        <w:tc>
          <w:tcPr>
            <w:tcW w:w="1177" w:type="pct"/>
            <w:shd w:val="clear" w:color="auto" w:fill="E7E6E6" w:themeFill="background2"/>
          </w:tcPr>
          <w:p>
            <w:pPr>
              <w:widowControl/>
              <w:jc w:val="right"/>
              <w:rPr>
                <w:rFonts w:ascii="宋体" w:hAnsi="宋体" w:eastAsia="宋体" w:cs="宋体"/>
                <w:kern w:val="0"/>
                <w:sz w:val="18"/>
                <w:szCs w:val="18"/>
              </w:rPr>
            </w:pPr>
          </w:p>
        </w:tc>
      </w:tr>
    </w:tbl>
    <w:p>
      <w:pPr>
        <w:rPr>
          <w:rFonts w:ascii="Arial" w:hAnsi="Arial" w:eastAsia="黑体" w:cs="Times New Roman"/>
          <w:b/>
          <w:bCs/>
          <w:sz w:val="22"/>
          <w:lang w:val="zh-CN"/>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宋体" w:hAnsi="宋体" w:eastAsia="宋体" w:cs="Times New Roman"/>
          <w:b/>
          <w:color w:val="000000"/>
          <w:szCs w:val="44"/>
        </w:rPr>
      </w:pPr>
      <w:bookmarkStart w:id="72" w:name="_Toc6348"/>
      <w:bookmarkStart w:id="73" w:name="_Toc20412"/>
      <w:r>
        <w:rPr>
          <w:rFonts w:hint="eastAsia" w:ascii="Times New Roman" w:hAnsi="Times New Roman" w:eastAsia="宋体" w:cs="Times New Roman"/>
          <w:b/>
          <w:bCs/>
          <w:szCs w:val="32"/>
          <w:lang w:val="zh-CN"/>
        </w:rPr>
        <w:t>（二）母公司资产负债表</w:t>
      </w:r>
      <w:bookmarkEnd w:id="72"/>
      <w:bookmarkEnd w:id="73"/>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1"/>
        <w:gridCol w:w="1894"/>
        <w:gridCol w:w="2623"/>
        <w:gridCol w:w="23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30"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288"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2024年12月31日</w:t>
            </w:r>
          </w:p>
        </w:tc>
        <w:tc>
          <w:tcPr>
            <w:tcW w:w="1145"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b/>
                <w:sz w:val="18"/>
                <w:szCs w:val="18"/>
              </w:rPr>
            </w:pPr>
            <w:r>
              <w:rPr>
                <w:rFonts w:hint="eastAsia" w:asciiTheme="minorEastAsia" w:hAnsiTheme="minorEastAsia"/>
                <w:b/>
                <w:sz w:val="18"/>
                <w:szCs w:val="21"/>
              </w:rPr>
              <w:t>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货币资金</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拆出资金</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衍生金融资产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应收</w:t>
            </w:r>
            <w:r>
              <w:rPr>
                <w:rFonts w:asciiTheme="minorEastAsia" w:hAnsiTheme="minorEastAsia"/>
                <w:sz w:val="18"/>
                <w:szCs w:val="21"/>
              </w:rPr>
              <w:t>款项</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其中</w:t>
            </w:r>
            <w:r>
              <w:rPr>
                <w:rFonts w:asciiTheme="minorEastAsia" w:hAnsiTheme="minorEastAsia"/>
                <w:sz w:val="18"/>
                <w:szCs w:val="21"/>
              </w:rPr>
              <w:t>：应收利息</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合同</w:t>
            </w:r>
            <w:r>
              <w:rPr>
                <w:rFonts w:asciiTheme="minorEastAsia" w:hAnsiTheme="minorEastAsia"/>
                <w:sz w:val="18"/>
                <w:szCs w:val="21"/>
              </w:rPr>
              <w:t>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买</w:t>
            </w:r>
            <w:r>
              <w:rPr>
                <w:rFonts w:asciiTheme="minorEastAsia" w:hAnsiTheme="minorEastAsia"/>
                <w:sz w:val="18"/>
                <w:szCs w:val="21"/>
              </w:rPr>
              <w:t>入返售</w:t>
            </w:r>
            <w:r>
              <w:rPr>
                <w:rFonts w:hint="eastAsia" w:asciiTheme="minorEastAsia" w:hAnsiTheme="minorEastAsia"/>
                <w:sz w:val="18"/>
                <w:szCs w:val="21"/>
              </w:rPr>
              <w:t>金</w:t>
            </w:r>
            <w:r>
              <w:rPr>
                <w:rFonts w:asciiTheme="minorEastAsia" w:hAnsiTheme="minorEastAsia"/>
                <w:sz w:val="18"/>
                <w:szCs w:val="21"/>
              </w:rPr>
              <w:t>融资产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预付款项</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其他应收款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代理业务</w:t>
            </w:r>
            <w:r>
              <w:rPr>
                <w:rFonts w:asciiTheme="minorEastAsia" w:hAnsiTheme="minorEastAsia"/>
                <w:sz w:val="18"/>
                <w:szCs w:val="21"/>
              </w:rPr>
              <w:t>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持有待售资产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发放贷款及垫款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金融</w:t>
            </w:r>
            <w:r>
              <w:rPr>
                <w:rFonts w:asciiTheme="minorEastAsia" w:hAnsiTheme="minorEastAsia"/>
                <w:sz w:val="18"/>
                <w:szCs w:val="21"/>
              </w:rPr>
              <w:t>投资</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其中：交易</w:t>
            </w:r>
            <w:r>
              <w:rPr>
                <w:rFonts w:asciiTheme="minorEastAsia" w:hAnsiTheme="minorEastAsia"/>
                <w:sz w:val="18"/>
                <w:szCs w:val="21"/>
              </w:rPr>
              <w:t>性金融资产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540" w:firstLineChars="300"/>
              <w:rPr>
                <w:rFonts w:ascii="宋体" w:hAnsi="宋体" w:eastAsia="宋体" w:cs="宋体"/>
                <w:sz w:val="18"/>
                <w:szCs w:val="18"/>
              </w:rPr>
            </w:pPr>
            <w:r>
              <w:rPr>
                <w:rFonts w:hint="eastAsia" w:asciiTheme="minorEastAsia" w:hAnsiTheme="minorEastAsia"/>
                <w:sz w:val="18"/>
                <w:szCs w:val="21"/>
              </w:rPr>
              <w:t>债权</w:t>
            </w:r>
            <w:r>
              <w:rPr>
                <w:rFonts w:asciiTheme="minorEastAsia" w:hAnsiTheme="minorEastAsia"/>
                <w:sz w:val="18"/>
                <w:szCs w:val="21"/>
              </w:rPr>
              <w:t>投资</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540" w:firstLineChars="300"/>
              <w:rPr>
                <w:rFonts w:ascii="宋体" w:hAnsi="宋体" w:eastAsia="宋体" w:cs="宋体"/>
                <w:sz w:val="18"/>
                <w:szCs w:val="18"/>
              </w:rPr>
            </w:pPr>
            <w:r>
              <w:rPr>
                <w:rFonts w:hint="eastAsia" w:asciiTheme="minorEastAsia" w:hAnsiTheme="minorEastAsia"/>
                <w:sz w:val="18"/>
                <w:szCs w:val="21"/>
              </w:rPr>
              <w:t>其他</w:t>
            </w:r>
            <w:r>
              <w:rPr>
                <w:rFonts w:asciiTheme="minorEastAsia" w:hAnsiTheme="minorEastAsia"/>
                <w:sz w:val="18"/>
                <w:szCs w:val="21"/>
              </w:rPr>
              <w:t>债权投资</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540" w:firstLineChars="300"/>
              <w:rPr>
                <w:rFonts w:ascii="宋体" w:hAnsi="宋体" w:eastAsia="宋体" w:cs="宋体"/>
                <w:b/>
                <w:sz w:val="18"/>
                <w:szCs w:val="18"/>
              </w:rPr>
            </w:pPr>
            <w:r>
              <w:rPr>
                <w:rFonts w:hint="eastAsia" w:asciiTheme="minorEastAsia" w:hAnsiTheme="minorEastAsia"/>
                <w:sz w:val="18"/>
                <w:szCs w:val="21"/>
              </w:rPr>
              <w:t>其他</w:t>
            </w:r>
            <w:r>
              <w:rPr>
                <w:rFonts w:asciiTheme="minorEastAsia" w:hAnsiTheme="minorEastAsia"/>
                <w:sz w:val="18"/>
                <w:szCs w:val="21"/>
              </w:rPr>
              <w:t>权益工具投资</w:t>
            </w:r>
          </w:p>
        </w:tc>
        <w:tc>
          <w:tcPr>
            <w:tcW w:w="930" w:type="pct"/>
            <w:shd w:val="clear" w:color="auto" w:fill="FFFFFF" w:themeFill="background1"/>
          </w:tcPr>
          <w:p>
            <w:pPr>
              <w:jc w:val="right"/>
              <w:rPr>
                <w:rFonts w:ascii="宋体" w:hAnsi="宋体" w:eastAsia="宋体" w:cs="Times New Roman"/>
                <w:sz w:val="18"/>
                <w:szCs w:val="18"/>
              </w:rPr>
            </w:pPr>
          </w:p>
        </w:tc>
        <w:tc>
          <w:tcPr>
            <w:tcW w:w="1288" w:type="pct"/>
            <w:shd w:val="clear" w:color="auto" w:fill="FFFFFF" w:themeFill="background1"/>
          </w:tcPr>
          <w:p>
            <w:pPr>
              <w:jc w:val="right"/>
              <w:rPr>
                <w:rFonts w:ascii="宋体" w:hAnsi="宋体" w:eastAsia="宋体" w:cs="Times New Roman"/>
                <w:sz w:val="18"/>
                <w:szCs w:val="18"/>
              </w:rPr>
            </w:pPr>
          </w:p>
        </w:tc>
        <w:tc>
          <w:tcPr>
            <w:tcW w:w="1145" w:type="pct"/>
            <w:shd w:val="clear" w:color="auto" w:fill="FFFFFF" w:themeFill="background1"/>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tcPr>
          <w:p>
            <w:pPr>
              <w:ind w:firstLine="0" w:firstLineChars="0"/>
              <w:rPr>
                <w:rFonts w:ascii="宋体" w:hAnsi="宋体" w:eastAsia="宋体" w:cs="宋体"/>
                <w:b/>
                <w:sz w:val="18"/>
                <w:szCs w:val="18"/>
              </w:rPr>
            </w:pPr>
            <w:r>
              <w:rPr>
                <w:rFonts w:hint="eastAsia" w:asciiTheme="minorEastAsia" w:hAnsiTheme="minorEastAsia"/>
                <w:sz w:val="18"/>
                <w:szCs w:val="21"/>
              </w:rPr>
              <w:t>委托贷款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长期股权投资</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投资性房地产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固定资产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在建工程</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使用权</w:t>
            </w:r>
            <w:r>
              <w:rPr>
                <w:rFonts w:asciiTheme="minorEastAsia" w:hAnsiTheme="minorEastAsia"/>
                <w:sz w:val="18"/>
                <w:szCs w:val="21"/>
              </w:rPr>
              <w:t>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无形资产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30" w:type="pct"/>
            <w:shd w:val="clear" w:color="auto" w:fill="auto"/>
            <w:vAlign w:val="center"/>
          </w:tcPr>
          <w:p>
            <w:pPr>
              <w:jc w:val="right"/>
              <w:rPr>
                <w:rFonts w:ascii="宋体" w:hAnsi="宋体" w:eastAsia="宋体" w:cs="宋体"/>
                <w:color w:val="000000"/>
                <w:sz w:val="18"/>
                <w:szCs w:val="18"/>
              </w:rPr>
            </w:pPr>
          </w:p>
        </w:tc>
        <w:tc>
          <w:tcPr>
            <w:tcW w:w="1288"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开发</w:t>
            </w:r>
            <w:r>
              <w:rPr>
                <w:rFonts w:asciiTheme="minorEastAsia" w:hAnsiTheme="minorEastAsia"/>
                <w:sz w:val="18"/>
                <w:szCs w:val="21"/>
              </w:rPr>
              <w:t>支出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30" w:type="pct"/>
            <w:shd w:val="clear" w:color="auto" w:fill="auto"/>
            <w:vAlign w:val="center"/>
          </w:tcPr>
          <w:p>
            <w:pPr>
              <w:jc w:val="right"/>
              <w:rPr>
                <w:rFonts w:ascii="宋体" w:hAnsi="宋体" w:eastAsia="宋体" w:cs="宋体"/>
                <w:color w:val="000000"/>
                <w:sz w:val="18"/>
                <w:szCs w:val="18"/>
              </w:rPr>
            </w:pPr>
          </w:p>
        </w:tc>
        <w:tc>
          <w:tcPr>
            <w:tcW w:w="1288" w:type="pct"/>
            <w:shd w:val="clear" w:color="auto" w:fill="auto"/>
          </w:tcPr>
          <w:p>
            <w:pPr>
              <w:widowControl/>
              <w:jc w:val="right"/>
              <w:rPr>
                <w:rFonts w:ascii="宋体" w:hAnsi="宋体" w:eastAsia="宋体" w:cs="宋体"/>
                <w:kern w:val="0"/>
                <w:sz w:val="18"/>
                <w:szCs w:val="18"/>
              </w:rPr>
            </w:pPr>
          </w:p>
        </w:tc>
        <w:tc>
          <w:tcPr>
            <w:tcW w:w="1145"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抵债资产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商誉</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ind w:right="90"/>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长期待摊费用</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递延所得税资产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其他资产</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1174" w:firstLineChars="650"/>
              <w:rPr>
                <w:rFonts w:ascii="宋体" w:hAnsi="宋体" w:eastAsia="宋体" w:cs="宋体"/>
                <w:sz w:val="18"/>
                <w:szCs w:val="18"/>
              </w:rPr>
            </w:pPr>
            <w:r>
              <w:rPr>
                <w:rFonts w:hint="eastAsia" w:asciiTheme="minorEastAsia" w:hAnsiTheme="minorEastAsia"/>
                <w:b/>
                <w:sz w:val="18"/>
                <w:szCs w:val="21"/>
              </w:rPr>
              <w:t>资产总计</w:t>
            </w:r>
          </w:p>
        </w:tc>
        <w:tc>
          <w:tcPr>
            <w:tcW w:w="930" w:type="pct"/>
            <w:shd w:val="clear" w:color="auto" w:fill="E7E6E6" w:themeFill="background2"/>
          </w:tcPr>
          <w:p>
            <w:pPr>
              <w:jc w:val="right"/>
              <w:rPr>
                <w:rFonts w:ascii="宋体" w:hAnsi="宋体" w:eastAsia="宋体" w:cs="Times New Roman"/>
                <w:sz w:val="18"/>
                <w:szCs w:val="18"/>
              </w:rPr>
            </w:pPr>
          </w:p>
        </w:tc>
        <w:tc>
          <w:tcPr>
            <w:tcW w:w="1288" w:type="pct"/>
            <w:shd w:val="clear" w:color="auto" w:fill="E7E6E6" w:themeFill="background2"/>
          </w:tcPr>
          <w:p>
            <w:pPr>
              <w:jc w:val="right"/>
              <w:rPr>
                <w:rFonts w:ascii="宋体" w:hAnsi="宋体" w:eastAsia="宋体" w:cs="Times New Roman"/>
                <w:sz w:val="18"/>
                <w:szCs w:val="18"/>
              </w:rPr>
            </w:pPr>
          </w:p>
        </w:tc>
        <w:tc>
          <w:tcPr>
            <w:tcW w:w="1145" w:type="pct"/>
            <w:shd w:val="clear" w:color="auto" w:fill="E7E6E6" w:themeFill="background2"/>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b/>
                <w:sz w:val="18"/>
                <w:szCs w:val="21"/>
              </w:rPr>
              <w:t>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短期借款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拆入资金</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交易性</w:t>
            </w:r>
            <w:r>
              <w:rPr>
                <w:rFonts w:asciiTheme="minorEastAsia" w:hAnsiTheme="minorEastAsia"/>
                <w:sz w:val="18"/>
                <w:szCs w:val="21"/>
              </w:rPr>
              <w:t>金融负债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衍生金融负债</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应付款项</w:t>
            </w:r>
          </w:p>
        </w:tc>
        <w:tc>
          <w:tcPr>
            <w:tcW w:w="930" w:type="pct"/>
            <w:shd w:val="clear" w:color="auto" w:fill="FFFFFF"/>
          </w:tcPr>
          <w:p>
            <w:pPr>
              <w:jc w:val="right"/>
              <w:rPr>
                <w:rFonts w:ascii="宋体" w:hAnsi="宋体" w:eastAsia="宋体" w:cs="Times New Roman"/>
                <w:sz w:val="18"/>
                <w:szCs w:val="18"/>
              </w:rPr>
            </w:pPr>
          </w:p>
        </w:tc>
        <w:tc>
          <w:tcPr>
            <w:tcW w:w="1288" w:type="pct"/>
            <w:shd w:val="clear" w:color="auto" w:fill="FFFFFF"/>
          </w:tcPr>
          <w:p>
            <w:pPr>
              <w:jc w:val="right"/>
              <w:rPr>
                <w:rFonts w:ascii="宋体" w:hAnsi="宋体" w:eastAsia="宋体" w:cs="Times New Roman"/>
                <w:sz w:val="18"/>
                <w:szCs w:val="18"/>
              </w:rPr>
            </w:pPr>
          </w:p>
        </w:tc>
        <w:tc>
          <w:tcPr>
            <w:tcW w:w="1145" w:type="pct"/>
            <w:shd w:val="clear"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预收款项</w:t>
            </w:r>
          </w:p>
        </w:tc>
        <w:tc>
          <w:tcPr>
            <w:tcW w:w="930" w:type="pct"/>
            <w:shd w:val="clear" w:color="auto" w:fill="FFFFFF"/>
          </w:tcPr>
          <w:p>
            <w:pPr>
              <w:jc w:val="right"/>
              <w:rPr>
                <w:rFonts w:ascii="宋体" w:hAnsi="宋体" w:eastAsia="宋体" w:cs="Times New Roman"/>
                <w:sz w:val="18"/>
                <w:szCs w:val="18"/>
              </w:rPr>
            </w:pPr>
          </w:p>
        </w:tc>
        <w:tc>
          <w:tcPr>
            <w:tcW w:w="1288" w:type="pct"/>
            <w:shd w:val="clear" w:color="auto" w:fill="FFFFFF"/>
          </w:tcPr>
          <w:p>
            <w:pPr>
              <w:jc w:val="right"/>
              <w:rPr>
                <w:rFonts w:ascii="宋体" w:hAnsi="宋体" w:eastAsia="宋体" w:cs="Times New Roman"/>
                <w:sz w:val="18"/>
                <w:szCs w:val="18"/>
              </w:rPr>
            </w:pPr>
          </w:p>
        </w:tc>
        <w:tc>
          <w:tcPr>
            <w:tcW w:w="1145" w:type="pct"/>
            <w:shd w:val="clear"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Theme="minorEastAsia" w:hAnsiTheme="minorEastAsia"/>
                <w:sz w:val="18"/>
                <w:szCs w:val="21"/>
              </w:rPr>
              <w:t>卖出回购金融资产款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应付职工薪酬</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应交税费</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合同</w:t>
            </w:r>
            <w:r>
              <w:rPr>
                <w:rFonts w:asciiTheme="minorEastAsia" w:hAnsiTheme="minorEastAsia"/>
                <w:sz w:val="18"/>
                <w:szCs w:val="21"/>
              </w:rPr>
              <w:t>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03"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其他应付款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03"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未到期责任准备金</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担保赔偿准备金</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代理业务负债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持有待售负债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长期借款</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应付债券</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ind w:firstLine="0" w:firstLineChars="0"/>
              <w:rPr>
                <w:rFonts w:ascii="Calibri" w:hAnsi="Calibri" w:eastAsia="宋体" w:cs="Times New Roman"/>
                <w:sz w:val="18"/>
                <w:szCs w:val="18"/>
              </w:rPr>
            </w:pPr>
            <w:r>
              <w:rPr>
                <w:rFonts w:hint="eastAsia" w:asciiTheme="minorEastAsia" w:hAnsiTheme="minorEastAsia"/>
                <w:sz w:val="18"/>
                <w:szCs w:val="21"/>
              </w:rPr>
              <w:t>其中：优先股</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 w:hRule="atLeast"/>
        </w:trPr>
        <w:tc>
          <w:tcPr>
            <w:tcW w:w="1503" w:type="pct"/>
            <w:shd w:val="pct10" w:color="auto" w:fill="FFFFFF"/>
            <w:vAlign w:val="center"/>
          </w:tcPr>
          <w:p>
            <w:pPr>
              <w:ind w:firstLine="180" w:firstLineChars="100"/>
              <w:rPr>
                <w:rFonts w:ascii="Calibri" w:hAnsi="Calibri" w:eastAsia="宋体" w:cs="Times New Roman"/>
                <w:sz w:val="18"/>
                <w:szCs w:val="18"/>
              </w:rPr>
            </w:pPr>
            <w:r>
              <w:rPr>
                <w:rFonts w:hint="eastAsia" w:asciiTheme="minorEastAsia" w:hAnsiTheme="minorEastAsia"/>
                <w:sz w:val="18"/>
                <w:szCs w:val="21"/>
              </w:rPr>
              <w:t xml:space="preserve">    永续债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租赁负债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长期应付职工薪酬</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担保</w:t>
            </w:r>
            <w:r>
              <w:rPr>
                <w:rFonts w:asciiTheme="minorEastAsia" w:hAnsiTheme="minorEastAsia"/>
                <w:sz w:val="18"/>
                <w:szCs w:val="21"/>
              </w:rPr>
              <w:t>业务准备金</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预计负债</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Theme="minorEastAsia" w:hAnsiTheme="minorEastAsia"/>
                <w:sz w:val="18"/>
                <w:szCs w:val="21"/>
              </w:rPr>
              <w:t>递延收益</w:t>
            </w:r>
          </w:p>
        </w:tc>
        <w:tc>
          <w:tcPr>
            <w:tcW w:w="930" w:type="pct"/>
            <w:shd w:val="clear" w:color="auto" w:fill="FFFFFF"/>
          </w:tcPr>
          <w:p>
            <w:pPr>
              <w:jc w:val="right"/>
              <w:rPr>
                <w:rFonts w:ascii="宋体" w:hAnsi="宋体" w:eastAsia="宋体" w:cs="Times New Roman"/>
                <w:b/>
                <w:sz w:val="18"/>
                <w:szCs w:val="18"/>
              </w:rPr>
            </w:pPr>
          </w:p>
        </w:tc>
        <w:tc>
          <w:tcPr>
            <w:tcW w:w="1288" w:type="pct"/>
            <w:shd w:val="clear" w:color="auto" w:fill="FFFFFF"/>
          </w:tcPr>
          <w:p>
            <w:pPr>
              <w:jc w:val="right"/>
              <w:rPr>
                <w:rFonts w:ascii="宋体" w:hAnsi="宋体" w:eastAsia="宋体" w:cs="Times New Roman"/>
                <w:b/>
                <w:sz w:val="18"/>
                <w:szCs w:val="18"/>
              </w:rPr>
            </w:pPr>
          </w:p>
        </w:tc>
        <w:tc>
          <w:tcPr>
            <w:tcW w:w="1145" w:type="pct"/>
            <w:shd w:val="clear" w:color="auto" w:fill="FFFFFF"/>
          </w:tcPr>
          <w:p>
            <w:pPr>
              <w:jc w:val="right"/>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Theme="minorEastAsia" w:hAnsiTheme="minorEastAsia"/>
                <w:sz w:val="18"/>
                <w:szCs w:val="21"/>
              </w:rPr>
              <w:t>递延所得税负债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其他负债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1084" w:firstLineChars="600"/>
              <w:rPr>
                <w:rFonts w:ascii="宋体" w:hAnsi="宋体" w:eastAsia="宋体" w:cs="Times New Roman"/>
                <w:sz w:val="18"/>
                <w:szCs w:val="18"/>
              </w:rPr>
            </w:pPr>
            <w:r>
              <w:rPr>
                <w:rFonts w:hint="eastAsia" w:asciiTheme="minorEastAsia" w:hAnsiTheme="minorEastAsia"/>
                <w:b/>
                <w:sz w:val="18"/>
                <w:szCs w:val="21"/>
              </w:rPr>
              <w:t>负债合计</w:t>
            </w:r>
          </w:p>
        </w:tc>
        <w:tc>
          <w:tcPr>
            <w:tcW w:w="930" w:type="pct"/>
            <w:shd w:val="clear" w:color="auto" w:fill="E7E6E6" w:themeFill="background2"/>
          </w:tcPr>
          <w:p>
            <w:pPr>
              <w:jc w:val="right"/>
              <w:rPr>
                <w:rFonts w:ascii="宋体" w:hAnsi="宋体" w:eastAsia="宋体" w:cs="Times New Roman"/>
                <w:sz w:val="18"/>
                <w:szCs w:val="18"/>
              </w:rPr>
            </w:pPr>
          </w:p>
        </w:tc>
        <w:tc>
          <w:tcPr>
            <w:tcW w:w="1288" w:type="pct"/>
            <w:shd w:val="clear" w:color="auto" w:fill="E7E6E6" w:themeFill="background2"/>
          </w:tcPr>
          <w:p>
            <w:pPr>
              <w:jc w:val="right"/>
              <w:rPr>
                <w:rFonts w:ascii="宋体" w:hAnsi="宋体" w:eastAsia="宋体" w:cs="Times New Roman"/>
                <w:sz w:val="18"/>
                <w:szCs w:val="18"/>
              </w:rPr>
            </w:pPr>
          </w:p>
        </w:tc>
        <w:tc>
          <w:tcPr>
            <w:tcW w:w="1145" w:type="pct"/>
            <w:shd w:val="clear" w:color="auto" w:fill="E7E6E6" w:themeFill="background2"/>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所有者权益（或股东权益）：</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股本</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其他权益工具</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其中：优先股</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ind w:firstLine="540" w:firstLineChars="300"/>
              <w:rPr>
                <w:rFonts w:ascii="宋体" w:hAnsi="宋体" w:eastAsia="宋体" w:cs="Times New Roman"/>
                <w:sz w:val="18"/>
                <w:szCs w:val="18"/>
              </w:rPr>
            </w:pPr>
            <w:r>
              <w:rPr>
                <w:rFonts w:hint="eastAsia" w:asciiTheme="minorEastAsia" w:hAnsiTheme="minorEastAsia"/>
                <w:sz w:val="18"/>
                <w:szCs w:val="21"/>
              </w:rPr>
              <w:t>永续债</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资本公积</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减：库存股</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其他综合收益</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专项储备</w:t>
            </w:r>
          </w:p>
        </w:tc>
        <w:tc>
          <w:tcPr>
            <w:tcW w:w="930" w:type="pct"/>
            <w:tcBorders>
              <w:bottom w:val="single" w:color="5B9BD5" w:sz="4" w:space="0"/>
            </w:tcBorders>
            <w:shd w:val="clear" w:color="auto" w:fill="auto"/>
          </w:tcPr>
          <w:p>
            <w:pPr>
              <w:jc w:val="right"/>
              <w:rPr>
                <w:rFonts w:ascii="宋体" w:hAnsi="宋体" w:eastAsia="宋体" w:cs="Times New Roman"/>
                <w:sz w:val="18"/>
                <w:szCs w:val="18"/>
              </w:rPr>
            </w:pPr>
          </w:p>
        </w:tc>
        <w:tc>
          <w:tcPr>
            <w:tcW w:w="1288" w:type="pct"/>
            <w:tcBorders>
              <w:bottom w:val="single" w:color="5B9BD5" w:sz="4" w:space="0"/>
            </w:tcBorders>
            <w:shd w:val="clear" w:color="auto" w:fill="auto"/>
          </w:tcPr>
          <w:p>
            <w:pPr>
              <w:jc w:val="right"/>
              <w:rPr>
                <w:rFonts w:ascii="宋体" w:hAnsi="宋体" w:eastAsia="宋体" w:cs="Times New Roman"/>
                <w:sz w:val="18"/>
                <w:szCs w:val="18"/>
              </w:rPr>
            </w:pPr>
          </w:p>
        </w:tc>
        <w:tc>
          <w:tcPr>
            <w:tcW w:w="1145"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Theme="minorEastAsia" w:hAnsiTheme="minorEastAsia"/>
                <w:sz w:val="18"/>
                <w:szCs w:val="21"/>
              </w:rPr>
              <w:t>盈余公积</w:t>
            </w:r>
          </w:p>
        </w:tc>
        <w:tc>
          <w:tcPr>
            <w:tcW w:w="930" w:type="pct"/>
            <w:shd w:val="clear" w:color="auto" w:fill="FFFFFF"/>
          </w:tcPr>
          <w:p>
            <w:pPr>
              <w:jc w:val="right"/>
              <w:rPr>
                <w:rFonts w:ascii="宋体" w:hAnsi="宋体" w:eastAsia="宋体" w:cs="Times New Roman"/>
                <w:sz w:val="18"/>
                <w:szCs w:val="18"/>
              </w:rPr>
            </w:pPr>
          </w:p>
        </w:tc>
        <w:tc>
          <w:tcPr>
            <w:tcW w:w="1288" w:type="pct"/>
            <w:shd w:val="clear" w:color="auto" w:fill="FFFFFF"/>
          </w:tcPr>
          <w:p>
            <w:pPr>
              <w:jc w:val="right"/>
              <w:rPr>
                <w:rFonts w:ascii="宋体" w:hAnsi="宋体" w:eastAsia="宋体" w:cs="Times New Roman"/>
                <w:sz w:val="18"/>
                <w:szCs w:val="18"/>
              </w:rPr>
            </w:pPr>
          </w:p>
        </w:tc>
        <w:tc>
          <w:tcPr>
            <w:tcW w:w="1145" w:type="pct"/>
            <w:shd w:val="clear"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Theme="minorEastAsia" w:hAnsiTheme="minorEastAsia"/>
                <w:sz w:val="18"/>
                <w:szCs w:val="21"/>
              </w:rPr>
              <w:t>一般风险准备</w:t>
            </w:r>
          </w:p>
        </w:tc>
        <w:tc>
          <w:tcPr>
            <w:tcW w:w="930" w:type="pct"/>
            <w:shd w:val="clear" w:color="auto" w:fill="FFFFFF"/>
          </w:tcPr>
          <w:p>
            <w:pPr>
              <w:jc w:val="right"/>
              <w:rPr>
                <w:rFonts w:ascii="宋体" w:hAnsi="宋体" w:eastAsia="宋体" w:cs="Times New Roman"/>
                <w:sz w:val="18"/>
                <w:szCs w:val="18"/>
              </w:rPr>
            </w:pPr>
          </w:p>
        </w:tc>
        <w:tc>
          <w:tcPr>
            <w:tcW w:w="1288" w:type="pct"/>
            <w:shd w:val="clear" w:color="auto" w:fill="FFFFFF"/>
          </w:tcPr>
          <w:p>
            <w:pPr>
              <w:jc w:val="right"/>
              <w:rPr>
                <w:rFonts w:ascii="宋体" w:hAnsi="宋体" w:eastAsia="宋体" w:cs="Times New Roman"/>
                <w:sz w:val="18"/>
                <w:szCs w:val="18"/>
              </w:rPr>
            </w:pPr>
          </w:p>
        </w:tc>
        <w:tc>
          <w:tcPr>
            <w:tcW w:w="1145" w:type="pct"/>
            <w:shd w:val="clear"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宋体" w:hAnsi="宋体" w:eastAsia="宋体" w:cs="Times New Roman"/>
                <w:b/>
                <w:sz w:val="18"/>
                <w:szCs w:val="18"/>
              </w:rPr>
            </w:pPr>
            <w:r>
              <w:rPr>
                <w:rFonts w:hint="eastAsia" w:asciiTheme="minorEastAsia" w:hAnsiTheme="minorEastAsia"/>
                <w:sz w:val="18"/>
                <w:szCs w:val="21"/>
              </w:rPr>
              <w:t>未分配利润</w:t>
            </w:r>
          </w:p>
        </w:tc>
        <w:tc>
          <w:tcPr>
            <w:tcW w:w="930" w:type="pct"/>
            <w:shd w:val="clear" w:color="auto" w:fill="auto"/>
          </w:tcPr>
          <w:p>
            <w:pPr>
              <w:jc w:val="right"/>
              <w:rPr>
                <w:rFonts w:ascii="宋体" w:hAnsi="宋体" w:eastAsia="宋体" w:cs="Times New Roman"/>
                <w:sz w:val="18"/>
                <w:szCs w:val="18"/>
              </w:rPr>
            </w:pPr>
          </w:p>
        </w:tc>
        <w:tc>
          <w:tcPr>
            <w:tcW w:w="1288" w:type="pct"/>
            <w:shd w:val="clear" w:color="auto" w:fill="auto"/>
          </w:tcPr>
          <w:p>
            <w:pPr>
              <w:jc w:val="right"/>
              <w:rPr>
                <w:rFonts w:ascii="宋体" w:hAnsi="宋体" w:eastAsia="宋体" w:cs="Times New Roman"/>
                <w:sz w:val="18"/>
                <w:szCs w:val="18"/>
              </w:rPr>
            </w:pPr>
          </w:p>
        </w:tc>
        <w:tc>
          <w:tcPr>
            <w:tcW w:w="1145"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Theme="minorEastAsia" w:hAnsiTheme="minorEastAsia" w:eastAsiaTheme="minorEastAsia" w:cstheme="minorBidi"/>
                <w:b/>
                <w:sz w:val="18"/>
                <w:szCs w:val="21"/>
              </w:rPr>
            </w:pPr>
            <w:r>
              <w:rPr>
                <w:rFonts w:hint="eastAsia" w:asciiTheme="minorEastAsia" w:hAnsiTheme="minorEastAsia"/>
                <w:b/>
                <w:sz w:val="18"/>
                <w:szCs w:val="21"/>
                <w:shd w:val="clear" w:color="auto" w:fill="auto"/>
              </w:rPr>
              <w:t>所有者权益</w:t>
            </w:r>
            <w:r>
              <w:rPr>
                <w:rFonts w:hint="eastAsia" w:asciiTheme="minorEastAsia" w:hAnsiTheme="minorEastAsia"/>
                <w:b/>
                <w:sz w:val="18"/>
                <w:szCs w:val="21"/>
              </w:rPr>
              <w:t>（或股东权益）</w:t>
            </w:r>
            <w:r>
              <w:rPr>
                <w:rFonts w:hint="eastAsia" w:asciiTheme="minorEastAsia" w:hAnsiTheme="minorEastAsia"/>
                <w:b/>
                <w:sz w:val="18"/>
                <w:szCs w:val="21"/>
                <w:shd w:val="clear" w:color="auto" w:fill="auto"/>
              </w:rPr>
              <w:t>合计</w:t>
            </w:r>
          </w:p>
        </w:tc>
        <w:tc>
          <w:tcPr>
            <w:tcW w:w="930" w:type="pct"/>
            <w:shd w:val="clear" w:color="auto" w:fill="E7E6E6" w:themeFill="background2"/>
          </w:tcPr>
          <w:p>
            <w:pPr>
              <w:jc w:val="right"/>
              <w:rPr>
                <w:rFonts w:ascii="宋体" w:hAnsi="宋体" w:eastAsia="宋体" w:cs="Times New Roman"/>
                <w:sz w:val="18"/>
                <w:szCs w:val="18"/>
              </w:rPr>
            </w:pPr>
          </w:p>
        </w:tc>
        <w:tc>
          <w:tcPr>
            <w:tcW w:w="1288" w:type="pct"/>
            <w:shd w:val="clear" w:color="auto" w:fill="E7E6E6" w:themeFill="background2"/>
          </w:tcPr>
          <w:p>
            <w:pPr>
              <w:jc w:val="right"/>
              <w:rPr>
                <w:rFonts w:ascii="宋体" w:hAnsi="宋体" w:eastAsia="宋体" w:cs="Times New Roman"/>
                <w:sz w:val="18"/>
                <w:szCs w:val="18"/>
              </w:rPr>
            </w:pPr>
          </w:p>
        </w:tc>
        <w:tc>
          <w:tcPr>
            <w:tcW w:w="1145" w:type="pct"/>
            <w:shd w:val="clear" w:color="auto" w:fill="E7E6E6" w:themeFill="background2"/>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03" w:type="pct"/>
            <w:shd w:val="pct10" w:color="auto" w:fill="FFFFFF"/>
            <w:vAlign w:val="center"/>
          </w:tcPr>
          <w:p>
            <w:pPr>
              <w:rPr>
                <w:rFonts w:asciiTheme="minorEastAsia" w:hAnsiTheme="minorEastAsia" w:eastAsiaTheme="minorEastAsia" w:cstheme="minorBidi"/>
                <w:b/>
                <w:sz w:val="18"/>
                <w:szCs w:val="21"/>
              </w:rPr>
            </w:pPr>
            <w:r>
              <w:rPr>
                <w:rFonts w:hint="eastAsia" w:asciiTheme="minorEastAsia" w:hAnsiTheme="minorEastAsia"/>
                <w:b/>
                <w:sz w:val="18"/>
                <w:szCs w:val="21"/>
                <w:shd w:val="clear" w:color="auto" w:fill="auto"/>
              </w:rPr>
              <w:t>负债和所有者权益</w:t>
            </w:r>
            <w:r>
              <w:rPr>
                <w:rFonts w:hint="eastAsia" w:asciiTheme="minorEastAsia" w:hAnsiTheme="minorEastAsia"/>
                <w:b/>
                <w:sz w:val="18"/>
                <w:szCs w:val="21"/>
              </w:rPr>
              <w:t>（或股东权益）</w:t>
            </w:r>
            <w:r>
              <w:rPr>
                <w:rFonts w:hint="eastAsia" w:asciiTheme="minorEastAsia" w:hAnsiTheme="minorEastAsia"/>
                <w:b/>
                <w:sz w:val="18"/>
                <w:szCs w:val="21"/>
                <w:shd w:val="clear" w:color="auto" w:fill="auto"/>
              </w:rPr>
              <w:t>总计</w:t>
            </w:r>
          </w:p>
        </w:tc>
        <w:tc>
          <w:tcPr>
            <w:tcW w:w="930" w:type="pct"/>
            <w:shd w:val="clear" w:color="auto" w:fill="E7E6E6" w:themeFill="background2"/>
          </w:tcPr>
          <w:p>
            <w:pPr>
              <w:jc w:val="right"/>
              <w:rPr>
                <w:rFonts w:ascii="宋体" w:hAnsi="宋体" w:eastAsia="宋体" w:cs="Times New Roman"/>
                <w:sz w:val="18"/>
                <w:szCs w:val="18"/>
              </w:rPr>
            </w:pPr>
          </w:p>
        </w:tc>
        <w:tc>
          <w:tcPr>
            <w:tcW w:w="1288" w:type="pct"/>
            <w:shd w:val="clear" w:color="auto" w:fill="E7E6E6" w:themeFill="background2"/>
          </w:tcPr>
          <w:p>
            <w:pPr>
              <w:jc w:val="right"/>
              <w:rPr>
                <w:rFonts w:ascii="宋体" w:hAnsi="宋体" w:eastAsia="宋体" w:cs="Times New Roman"/>
                <w:sz w:val="18"/>
                <w:szCs w:val="18"/>
              </w:rPr>
            </w:pPr>
          </w:p>
        </w:tc>
        <w:tc>
          <w:tcPr>
            <w:tcW w:w="1145" w:type="pct"/>
            <w:shd w:val="clear" w:color="auto" w:fill="E7E6E6" w:themeFill="background2"/>
          </w:tcPr>
          <w:p>
            <w:pPr>
              <w:jc w:val="right"/>
              <w:rPr>
                <w:rFonts w:ascii="宋体" w:hAnsi="宋体" w:eastAsia="宋体" w:cs="Times New Roman"/>
                <w:sz w:val="18"/>
                <w:szCs w:val="18"/>
              </w:rPr>
            </w:pPr>
          </w:p>
        </w:tc>
      </w:tr>
    </w:tbl>
    <w:p>
      <w:pPr>
        <w:keepNext/>
        <w:keepLines/>
        <w:spacing w:before="100" w:after="100"/>
        <w:outlineLvl w:val="2"/>
        <w:rPr>
          <w:rFonts w:ascii="Times New Roman" w:hAnsi="Times New Roman" w:eastAsia="宋体" w:cs="Times New Roman"/>
          <w:b/>
          <w:bCs/>
          <w:szCs w:val="32"/>
          <w:lang w:val="zh-CN"/>
        </w:rPr>
      </w:pPr>
      <w:bookmarkStart w:id="74" w:name="_Toc29470"/>
      <w:bookmarkStart w:id="75" w:name="_Toc16179"/>
      <w:r>
        <w:rPr>
          <w:rFonts w:hint="eastAsia" w:ascii="Times New Roman" w:hAnsi="Times New Roman" w:eastAsia="宋体" w:cs="Times New Roman"/>
          <w:b/>
          <w:bCs/>
          <w:szCs w:val="32"/>
          <w:lang w:val="zh-CN"/>
        </w:rPr>
        <w:t>（三）合并利润表</w:t>
      </w:r>
      <w:bookmarkEnd w:id="74"/>
      <w:bookmarkEnd w:id="75"/>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60"/>
        <w:gridCol w:w="1279"/>
        <w:gridCol w:w="2042"/>
        <w:gridCol w:w="23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64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030"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176"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Theme="minorEastAsia" w:hAnsiTheme="minorEastAsia"/>
                <w:b/>
                <w:sz w:val="18"/>
                <w:szCs w:val="21"/>
              </w:rPr>
              <w:t>一、营业收入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利息净收入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其中：利息</w:t>
            </w:r>
            <w:r>
              <w:rPr>
                <w:rFonts w:asciiTheme="minorEastAsia" w:hAnsiTheme="minorEastAsia"/>
                <w:sz w:val="18"/>
                <w:szCs w:val="21"/>
              </w:rPr>
              <w:t>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Theme="minorEastAsia" w:hAnsiTheme="minorEastAsia"/>
                <w:sz w:val="18"/>
                <w:szCs w:val="21"/>
              </w:rPr>
              <w:t>利息</w:t>
            </w:r>
            <w:r>
              <w:rPr>
                <w:rFonts w:asciiTheme="minorEastAsia" w:hAnsiTheme="minorEastAsia"/>
                <w:sz w:val="18"/>
                <w:szCs w:val="21"/>
              </w:rPr>
              <w:t>支出</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手续费及佣金净收入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其中</w:t>
            </w:r>
            <w:r>
              <w:rPr>
                <w:rFonts w:asciiTheme="minorEastAsia" w:hAnsiTheme="minorEastAsia"/>
                <w:sz w:val="18"/>
                <w:szCs w:val="21"/>
              </w:rPr>
              <w:t>：</w:t>
            </w:r>
            <w:r>
              <w:rPr>
                <w:rFonts w:hint="eastAsia" w:asciiTheme="minorEastAsia" w:hAnsiTheme="minorEastAsia"/>
                <w:sz w:val="18"/>
                <w:szCs w:val="21"/>
              </w:rPr>
              <w:t>手续费及佣金收入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 xml:space="preserve">      手续费及佣金支出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担保费</w:t>
            </w:r>
            <w:r>
              <w:rPr>
                <w:rFonts w:asciiTheme="minorEastAsia" w:hAnsiTheme="minorEastAsia"/>
                <w:sz w:val="18"/>
                <w:szCs w:val="21"/>
              </w:rPr>
              <w:t>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代理</w:t>
            </w:r>
            <w:r>
              <w:rPr>
                <w:rFonts w:asciiTheme="minorEastAsia" w:hAnsiTheme="minorEastAsia"/>
                <w:sz w:val="18"/>
                <w:szCs w:val="21"/>
              </w:rPr>
              <w:t>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其他业务收入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二、营业成本</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税金及附加</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业务</w:t>
            </w:r>
            <w:r>
              <w:rPr>
                <w:rFonts w:asciiTheme="minorEastAsia" w:hAnsiTheme="minorEastAsia"/>
                <w:sz w:val="18"/>
                <w:szCs w:val="21"/>
              </w:rPr>
              <w:t>及管理费</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信用</w:t>
            </w:r>
            <w:r>
              <w:rPr>
                <w:rFonts w:asciiTheme="minorEastAsia" w:hAnsiTheme="minorEastAsia"/>
                <w:sz w:val="18"/>
                <w:szCs w:val="21"/>
              </w:rPr>
              <w:t>减值损失</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其他</w:t>
            </w:r>
            <w:r>
              <w:rPr>
                <w:rFonts w:asciiTheme="minorEastAsia" w:hAnsiTheme="minorEastAsia"/>
                <w:sz w:val="18"/>
                <w:szCs w:val="21"/>
              </w:rPr>
              <w:t>资产减值损失</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其他</w:t>
            </w:r>
            <w:r>
              <w:rPr>
                <w:rFonts w:asciiTheme="minorEastAsia" w:hAnsiTheme="minorEastAsia"/>
                <w:sz w:val="18"/>
                <w:szCs w:val="21"/>
              </w:rPr>
              <w:t>业务成本</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投资收益（损失以“－”号填列）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其中：对联营企业和合营企业的投资收益（损失以“－”号填列）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Theme="minorEastAsia" w:hAnsiTheme="minorEastAsia"/>
                <w:sz w:val="18"/>
                <w:szCs w:val="21"/>
              </w:rPr>
              <w:t>以</w:t>
            </w:r>
            <w:r>
              <w:rPr>
                <w:rFonts w:asciiTheme="minorEastAsia" w:hAnsiTheme="minorEastAsia"/>
                <w:color w:val="000000" w:themeColor="text1"/>
                <w:sz w:val="18"/>
                <w:szCs w:val="21"/>
                <w14:textFill>
                  <w14:solidFill>
                    <w14:schemeClr w14:val="tx1"/>
                  </w14:solidFill>
                </w14:textFill>
              </w:rPr>
              <w:t>摊余成本计量的金融资产终止确认产生的收益（</w:t>
            </w:r>
            <w:r>
              <w:rPr>
                <w:rFonts w:hint="eastAsia" w:asciiTheme="minorEastAsia" w:hAnsiTheme="minorEastAsia"/>
                <w:color w:val="000000" w:themeColor="text1"/>
                <w:sz w:val="18"/>
                <w:szCs w:val="21"/>
                <w14:textFill>
                  <w14:solidFill>
                    <w14:schemeClr w14:val="tx1"/>
                  </w14:solidFill>
                </w14:textFill>
              </w:rPr>
              <w:t>损失</w:t>
            </w:r>
            <w:r>
              <w:rPr>
                <w:rFonts w:asciiTheme="minorEastAsia" w:hAnsiTheme="minorEastAsia"/>
                <w:color w:val="000000" w:themeColor="text1"/>
                <w:sz w:val="18"/>
                <w:szCs w:val="21"/>
                <w14:textFill>
                  <w14:solidFill>
                    <w14:schemeClr w14:val="tx1"/>
                  </w14:solidFill>
                </w14:textFill>
              </w:rPr>
              <w:t>以“-”</w:t>
            </w:r>
            <w:r>
              <w:rPr>
                <w:rFonts w:hint="eastAsia" w:asciiTheme="minorEastAsia" w:hAnsiTheme="minorEastAsia"/>
                <w:color w:val="000000" w:themeColor="text1"/>
                <w:sz w:val="18"/>
                <w:szCs w:val="21"/>
                <w14:textFill>
                  <w14:solidFill>
                    <w14:schemeClr w14:val="tx1"/>
                  </w14:solidFill>
                </w14:textFill>
              </w:rPr>
              <w:t>号</w:t>
            </w:r>
            <w:r>
              <w:rPr>
                <w:rFonts w:asciiTheme="minorEastAsia" w:hAnsiTheme="minorEastAsia"/>
                <w:color w:val="000000" w:themeColor="text1"/>
                <w:sz w:val="18"/>
                <w:szCs w:val="21"/>
                <w14:textFill>
                  <w14:solidFill>
                    <w14:schemeClr w14:val="tx1"/>
                  </w14:solidFill>
                </w14:textFill>
              </w:rPr>
              <w:t>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净敞口套期收益（损失以“-”号填列）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w:t>
            </w:r>
            <w:r>
              <w:rPr>
                <w:rFonts w:asciiTheme="minorEastAsia" w:hAnsiTheme="minorEastAsia"/>
                <w:sz w:val="18"/>
                <w:szCs w:val="21"/>
              </w:rPr>
              <w:t>收益</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公允价值变动收益（损失以“－”号填列）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汇兑收益（损失以“-”号填列）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资产处置收益（损失以“-”号填列）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三、营业利润（亏损以“－”号填列）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加：营业外收入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减：营业外支出</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四、利润总额（亏损总额以“－”号填列）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减：所得税费用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五、净利润（净亏损以“－”号填列）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color w:val="000000" w:themeColor="text1"/>
                <w:sz w:val="18"/>
                <w:szCs w:val="18"/>
                <w14:textFill>
                  <w14:solidFill>
                    <w14:schemeClr w14:val="tx1"/>
                  </w14:solidFill>
                </w14:textFill>
              </w:rPr>
              <w:t>其中：被合并方在合并前实现的净利润</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Theme="minorEastAsia" w:hAnsiTheme="minorEastAsia"/>
                <w:color w:val="000000" w:themeColor="text1"/>
                <w:sz w:val="18"/>
                <w:szCs w:val="18"/>
                <w14:textFill>
                  <w14:solidFill>
                    <w14:schemeClr w14:val="tx1"/>
                  </w14:solidFill>
                </w14:textFill>
              </w:rPr>
              <w:t>（一）按</w:t>
            </w:r>
            <w:r>
              <w:rPr>
                <w:rFonts w:asciiTheme="minorEastAsia" w:hAnsiTheme="minorEastAsia"/>
                <w:color w:val="000000" w:themeColor="text1"/>
                <w:sz w:val="18"/>
                <w:szCs w:val="18"/>
                <w14:textFill>
                  <w14:solidFill>
                    <w14:schemeClr w14:val="tx1"/>
                  </w14:solidFill>
                </w14:textFill>
              </w:rPr>
              <w:t>经营持续性分类：</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18"/>
              </w:rPr>
              <w:t>1.持续</w:t>
            </w:r>
            <w:r>
              <w:rPr>
                <w:rFonts w:asciiTheme="minorEastAsia" w:hAnsiTheme="minorEastAsia"/>
                <w:sz w:val="18"/>
                <w:szCs w:val="18"/>
              </w:rPr>
              <w:t>经营净利润</w:t>
            </w:r>
            <w:r>
              <w:rPr>
                <w:rFonts w:hint="eastAsia" w:asciiTheme="minorEastAsia" w:hAnsiTheme="minorEastAsia"/>
                <w:sz w:val="18"/>
                <w:szCs w:val="21"/>
              </w:rPr>
              <w:t>（净亏损以“－”号填列）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18"/>
              </w:rPr>
              <w:t>2.终止经营</w:t>
            </w:r>
            <w:r>
              <w:rPr>
                <w:rFonts w:asciiTheme="minorEastAsia" w:hAnsiTheme="minorEastAsia"/>
                <w:sz w:val="18"/>
                <w:szCs w:val="18"/>
              </w:rPr>
              <w:t>净利润</w:t>
            </w:r>
            <w:r>
              <w:rPr>
                <w:rFonts w:hint="eastAsia" w:asciiTheme="minorEastAsia" w:hAnsiTheme="minorEastAsia"/>
                <w:sz w:val="18"/>
                <w:szCs w:val="21"/>
              </w:rPr>
              <w:t>（净亏损以“－”号填列）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18"/>
              </w:rPr>
              <w:t>（二）按</w:t>
            </w:r>
            <w:r>
              <w:rPr>
                <w:rFonts w:asciiTheme="minorEastAsia" w:hAnsiTheme="minorEastAsia"/>
                <w:sz w:val="18"/>
                <w:szCs w:val="18"/>
              </w:rPr>
              <w:t>所有权归属分类</w:t>
            </w:r>
            <w:r>
              <w:rPr>
                <w:rFonts w:hint="eastAsia" w:asciiTheme="minorEastAsia" w:hAnsiTheme="minorEastAsia"/>
                <w:sz w:val="18"/>
                <w:szCs w:val="18"/>
              </w:rPr>
              <w:t>：</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18"/>
              </w:rPr>
              <w:t>1.少数股东损益</w:t>
            </w:r>
            <w:r>
              <w:rPr>
                <w:rFonts w:hint="eastAsia" w:asciiTheme="minorEastAsia" w:hAnsiTheme="minorEastAsia"/>
                <w:sz w:val="18"/>
                <w:szCs w:val="21"/>
              </w:rPr>
              <w:t>（净亏损以“－”号填列）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18"/>
              </w:rPr>
              <w:t>2.归属于母公司所有者的净利润</w:t>
            </w:r>
            <w:r>
              <w:rPr>
                <w:rFonts w:hint="eastAsia" w:asciiTheme="minorEastAsia" w:hAnsiTheme="minorEastAsia"/>
                <w:sz w:val="18"/>
                <w:szCs w:val="21"/>
              </w:rPr>
              <w:t>（净亏损以“－”号填列）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sz w:val="18"/>
                <w:szCs w:val="18"/>
              </w:rPr>
            </w:pPr>
            <w:r>
              <w:rPr>
                <w:rFonts w:hint="eastAsia" w:asciiTheme="minorEastAsia" w:hAnsiTheme="minorEastAsia"/>
                <w:b/>
                <w:sz w:val="18"/>
                <w:szCs w:val="21"/>
              </w:rPr>
              <w:t>六、其他综合收益的税后净额</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Theme="minorEastAsia" w:hAnsiTheme="minorEastAsia"/>
                <w:sz w:val="18"/>
                <w:szCs w:val="21"/>
              </w:rPr>
              <w:t>（一）归属于母公司所有者的其他综合收益的税后净额</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Theme="minorEastAsia" w:hAnsiTheme="minorEastAsia"/>
                <w:sz w:val="18"/>
                <w:szCs w:val="21"/>
              </w:rPr>
              <w:t>1.不能重分类进损益的其他综合收益</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color w:val="000000"/>
                <w:sz w:val="18"/>
                <w:szCs w:val="18"/>
              </w:rPr>
            </w:pPr>
            <w:r>
              <w:rPr>
                <w:rFonts w:hint="eastAsia" w:asciiTheme="minorEastAsia" w:hAnsiTheme="minorEastAsia"/>
                <w:sz w:val="18"/>
                <w:szCs w:val="21"/>
              </w:rPr>
              <w:t>（</w:t>
            </w:r>
            <w:r>
              <w:rPr>
                <w:rFonts w:asciiTheme="minorEastAsia" w:hAnsiTheme="minorEastAsia"/>
                <w:sz w:val="18"/>
                <w:szCs w:val="21"/>
              </w:rPr>
              <w:t>1</w:t>
            </w:r>
            <w:r>
              <w:rPr>
                <w:rFonts w:hint="eastAsia" w:asciiTheme="minorEastAsia" w:hAnsiTheme="minorEastAsia"/>
                <w:sz w:val="18"/>
                <w:szCs w:val="21"/>
              </w:rPr>
              <w:t>）重新计量设定受益计划变动额</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color w:val="000000"/>
                <w:sz w:val="18"/>
                <w:szCs w:val="18"/>
              </w:rPr>
            </w:pPr>
            <w:r>
              <w:rPr>
                <w:rFonts w:hint="eastAsia" w:asciiTheme="minorEastAsia" w:hAnsiTheme="minorEastAsia"/>
                <w:sz w:val="18"/>
                <w:szCs w:val="21"/>
              </w:rPr>
              <w:t>（2）权益法下</w:t>
            </w:r>
            <w:r>
              <w:rPr>
                <w:rFonts w:hint="eastAsia" w:asciiTheme="minorEastAsia" w:hAnsiTheme="minorEastAsia"/>
                <w:sz w:val="18"/>
                <w:szCs w:val="18"/>
              </w:rPr>
              <w:t>不能转损益的其他综合收益</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color w:val="000000"/>
                <w:sz w:val="18"/>
                <w:szCs w:val="18"/>
              </w:rPr>
            </w:pPr>
            <w:r>
              <w:rPr>
                <w:rFonts w:hint="eastAsia" w:asciiTheme="minorEastAsia" w:hAnsiTheme="minorEastAsia"/>
                <w:sz w:val="18"/>
                <w:szCs w:val="21"/>
              </w:rPr>
              <w:t>（3）其他</w:t>
            </w:r>
            <w:r>
              <w:rPr>
                <w:rFonts w:asciiTheme="minorEastAsia" w:hAnsiTheme="minorEastAsia"/>
                <w:sz w:val="18"/>
                <w:szCs w:val="21"/>
              </w:rPr>
              <w:t>权益工具投资公允价值变动</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color w:val="000000"/>
                <w:sz w:val="18"/>
                <w:szCs w:val="18"/>
              </w:rPr>
            </w:pPr>
            <w:r>
              <w:rPr>
                <w:rFonts w:hint="eastAsia" w:asciiTheme="minorEastAsia" w:hAnsiTheme="minorEastAsia"/>
                <w:sz w:val="18"/>
                <w:szCs w:val="21"/>
              </w:rPr>
              <w:t>（4</w:t>
            </w:r>
            <w:r>
              <w:rPr>
                <w:rFonts w:hint="eastAsia"/>
                <w:sz w:val="18"/>
                <w:szCs w:val="18"/>
              </w:rPr>
              <w:t>）企业自身信用风险公允价值变动</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b/>
                <w:sz w:val="18"/>
                <w:szCs w:val="18"/>
              </w:rPr>
            </w:pPr>
            <w:r>
              <w:rPr>
                <w:rFonts w:hint="eastAsia" w:asciiTheme="minorEastAsia" w:hAnsiTheme="minorEastAsia"/>
                <w:sz w:val="18"/>
                <w:szCs w:val="21"/>
              </w:rPr>
              <w:t>（5）其他</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2.将重分类进损益的其他综合收益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（1）权益法</w:t>
            </w:r>
            <w:r>
              <w:rPr>
                <w:rFonts w:hint="eastAsia" w:asciiTheme="minorEastAsia" w:hAnsiTheme="minorEastAsia"/>
                <w:sz w:val="18"/>
                <w:szCs w:val="18"/>
              </w:rPr>
              <w:t>可转损益的其他综合收益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（2）</w:t>
            </w:r>
            <w:r>
              <w:rPr>
                <w:rFonts w:hint="eastAsia" w:asciiTheme="minorEastAsia" w:hAnsiTheme="minorEastAsia"/>
                <w:sz w:val="18"/>
                <w:szCs w:val="18"/>
              </w:rPr>
              <w:t>其他债权投资公允价值变动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w:t>
            </w:r>
            <w:r>
              <w:rPr>
                <w:rFonts w:hint="eastAsia" w:asciiTheme="minorEastAsia" w:hAnsiTheme="minorEastAsia"/>
                <w:color w:val="000000" w:themeColor="text1"/>
                <w:sz w:val="18"/>
                <w:szCs w:val="21"/>
                <w14:textFill>
                  <w14:solidFill>
                    <w14:schemeClr w14:val="tx1"/>
                  </w14:solidFill>
                </w14:textFill>
              </w:rPr>
              <w:t>3</w:t>
            </w:r>
            <w:r>
              <w:rPr>
                <w:rFonts w:hint="eastAsia" w:asciiTheme="minorEastAsia" w:hAnsiTheme="minorEastAsia"/>
                <w:sz w:val="18"/>
                <w:szCs w:val="21"/>
              </w:rPr>
              <w:t>）</w:t>
            </w:r>
            <w:r>
              <w:rPr>
                <w:rFonts w:hint="eastAsia" w:asciiTheme="minorEastAsia" w:hAnsiTheme="minorEastAsia"/>
                <w:sz w:val="18"/>
                <w:szCs w:val="18"/>
              </w:rPr>
              <w:t>金融资产重分类计入其他综合收益的金额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w:t>
            </w:r>
            <w:r>
              <w:rPr>
                <w:rFonts w:hint="eastAsia" w:asciiTheme="minorEastAsia" w:hAnsiTheme="minorEastAsia"/>
                <w:color w:val="000000" w:themeColor="text1"/>
                <w:sz w:val="18"/>
                <w:szCs w:val="21"/>
                <w14:textFill>
                  <w14:solidFill>
                    <w14:schemeClr w14:val="tx1"/>
                  </w14:solidFill>
                </w14:textFill>
              </w:rPr>
              <w:t>4</w:t>
            </w:r>
            <w:r>
              <w:rPr>
                <w:rFonts w:hint="eastAsia" w:asciiTheme="minorEastAsia" w:hAnsiTheme="minorEastAsia"/>
                <w:sz w:val="18"/>
                <w:szCs w:val="21"/>
              </w:rPr>
              <w:t>）</w:t>
            </w:r>
            <w:r>
              <w:rPr>
                <w:rFonts w:hint="eastAsia" w:asciiTheme="minorEastAsia" w:hAnsiTheme="minorEastAsia"/>
                <w:sz w:val="18"/>
                <w:szCs w:val="18"/>
              </w:rPr>
              <w:t>其他债权投资信用损失准备</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w:t>
            </w:r>
            <w:r>
              <w:rPr>
                <w:rFonts w:hint="eastAsia" w:asciiTheme="minorEastAsia" w:hAnsiTheme="minorEastAsia"/>
                <w:sz w:val="18"/>
                <w:szCs w:val="18"/>
              </w:rPr>
              <w:t>5</w:t>
            </w:r>
            <w:r>
              <w:rPr>
                <w:rFonts w:hint="eastAsia" w:asciiTheme="minorEastAsia" w:hAnsiTheme="minorEastAsia"/>
                <w:sz w:val="18"/>
                <w:szCs w:val="21"/>
              </w:rPr>
              <w:t>）</w:t>
            </w:r>
            <w:r>
              <w:rPr>
                <w:rFonts w:hint="eastAsia" w:asciiTheme="minorEastAsia" w:hAnsiTheme="minorEastAsia"/>
                <w:sz w:val="18"/>
                <w:szCs w:val="18"/>
              </w:rPr>
              <w:t>现金流量套期储备</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Calibri" w:hAnsi="Calibri" w:eastAsia="宋体" w:cs="Times New Roman"/>
                <w:sz w:val="18"/>
                <w:szCs w:val="18"/>
              </w:rPr>
            </w:pPr>
            <w:r>
              <w:rPr>
                <w:rFonts w:hint="eastAsia" w:asciiTheme="minorEastAsia" w:hAnsiTheme="minorEastAsia"/>
                <w:sz w:val="18"/>
                <w:szCs w:val="21"/>
              </w:rPr>
              <w:t>（</w:t>
            </w:r>
            <w:r>
              <w:rPr>
                <w:rFonts w:hint="eastAsia" w:asciiTheme="minorEastAsia" w:hAnsiTheme="minorEastAsia"/>
                <w:color w:val="000000" w:themeColor="text1"/>
                <w:sz w:val="18"/>
                <w:szCs w:val="18"/>
                <w14:textFill>
                  <w14:solidFill>
                    <w14:schemeClr w14:val="tx1"/>
                  </w14:solidFill>
                </w14:textFill>
              </w:rPr>
              <w:t>6</w:t>
            </w:r>
            <w:r>
              <w:rPr>
                <w:rFonts w:hint="eastAsia" w:asciiTheme="minorEastAsia" w:hAnsiTheme="minorEastAsia"/>
                <w:sz w:val="18"/>
                <w:szCs w:val="21"/>
              </w:rPr>
              <w:t>）</w:t>
            </w:r>
            <w:r>
              <w:rPr>
                <w:rFonts w:hint="eastAsia" w:asciiTheme="minorEastAsia" w:hAnsiTheme="minorEastAsia"/>
                <w:color w:val="000000" w:themeColor="text1"/>
                <w:sz w:val="18"/>
                <w:szCs w:val="18"/>
                <w14:textFill>
                  <w14:solidFill>
                    <w14:schemeClr w14:val="tx1"/>
                  </w14:solidFill>
                </w14:textFill>
              </w:rPr>
              <w:t>外币财务报表折算差额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w:t>
            </w:r>
            <w:r>
              <w:rPr>
                <w:rFonts w:hint="eastAsia" w:asciiTheme="minorEastAsia" w:hAnsiTheme="minorEastAsia"/>
                <w:color w:val="000000" w:themeColor="text1"/>
                <w:sz w:val="18"/>
                <w:szCs w:val="18"/>
                <w14:textFill>
                  <w14:solidFill>
                    <w14:schemeClr w14:val="tx1"/>
                  </w14:solidFill>
                </w14:textFill>
              </w:rPr>
              <w:t>7</w:t>
            </w:r>
            <w:r>
              <w:rPr>
                <w:rFonts w:hint="eastAsia" w:asciiTheme="minorEastAsia" w:hAnsiTheme="minorEastAsia"/>
                <w:sz w:val="18"/>
                <w:szCs w:val="21"/>
              </w:rPr>
              <w:t>）</w:t>
            </w:r>
            <w:r>
              <w:rPr>
                <w:rFonts w:hint="eastAsia" w:asciiTheme="minorEastAsia" w:hAnsiTheme="minorEastAsia"/>
                <w:color w:val="000000" w:themeColor="text1"/>
                <w:sz w:val="18"/>
                <w:szCs w:val="18"/>
                <w14:textFill>
                  <w14:solidFill>
                    <w14:schemeClr w14:val="tx1"/>
                  </w14:solidFill>
                </w14:textFill>
              </w:rPr>
              <w:t>其他</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（二）</w:t>
            </w:r>
            <w:r>
              <w:rPr>
                <w:rFonts w:hint="eastAsia" w:asciiTheme="minorEastAsia" w:hAnsiTheme="minorEastAsia"/>
                <w:color w:val="000000" w:themeColor="text1"/>
                <w:sz w:val="18"/>
                <w:szCs w:val="21"/>
                <w14:textFill>
                  <w14:solidFill>
                    <w14:schemeClr w14:val="tx1"/>
                  </w14:solidFill>
                </w14:textFill>
              </w:rPr>
              <w:t xml:space="preserve">归属于少数股东的其他综合收益的税后净额 </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b/>
                <w:color w:val="000000" w:themeColor="text1"/>
                <w:sz w:val="18"/>
                <w:szCs w:val="21"/>
                <w14:textFill>
                  <w14:solidFill>
                    <w14:schemeClr w14:val="tx1"/>
                  </w14:solidFill>
                </w14:textFill>
              </w:rPr>
              <w:t>七、综合收益总额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color w:val="000000" w:themeColor="text1"/>
                <w:sz w:val="18"/>
                <w:szCs w:val="21"/>
                <w14:textFill>
                  <w14:solidFill>
                    <w14:schemeClr w14:val="tx1"/>
                  </w14:solidFill>
                </w14:textFill>
              </w:rPr>
              <w:t>归属于母公司所有者的综合收益总额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color w:val="000000" w:themeColor="text1"/>
                <w:sz w:val="18"/>
                <w:szCs w:val="21"/>
                <w14:textFill>
                  <w14:solidFill>
                    <w14:schemeClr w14:val="tx1"/>
                  </w14:solidFill>
                </w14:textFill>
              </w:rPr>
              <w:t>归属于少数股东的综合收益总额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八、每股收益：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Theme="minorEastAsia" w:hAnsiTheme="minorEastAsia"/>
                <w:sz w:val="18"/>
                <w:szCs w:val="21"/>
              </w:rPr>
              <w:t>（一）基本每股收益</w:t>
            </w:r>
            <w:r>
              <w:rPr>
                <w:rFonts w:hint="eastAsia" w:asciiTheme="minorEastAsia" w:hAnsiTheme="minorEastAsia"/>
                <w:sz w:val="18"/>
                <w:szCs w:val="18"/>
              </w:rPr>
              <w:t>（元/股）</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Theme="minorEastAsia" w:hAnsiTheme="minorEastAsia"/>
                <w:sz w:val="18"/>
                <w:szCs w:val="21"/>
              </w:rPr>
              <w:t>（二）稀释每股收益</w:t>
            </w:r>
            <w:r>
              <w:rPr>
                <w:rFonts w:hint="eastAsia" w:asciiTheme="minorEastAsia" w:hAnsiTheme="minorEastAsia"/>
                <w:sz w:val="18"/>
                <w:szCs w:val="18"/>
              </w:rPr>
              <w:t>（元/股）</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hint="eastAsia" w:ascii="Calibri" w:hAnsi="Calibri" w:eastAsia="宋体" w:cs="Times New Roman"/>
          <w:sz w:val="18"/>
          <w:szCs w:val="18"/>
        </w:rPr>
        <w:t>　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76" w:name="_Toc16853"/>
      <w:bookmarkStart w:id="77" w:name="_Toc2570"/>
      <w:r>
        <w:rPr>
          <w:rFonts w:hint="eastAsia" w:ascii="Times New Roman" w:hAnsi="Times New Roman" w:eastAsia="宋体" w:cs="Times New Roman"/>
          <w:b/>
          <w:bCs/>
          <w:szCs w:val="32"/>
          <w:lang w:val="zh-CN"/>
        </w:rPr>
        <w:t>（四）母公司利润表</w:t>
      </w:r>
      <w:bookmarkEnd w:id="76"/>
      <w:bookmarkEnd w:id="77"/>
    </w:p>
    <w:p>
      <w:pPr>
        <w:ind w:left="672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520"/>
        <w:gridCol w:w="1455"/>
        <w:gridCol w:w="1895"/>
        <w:gridCol w:w="204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73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956"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30"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b/>
                <w:sz w:val="18"/>
                <w:szCs w:val="18"/>
              </w:rPr>
            </w:pPr>
            <w:r>
              <w:rPr>
                <w:rFonts w:hint="eastAsia" w:asciiTheme="minorEastAsia" w:hAnsiTheme="minorEastAsia"/>
                <w:b/>
                <w:sz w:val="18"/>
                <w:szCs w:val="21"/>
              </w:rPr>
              <w:t>一、营业收入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利息净收入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0" w:firstLineChars="0"/>
              <w:rPr>
                <w:rFonts w:ascii="宋体" w:hAnsi="宋体" w:eastAsia="宋体" w:cs="宋体"/>
                <w:sz w:val="18"/>
                <w:szCs w:val="18"/>
              </w:rPr>
            </w:pPr>
            <w:r>
              <w:rPr>
                <w:rFonts w:hint="eastAsia" w:asciiTheme="minorEastAsia" w:hAnsiTheme="minorEastAsia"/>
                <w:sz w:val="18"/>
                <w:szCs w:val="21"/>
              </w:rPr>
              <w:t>其中：利息</w:t>
            </w:r>
            <w:r>
              <w:rPr>
                <w:rFonts w:asciiTheme="minorEastAsia" w:hAnsiTheme="minorEastAsia"/>
                <w:sz w:val="18"/>
                <w:szCs w:val="21"/>
              </w:rPr>
              <w:t>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宋体"/>
                <w:sz w:val="18"/>
                <w:szCs w:val="18"/>
              </w:rPr>
            </w:pPr>
            <w:r>
              <w:rPr>
                <w:rFonts w:hint="eastAsia" w:asciiTheme="minorEastAsia" w:hAnsiTheme="minorEastAsia"/>
                <w:sz w:val="18"/>
                <w:szCs w:val="21"/>
              </w:rPr>
              <w:t xml:space="preserve">      利息</w:t>
            </w:r>
            <w:r>
              <w:rPr>
                <w:rFonts w:asciiTheme="minorEastAsia" w:hAnsiTheme="minorEastAsia"/>
                <w:sz w:val="18"/>
                <w:szCs w:val="21"/>
              </w:rPr>
              <w:t>支出</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手续费及佣金净收入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其中</w:t>
            </w:r>
            <w:r>
              <w:rPr>
                <w:rFonts w:asciiTheme="minorEastAsia" w:hAnsiTheme="minorEastAsia"/>
                <w:sz w:val="18"/>
                <w:szCs w:val="21"/>
              </w:rPr>
              <w:t>：</w:t>
            </w:r>
            <w:r>
              <w:rPr>
                <w:rFonts w:hint="eastAsia" w:asciiTheme="minorEastAsia" w:hAnsiTheme="minorEastAsia"/>
                <w:sz w:val="18"/>
                <w:szCs w:val="21"/>
              </w:rPr>
              <w:t>手续费及佣金收入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540" w:firstLineChars="300"/>
              <w:rPr>
                <w:rFonts w:ascii="宋体" w:hAnsi="宋体" w:eastAsia="宋体" w:cs="宋体"/>
                <w:sz w:val="18"/>
                <w:szCs w:val="18"/>
              </w:rPr>
            </w:pPr>
            <w:r>
              <w:rPr>
                <w:rFonts w:hint="eastAsia" w:asciiTheme="minorEastAsia" w:hAnsiTheme="minorEastAsia"/>
                <w:sz w:val="18"/>
                <w:szCs w:val="21"/>
              </w:rPr>
              <w:t>手续费及佣金支出</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担保费</w:t>
            </w:r>
            <w:r>
              <w:rPr>
                <w:rFonts w:asciiTheme="minorEastAsia" w:hAnsiTheme="minorEastAsia"/>
                <w:sz w:val="18"/>
                <w:szCs w:val="21"/>
              </w:rPr>
              <w:t>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代理</w:t>
            </w:r>
            <w:r>
              <w:rPr>
                <w:rFonts w:asciiTheme="minorEastAsia" w:hAnsiTheme="minorEastAsia"/>
                <w:sz w:val="18"/>
                <w:szCs w:val="21"/>
              </w:rPr>
              <w:t>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其他业务收入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二、营业成本</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税金及附加</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业务</w:t>
            </w:r>
            <w:r>
              <w:rPr>
                <w:rFonts w:asciiTheme="minorEastAsia" w:hAnsiTheme="minorEastAsia"/>
                <w:sz w:val="18"/>
                <w:szCs w:val="21"/>
              </w:rPr>
              <w:t>及管理费</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信用</w:t>
            </w:r>
            <w:r>
              <w:rPr>
                <w:rFonts w:asciiTheme="minorEastAsia" w:hAnsiTheme="minorEastAsia"/>
                <w:sz w:val="18"/>
                <w:szCs w:val="21"/>
              </w:rPr>
              <w:t>减值损失</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w:t>
            </w:r>
            <w:r>
              <w:rPr>
                <w:rFonts w:asciiTheme="minorEastAsia" w:hAnsiTheme="minorEastAsia"/>
                <w:sz w:val="18"/>
                <w:szCs w:val="21"/>
              </w:rPr>
              <w:t>资产减值损失</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w:t>
            </w:r>
            <w:r>
              <w:rPr>
                <w:rFonts w:asciiTheme="minorEastAsia" w:hAnsiTheme="minorEastAsia"/>
                <w:sz w:val="18"/>
                <w:szCs w:val="21"/>
              </w:rPr>
              <w:t>业务成本</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投资收益（损失以“－”号填列）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其中：对联营企业和合营企业的投资收益（损失以“－”号填列）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540" w:firstLineChars="300"/>
              <w:rPr>
                <w:rFonts w:ascii="宋体" w:hAnsi="宋体" w:eastAsia="宋体" w:cs="宋体"/>
                <w:sz w:val="18"/>
                <w:szCs w:val="18"/>
              </w:rPr>
            </w:pPr>
            <w:r>
              <w:rPr>
                <w:rFonts w:hint="eastAsia" w:asciiTheme="minorEastAsia" w:hAnsiTheme="minorEastAsia"/>
                <w:sz w:val="18"/>
                <w:szCs w:val="21"/>
              </w:rPr>
              <w:t>以</w:t>
            </w:r>
            <w:r>
              <w:rPr>
                <w:rFonts w:asciiTheme="minorEastAsia" w:hAnsiTheme="minorEastAsia"/>
                <w:color w:val="000000" w:themeColor="text1"/>
                <w:sz w:val="18"/>
                <w:szCs w:val="21"/>
                <w14:textFill>
                  <w14:solidFill>
                    <w14:schemeClr w14:val="tx1"/>
                  </w14:solidFill>
                </w14:textFill>
              </w:rPr>
              <w:t>摊余成本计量的金融资产终止确认产生的收益（</w:t>
            </w:r>
            <w:r>
              <w:rPr>
                <w:rFonts w:hint="eastAsia" w:asciiTheme="minorEastAsia" w:hAnsiTheme="minorEastAsia"/>
                <w:color w:val="000000" w:themeColor="text1"/>
                <w:sz w:val="18"/>
                <w:szCs w:val="21"/>
                <w14:textFill>
                  <w14:solidFill>
                    <w14:schemeClr w14:val="tx1"/>
                  </w14:solidFill>
                </w14:textFill>
              </w:rPr>
              <w:t>损失</w:t>
            </w:r>
            <w:r>
              <w:rPr>
                <w:rFonts w:asciiTheme="minorEastAsia" w:hAnsiTheme="minorEastAsia"/>
                <w:color w:val="000000" w:themeColor="text1"/>
                <w:sz w:val="18"/>
                <w:szCs w:val="21"/>
                <w14:textFill>
                  <w14:solidFill>
                    <w14:schemeClr w14:val="tx1"/>
                  </w14:solidFill>
                </w14:textFill>
              </w:rPr>
              <w:t>以“-”</w:t>
            </w:r>
            <w:r>
              <w:rPr>
                <w:rFonts w:hint="eastAsia" w:asciiTheme="minorEastAsia" w:hAnsiTheme="minorEastAsia"/>
                <w:color w:val="000000" w:themeColor="text1"/>
                <w:sz w:val="18"/>
                <w:szCs w:val="21"/>
                <w14:textFill>
                  <w14:solidFill>
                    <w14:schemeClr w14:val="tx1"/>
                  </w14:solidFill>
                </w14:textFill>
              </w:rPr>
              <w:t>号</w:t>
            </w:r>
            <w:r>
              <w:rPr>
                <w:rFonts w:asciiTheme="minorEastAsia" w:hAnsiTheme="minorEastAsia"/>
                <w:color w:val="000000" w:themeColor="text1"/>
                <w:sz w:val="18"/>
                <w:szCs w:val="21"/>
                <w14:textFill>
                  <w14:solidFill>
                    <w14:schemeClr w14:val="tx1"/>
                  </w14:solidFill>
                </w14:textFill>
              </w:rPr>
              <w:t>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净敞口套期收益（损失以“-”号填列）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其他</w:t>
            </w:r>
            <w:r>
              <w:rPr>
                <w:rFonts w:asciiTheme="minorEastAsia" w:hAnsiTheme="minorEastAsia"/>
                <w:sz w:val="18"/>
                <w:szCs w:val="21"/>
              </w:rPr>
              <w:t>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公允价值变动收益（损失以“－”号填列）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汇兑收益（损失以“-”号填列）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资产处置收益（损失以“-”号填列）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Theme="minorEastAsia" w:hAnsiTheme="minorEastAsia"/>
                <w:b/>
                <w:sz w:val="18"/>
                <w:szCs w:val="21"/>
              </w:rPr>
              <w:t>三、营业利润（亏损以“－”号填列）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Theme="minorEastAsia" w:hAnsiTheme="minorEastAsia"/>
                <w:sz w:val="18"/>
                <w:szCs w:val="21"/>
              </w:rPr>
              <w:t>加：营业外收入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b/>
                <w:sz w:val="18"/>
                <w:szCs w:val="18"/>
              </w:rPr>
            </w:pPr>
            <w:r>
              <w:rPr>
                <w:rFonts w:hint="eastAsia" w:asciiTheme="minorEastAsia" w:hAnsiTheme="minorEastAsia"/>
                <w:sz w:val="18"/>
                <w:szCs w:val="21"/>
              </w:rPr>
              <w:t>减：营业外支出</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Theme="minorEastAsia" w:hAnsiTheme="minorEastAsia"/>
                <w:b/>
                <w:sz w:val="18"/>
                <w:szCs w:val="21"/>
              </w:rPr>
              <w:t>四、利润总额（亏损总额以“－”号填列）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减：所得税费用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五、净利润（净亏损以“－”号填列）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（一）持续</w:t>
            </w:r>
            <w:r>
              <w:rPr>
                <w:rFonts w:asciiTheme="minorEastAsia" w:hAnsiTheme="minorEastAsia"/>
                <w:sz w:val="18"/>
                <w:szCs w:val="18"/>
              </w:rPr>
              <w:t>经营净利润</w:t>
            </w:r>
            <w:r>
              <w:rPr>
                <w:rFonts w:hint="eastAsia" w:asciiTheme="minorEastAsia" w:hAnsiTheme="minorEastAsia"/>
                <w:sz w:val="18"/>
                <w:szCs w:val="21"/>
              </w:rPr>
              <w:t>（净亏损以“－”号填列）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（二）终止经营</w:t>
            </w:r>
            <w:r>
              <w:rPr>
                <w:rFonts w:asciiTheme="minorEastAsia" w:hAnsiTheme="minorEastAsia"/>
                <w:sz w:val="18"/>
                <w:szCs w:val="18"/>
              </w:rPr>
              <w:t>净利润</w:t>
            </w:r>
            <w:r>
              <w:rPr>
                <w:rFonts w:hint="eastAsia" w:asciiTheme="minorEastAsia" w:hAnsiTheme="minorEastAsia"/>
                <w:sz w:val="18"/>
                <w:szCs w:val="21"/>
              </w:rPr>
              <w:t>（净亏损以“－”号填列）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六、其他综合收益的税后净额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Calibri" w:hAnsi="Calibri" w:eastAsia="宋体" w:cs="Times New Roman"/>
                <w:sz w:val="18"/>
                <w:szCs w:val="18"/>
              </w:rPr>
            </w:pPr>
            <w:r>
              <w:rPr>
                <w:rFonts w:hint="eastAsia" w:asciiTheme="minorEastAsia" w:hAnsiTheme="minorEastAsia"/>
                <w:sz w:val="18"/>
                <w:szCs w:val="21"/>
              </w:rPr>
              <w:t>（一）不能重分类进损益的其他综合收益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1.重新计量设定受益计划变动额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2.权益法下</w:t>
            </w:r>
            <w:r>
              <w:rPr>
                <w:rFonts w:hint="eastAsia" w:asciiTheme="minorEastAsia" w:hAnsiTheme="minorEastAsia"/>
                <w:sz w:val="18"/>
                <w:szCs w:val="18"/>
              </w:rPr>
              <w:t>不能转损益的其他综合收益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3.其他</w:t>
            </w:r>
            <w:r>
              <w:rPr>
                <w:rFonts w:asciiTheme="minorEastAsia" w:hAnsiTheme="minorEastAsia"/>
                <w:sz w:val="18"/>
                <w:szCs w:val="21"/>
              </w:rPr>
              <w:t>权益工具投资公允价值变动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4.</w:t>
            </w:r>
            <w:r>
              <w:rPr>
                <w:rFonts w:hint="eastAsia"/>
                <w:sz w:val="18"/>
                <w:szCs w:val="18"/>
              </w:rPr>
              <w:t>企业自身信用风险公允价值变动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21"/>
              </w:rPr>
              <w:t>5.其他</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（二）将重分类进损益的其他综合收益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color w:val="000000"/>
                <w:sz w:val="18"/>
                <w:szCs w:val="18"/>
              </w:rPr>
            </w:pPr>
            <w:r>
              <w:rPr>
                <w:rFonts w:hint="eastAsia" w:asciiTheme="minorEastAsia" w:hAnsiTheme="minorEastAsia"/>
                <w:sz w:val="18"/>
                <w:szCs w:val="21"/>
              </w:rPr>
              <w:t>1.权益法</w:t>
            </w:r>
            <w:r>
              <w:rPr>
                <w:rFonts w:hint="eastAsia" w:asciiTheme="minorEastAsia" w:hAnsiTheme="minorEastAsia"/>
                <w:sz w:val="18"/>
                <w:szCs w:val="18"/>
              </w:rPr>
              <w:t>可转损益的其他综合收益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color w:val="000000"/>
                <w:sz w:val="18"/>
                <w:szCs w:val="18"/>
              </w:rPr>
            </w:pPr>
            <w:r>
              <w:rPr>
                <w:rFonts w:hint="eastAsia" w:asciiTheme="minorEastAsia" w:hAnsiTheme="minorEastAsia"/>
                <w:sz w:val="18"/>
                <w:szCs w:val="21"/>
              </w:rPr>
              <w:t>2.</w:t>
            </w:r>
            <w:r>
              <w:rPr>
                <w:rFonts w:hint="eastAsia" w:asciiTheme="minorEastAsia" w:hAnsiTheme="minorEastAsia"/>
                <w:sz w:val="18"/>
                <w:szCs w:val="18"/>
              </w:rPr>
              <w:t>其他债权投资公允价值变动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0" w:firstLineChars="0"/>
              <w:rPr>
                <w:rFonts w:ascii="宋体" w:hAnsi="宋体" w:eastAsia="宋体" w:cs="Times New Roman"/>
                <w:b/>
                <w:sz w:val="18"/>
                <w:szCs w:val="18"/>
              </w:rPr>
            </w:pPr>
            <w:r>
              <w:rPr>
                <w:rFonts w:hint="eastAsia" w:asciiTheme="minorEastAsia" w:hAnsiTheme="minorEastAsia"/>
                <w:color w:val="000000" w:themeColor="text1"/>
                <w:sz w:val="18"/>
                <w:szCs w:val="21"/>
                <w14:textFill>
                  <w14:solidFill>
                    <w14:schemeClr w14:val="tx1"/>
                  </w14:solidFill>
                </w14:textFill>
              </w:rPr>
              <w:t>3.</w:t>
            </w:r>
            <w:r>
              <w:rPr>
                <w:rFonts w:hint="eastAsia" w:asciiTheme="minorEastAsia" w:hAnsiTheme="minorEastAsia"/>
                <w:sz w:val="18"/>
                <w:szCs w:val="18"/>
              </w:rPr>
              <w:t>金融资产重分类计入其他综合收益的金额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color w:val="000000" w:themeColor="text1"/>
                <w:sz w:val="18"/>
                <w:szCs w:val="21"/>
                <w14:textFill>
                  <w14:solidFill>
                    <w14:schemeClr w14:val="tx1"/>
                  </w14:solidFill>
                </w14:textFill>
              </w:rPr>
              <w:t>4.</w:t>
            </w:r>
            <w:r>
              <w:rPr>
                <w:rFonts w:hint="eastAsia" w:asciiTheme="minorEastAsia" w:hAnsiTheme="minorEastAsia"/>
                <w:sz w:val="18"/>
                <w:szCs w:val="18"/>
              </w:rPr>
              <w:t>其他债权投资信用损失准备</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sz w:val="18"/>
                <w:szCs w:val="18"/>
              </w:rPr>
              <w:t>5.现金流量套期储备</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宋体" w:hAnsi="宋体" w:eastAsia="宋体" w:cs="Times New Roman"/>
                <w:sz w:val="18"/>
                <w:szCs w:val="18"/>
              </w:rPr>
            </w:pPr>
            <w:r>
              <w:rPr>
                <w:rFonts w:hint="eastAsia" w:asciiTheme="minorEastAsia" w:hAnsiTheme="minorEastAsia"/>
                <w:color w:val="000000" w:themeColor="text1"/>
                <w:sz w:val="18"/>
                <w:szCs w:val="18"/>
                <w14:textFill>
                  <w14:solidFill>
                    <w14:schemeClr w14:val="tx1"/>
                  </w14:solidFill>
                </w14:textFill>
              </w:rPr>
              <w:t>6.外币财务报表折算差额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0" w:firstLineChars="0"/>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7.其他</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b/>
                <w:color w:val="000000" w:themeColor="text1"/>
                <w:sz w:val="18"/>
                <w:szCs w:val="21"/>
                <w14:textFill>
                  <w14:solidFill>
                    <w14:schemeClr w14:val="tx1"/>
                  </w14:solidFill>
                </w14:textFill>
              </w:rPr>
              <w:t>七、综合收益总额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b/>
                <w:sz w:val="18"/>
                <w:szCs w:val="21"/>
              </w:rPr>
              <w:t>八、每股收益：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sz w:val="18"/>
                <w:szCs w:val="21"/>
              </w:rPr>
              <w:t>（一）基本每股收益</w:t>
            </w:r>
            <w:r>
              <w:rPr>
                <w:rFonts w:hint="eastAsia" w:asciiTheme="minorEastAsia" w:hAnsiTheme="minorEastAsia"/>
                <w:sz w:val="18"/>
                <w:szCs w:val="18"/>
              </w:rPr>
              <w:t>（元/股）</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sz w:val="18"/>
                <w:szCs w:val="21"/>
              </w:rPr>
              <w:t>（二）稀释每股收益</w:t>
            </w:r>
            <w:r>
              <w:rPr>
                <w:rFonts w:hint="eastAsia" w:asciiTheme="minorEastAsia" w:hAnsiTheme="minorEastAsia"/>
                <w:sz w:val="18"/>
                <w:szCs w:val="18"/>
              </w:rPr>
              <w:t>（元/股）</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bl>
    <w:p>
      <w:pPr>
        <w:rPr>
          <w:rFonts w:ascii="宋体" w:hAnsi="宋体" w:eastAsia="宋体" w:cs="Times New Roman"/>
          <w:sz w:val="18"/>
          <w:szCs w:val="18"/>
        </w:rPr>
      </w:pPr>
    </w:p>
    <w:p>
      <w:pPr>
        <w:keepNext/>
        <w:keepLines/>
        <w:spacing w:before="100" w:after="100"/>
        <w:outlineLvl w:val="2"/>
        <w:rPr>
          <w:rFonts w:ascii="Times New Roman" w:hAnsi="Times New Roman" w:eastAsia="宋体" w:cs="Times New Roman"/>
          <w:b/>
          <w:bCs/>
          <w:szCs w:val="32"/>
          <w:lang w:val="zh-CN"/>
        </w:rPr>
      </w:pPr>
      <w:bookmarkStart w:id="78" w:name="_Toc17421"/>
      <w:bookmarkStart w:id="79" w:name="_Toc2251"/>
      <w:r>
        <w:rPr>
          <w:rFonts w:hint="eastAsia" w:ascii="Times New Roman" w:hAnsi="Times New Roman" w:eastAsia="宋体" w:cs="Times New Roman"/>
          <w:b/>
          <w:bCs/>
          <w:szCs w:val="32"/>
          <w:lang w:val="zh-CN"/>
        </w:rPr>
        <w:t>（五）合并现金流量表</w:t>
      </w:r>
      <w:bookmarkEnd w:id="78"/>
      <w:bookmarkEnd w:id="79"/>
    </w:p>
    <w:p>
      <w:pPr>
        <w:ind w:left="714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72"/>
        <w:gridCol w:w="1786"/>
        <w:gridCol w:w="1713"/>
        <w:gridCol w:w="17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01"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86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878"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b/>
                <w:sz w:val="18"/>
                <w:szCs w:val="21"/>
              </w:rPr>
              <w:t>一、经营活动产生的现金流量：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销售商品、提供劳务收到的现金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收取</w:t>
            </w:r>
            <w:r>
              <w:rPr>
                <w:rFonts w:asciiTheme="minorEastAsia" w:hAnsiTheme="minorEastAsia"/>
                <w:sz w:val="18"/>
                <w:szCs w:val="21"/>
              </w:rPr>
              <w:t>利息、手续费及佣金的现金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拆入资金净增加额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回购业务资金净增加额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收到的税费返还</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收到其他与经营活动有关的现金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1084" w:firstLineChars="600"/>
              <w:rPr>
                <w:rFonts w:ascii="宋体" w:hAnsi="宋体" w:eastAsia="宋体" w:cs="Times New Roman"/>
                <w:sz w:val="18"/>
                <w:szCs w:val="18"/>
              </w:rPr>
            </w:pPr>
            <w:r>
              <w:rPr>
                <w:rFonts w:hint="eastAsia" w:asciiTheme="minorEastAsia" w:hAnsiTheme="minorEastAsia"/>
                <w:b/>
                <w:sz w:val="18"/>
                <w:szCs w:val="21"/>
              </w:rPr>
              <w:t>经营活动现金流入小计</w:t>
            </w:r>
          </w:p>
        </w:tc>
        <w:tc>
          <w:tcPr>
            <w:tcW w:w="901" w:type="pct"/>
            <w:shd w:val="clear" w:color="auto" w:fill="E7E6E6" w:themeFill="background2"/>
          </w:tcPr>
          <w:p>
            <w:pPr>
              <w:jc w:val="right"/>
              <w:rPr>
                <w:rFonts w:ascii="宋体" w:hAnsi="宋体" w:eastAsia="宋体" w:cs="宋体"/>
                <w:kern w:val="0"/>
                <w:sz w:val="18"/>
                <w:szCs w:val="18"/>
              </w:rPr>
            </w:pPr>
          </w:p>
        </w:tc>
        <w:tc>
          <w:tcPr>
            <w:tcW w:w="864" w:type="pct"/>
            <w:shd w:val="clear" w:color="auto" w:fill="E7E6E6" w:themeFill="background2"/>
          </w:tcPr>
          <w:p>
            <w:pPr>
              <w:jc w:val="right"/>
              <w:rPr>
                <w:rFonts w:ascii="宋体" w:hAnsi="宋体" w:eastAsia="宋体" w:cs="宋体"/>
                <w:kern w:val="0"/>
                <w:sz w:val="18"/>
                <w:szCs w:val="18"/>
              </w:rPr>
            </w:pPr>
          </w:p>
        </w:tc>
        <w:tc>
          <w:tcPr>
            <w:tcW w:w="878" w:type="pct"/>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购买商品、接受劳务支付的现金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支付利息、手续费及佣金的现金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客户</w:t>
            </w:r>
            <w:r>
              <w:rPr>
                <w:rFonts w:asciiTheme="minorEastAsia" w:hAnsiTheme="minorEastAsia"/>
                <w:sz w:val="18"/>
                <w:szCs w:val="21"/>
              </w:rPr>
              <w:t>贷款及垫款</w:t>
            </w:r>
            <w:r>
              <w:rPr>
                <w:rFonts w:hint="eastAsia" w:asciiTheme="minorEastAsia" w:hAnsiTheme="minorEastAsia"/>
                <w:sz w:val="18"/>
                <w:szCs w:val="21"/>
              </w:rPr>
              <w:t>净增加</w:t>
            </w:r>
            <w:r>
              <w:rPr>
                <w:rFonts w:asciiTheme="minorEastAsia" w:hAnsiTheme="minorEastAsia"/>
                <w:sz w:val="18"/>
                <w:szCs w:val="21"/>
              </w:rPr>
              <w:t>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拆出</w:t>
            </w:r>
            <w:r>
              <w:rPr>
                <w:rFonts w:asciiTheme="minorEastAsia" w:hAnsiTheme="minorEastAsia"/>
                <w:sz w:val="18"/>
                <w:szCs w:val="21"/>
              </w:rPr>
              <w:t>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为交易目的而持有的金融资产净增加额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color w:val="000000" w:themeColor="text1"/>
                <w:sz w:val="18"/>
                <w:szCs w:val="21"/>
                <w14:textFill>
                  <w14:solidFill>
                    <w14:schemeClr w14:val="tx1"/>
                  </w14:solidFill>
                </w14:textFill>
              </w:rPr>
              <w:t>返售业务</w:t>
            </w:r>
            <w:r>
              <w:rPr>
                <w:rFonts w:asciiTheme="minorEastAsia" w:hAnsiTheme="minorEastAsia"/>
                <w:color w:val="000000" w:themeColor="text1"/>
                <w:sz w:val="18"/>
                <w:szCs w:val="21"/>
                <w14:textFill>
                  <w14:solidFill>
                    <w14:schemeClr w14:val="tx1"/>
                  </w14:solidFill>
                </w14:textFill>
              </w:rPr>
              <w:t>资金净增加额</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both"/>
              <w:rPr>
                <w:rFonts w:ascii="宋体" w:hAnsi="宋体" w:eastAsia="宋体" w:cs="宋体"/>
                <w:b/>
                <w:sz w:val="18"/>
                <w:szCs w:val="18"/>
              </w:rPr>
            </w:pPr>
            <w:r>
              <w:rPr>
                <w:rFonts w:hint="eastAsia" w:asciiTheme="minorEastAsia" w:hAnsiTheme="minorEastAsia"/>
                <w:sz w:val="18"/>
                <w:szCs w:val="21"/>
              </w:rPr>
              <w:t>支付给职工以及为职工支付的现金</w:t>
            </w:r>
          </w:p>
        </w:tc>
        <w:tc>
          <w:tcPr>
            <w:tcW w:w="901" w:type="pct"/>
            <w:shd w:val="clear" w:color="auto" w:fill="FFFFFF"/>
          </w:tcPr>
          <w:p>
            <w:pPr>
              <w:jc w:val="right"/>
              <w:rPr>
                <w:rFonts w:ascii="宋体" w:hAnsi="宋体" w:eastAsia="宋体" w:cs="宋体"/>
                <w:kern w:val="0"/>
                <w:sz w:val="18"/>
                <w:szCs w:val="18"/>
              </w:rPr>
            </w:pPr>
          </w:p>
        </w:tc>
        <w:tc>
          <w:tcPr>
            <w:tcW w:w="864" w:type="pct"/>
            <w:shd w:val="clear" w:color="auto" w:fill="FFFFFF"/>
          </w:tcPr>
          <w:p>
            <w:pPr>
              <w:jc w:val="right"/>
              <w:rPr>
                <w:rFonts w:ascii="宋体" w:hAnsi="宋体" w:eastAsia="宋体" w:cs="宋体"/>
                <w:kern w:val="0"/>
                <w:sz w:val="18"/>
                <w:szCs w:val="18"/>
              </w:rPr>
            </w:pPr>
          </w:p>
        </w:tc>
        <w:tc>
          <w:tcPr>
            <w:tcW w:w="878" w:type="pct"/>
            <w:shd w:val="clear"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支付的各项税费</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支付其他与经营活动有关的现金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1084" w:firstLineChars="600"/>
              <w:rPr>
                <w:rFonts w:ascii="宋体" w:hAnsi="宋体" w:eastAsia="宋体" w:cs="Times New Roman"/>
                <w:sz w:val="18"/>
                <w:szCs w:val="18"/>
              </w:rPr>
            </w:pPr>
            <w:r>
              <w:rPr>
                <w:rFonts w:hint="eastAsia" w:asciiTheme="minorEastAsia" w:hAnsiTheme="minorEastAsia"/>
                <w:b/>
                <w:sz w:val="18"/>
                <w:szCs w:val="21"/>
              </w:rPr>
              <w:t>经营活动现金流出小计</w:t>
            </w:r>
          </w:p>
        </w:tc>
        <w:tc>
          <w:tcPr>
            <w:tcW w:w="901" w:type="pct"/>
            <w:shd w:val="clear" w:color="auto" w:fill="E7E6E6" w:themeFill="background2"/>
          </w:tcPr>
          <w:p>
            <w:pPr>
              <w:jc w:val="right"/>
              <w:rPr>
                <w:rFonts w:ascii="宋体" w:hAnsi="宋体" w:eastAsia="宋体" w:cs="宋体"/>
                <w:kern w:val="0"/>
                <w:sz w:val="18"/>
                <w:szCs w:val="18"/>
              </w:rPr>
            </w:pPr>
          </w:p>
        </w:tc>
        <w:tc>
          <w:tcPr>
            <w:tcW w:w="864" w:type="pct"/>
            <w:shd w:val="clear" w:color="auto" w:fill="E7E6E6" w:themeFill="background2"/>
          </w:tcPr>
          <w:p>
            <w:pPr>
              <w:jc w:val="right"/>
              <w:rPr>
                <w:rFonts w:ascii="宋体" w:hAnsi="宋体" w:eastAsia="宋体" w:cs="宋体"/>
                <w:kern w:val="0"/>
                <w:sz w:val="18"/>
                <w:szCs w:val="18"/>
              </w:rPr>
            </w:pPr>
          </w:p>
        </w:tc>
        <w:tc>
          <w:tcPr>
            <w:tcW w:w="878" w:type="pct"/>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903" w:firstLineChars="500"/>
              <w:rPr>
                <w:rFonts w:ascii="宋体" w:hAnsi="宋体" w:eastAsia="宋体" w:cs="Times New Roman"/>
                <w:sz w:val="18"/>
                <w:szCs w:val="18"/>
              </w:rPr>
            </w:pPr>
            <w:r>
              <w:rPr>
                <w:rFonts w:hint="eastAsia" w:asciiTheme="minorEastAsia" w:hAnsiTheme="minorEastAsia"/>
                <w:b/>
                <w:sz w:val="18"/>
                <w:szCs w:val="21"/>
              </w:rPr>
              <w:t>经营活动产生的现金流量净额</w:t>
            </w:r>
          </w:p>
        </w:tc>
        <w:tc>
          <w:tcPr>
            <w:tcW w:w="901" w:type="pct"/>
            <w:shd w:val="clear" w:color="auto" w:fill="E7E6E6" w:themeFill="background2"/>
          </w:tcPr>
          <w:p>
            <w:pPr>
              <w:jc w:val="right"/>
              <w:rPr>
                <w:rFonts w:ascii="宋体" w:hAnsi="宋体" w:eastAsia="宋体" w:cs="宋体"/>
                <w:kern w:val="0"/>
                <w:sz w:val="18"/>
                <w:szCs w:val="18"/>
              </w:rPr>
            </w:pPr>
          </w:p>
        </w:tc>
        <w:tc>
          <w:tcPr>
            <w:tcW w:w="864" w:type="pct"/>
            <w:shd w:val="clear" w:color="auto" w:fill="E7E6E6" w:themeFill="background2"/>
          </w:tcPr>
          <w:p>
            <w:pPr>
              <w:jc w:val="right"/>
              <w:rPr>
                <w:rFonts w:ascii="宋体" w:hAnsi="宋体" w:eastAsia="宋体" w:cs="宋体"/>
                <w:kern w:val="0"/>
                <w:sz w:val="18"/>
                <w:szCs w:val="18"/>
              </w:rPr>
            </w:pPr>
          </w:p>
        </w:tc>
        <w:tc>
          <w:tcPr>
            <w:tcW w:w="878" w:type="pct"/>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b/>
                <w:sz w:val="18"/>
                <w:szCs w:val="21"/>
              </w:rPr>
              <w:t>二、投资活动产生的现金流量：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收回投资收到的现金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取得投资收益收到的现金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处置固定资产、无形资产和其他长期资产收回的现金净额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处置子公司及其他营业单位收到的现金净额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收到其他与投资活动有关的现金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1084" w:firstLineChars="600"/>
              <w:rPr>
                <w:rFonts w:ascii="宋体" w:hAnsi="宋体" w:eastAsia="宋体" w:cs="宋体"/>
                <w:sz w:val="18"/>
                <w:szCs w:val="18"/>
              </w:rPr>
            </w:pPr>
            <w:r>
              <w:rPr>
                <w:rFonts w:hint="eastAsia" w:asciiTheme="minorEastAsia" w:hAnsiTheme="minorEastAsia"/>
                <w:b/>
                <w:sz w:val="18"/>
                <w:szCs w:val="21"/>
              </w:rPr>
              <w:t>投资活动现金流入小计</w:t>
            </w:r>
          </w:p>
        </w:tc>
        <w:tc>
          <w:tcPr>
            <w:tcW w:w="901" w:type="pct"/>
            <w:tcBorders>
              <w:bottom w:val="single" w:color="5B9BD5" w:sz="4" w:space="0"/>
            </w:tcBorders>
            <w:shd w:val="clear" w:color="auto" w:fill="E7E6E6" w:themeFill="background2"/>
          </w:tcPr>
          <w:p>
            <w:pPr>
              <w:jc w:val="right"/>
              <w:rPr>
                <w:rFonts w:ascii="宋体" w:hAnsi="宋体" w:eastAsia="宋体" w:cs="宋体"/>
                <w:kern w:val="0"/>
                <w:sz w:val="18"/>
                <w:szCs w:val="18"/>
              </w:rPr>
            </w:pPr>
          </w:p>
        </w:tc>
        <w:tc>
          <w:tcPr>
            <w:tcW w:w="864" w:type="pct"/>
            <w:tcBorders>
              <w:bottom w:val="single" w:color="5B9BD5" w:sz="4" w:space="0"/>
            </w:tcBorders>
            <w:shd w:val="clear" w:color="auto" w:fill="E7E6E6" w:themeFill="background2"/>
          </w:tcPr>
          <w:p>
            <w:pPr>
              <w:jc w:val="right"/>
              <w:rPr>
                <w:rFonts w:ascii="宋体" w:hAnsi="宋体" w:eastAsia="宋体" w:cs="宋体"/>
                <w:kern w:val="0"/>
                <w:sz w:val="18"/>
                <w:szCs w:val="18"/>
              </w:rPr>
            </w:pPr>
          </w:p>
        </w:tc>
        <w:tc>
          <w:tcPr>
            <w:tcW w:w="878" w:type="pct"/>
            <w:tcBorders>
              <w:bottom w:val="single" w:color="5B9BD5" w:sz="4" w:space="0"/>
            </w:tcBorders>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购建固定资产、无形资产和其他长期资产支付的现金</w:t>
            </w:r>
          </w:p>
        </w:tc>
        <w:tc>
          <w:tcPr>
            <w:tcW w:w="901" w:type="pct"/>
            <w:shd w:val="clear" w:color="auto" w:fill="FFFFFF"/>
          </w:tcPr>
          <w:p>
            <w:pPr>
              <w:jc w:val="right"/>
              <w:rPr>
                <w:rFonts w:ascii="宋体" w:hAnsi="宋体" w:eastAsia="宋体" w:cs="宋体"/>
                <w:kern w:val="0"/>
                <w:sz w:val="18"/>
                <w:szCs w:val="18"/>
              </w:rPr>
            </w:pPr>
          </w:p>
        </w:tc>
        <w:tc>
          <w:tcPr>
            <w:tcW w:w="864" w:type="pct"/>
            <w:shd w:val="clear" w:color="auto" w:fill="FFFFFF"/>
          </w:tcPr>
          <w:p>
            <w:pPr>
              <w:jc w:val="right"/>
              <w:rPr>
                <w:rFonts w:ascii="宋体" w:hAnsi="宋体" w:eastAsia="宋体" w:cs="宋体"/>
                <w:kern w:val="0"/>
                <w:sz w:val="18"/>
                <w:szCs w:val="18"/>
              </w:rPr>
            </w:pPr>
          </w:p>
        </w:tc>
        <w:tc>
          <w:tcPr>
            <w:tcW w:w="878" w:type="pct"/>
            <w:shd w:val="clear"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投资支付的现金</w:t>
            </w:r>
          </w:p>
        </w:tc>
        <w:tc>
          <w:tcPr>
            <w:tcW w:w="901" w:type="pct"/>
            <w:shd w:val="clear" w:color="auto" w:fill="FFFFFF"/>
          </w:tcPr>
          <w:p>
            <w:pPr>
              <w:jc w:val="right"/>
              <w:rPr>
                <w:rFonts w:ascii="宋体" w:hAnsi="宋体" w:eastAsia="宋体" w:cs="宋体"/>
                <w:kern w:val="0"/>
                <w:sz w:val="18"/>
                <w:szCs w:val="18"/>
              </w:rPr>
            </w:pPr>
          </w:p>
        </w:tc>
        <w:tc>
          <w:tcPr>
            <w:tcW w:w="864" w:type="pct"/>
            <w:shd w:val="clear" w:color="auto" w:fill="FFFFFF"/>
          </w:tcPr>
          <w:p>
            <w:pPr>
              <w:jc w:val="right"/>
              <w:rPr>
                <w:rFonts w:ascii="宋体" w:hAnsi="宋体" w:eastAsia="宋体" w:cs="宋体"/>
                <w:kern w:val="0"/>
                <w:sz w:val="18"/>
                <w:szCs w:val="18"/>
              </w:rPr>
            </w:pPr>
          </w:p>
        </w:tc>
        <w:tc>
          <w:tcPr>
            <w:tcW w:w="878" w:type="pct"/>
            <w:shd w:val="clear"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取得子公司及其他营业单位支付的现金净额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支付其他与投资活动有关的现金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1084" w:firstLineChars="600"/>
              <w:rPr>
                <w:rFonts w:ascii="宋体" w:hAnsi="宋体" w:eastAsia="宋体" w:cs="宋体"/>
                <w:sz w:val="18"/>
                <w:szCs w:val="18"/>
              </w:rPr>
            </w:pPr>
            <w:r>
              <w:rPr>
                <w:rFonts w:hint="eastAsia" w:asciiTheme="minorEastAsia" w:hAnsiTheme="minorEastAsia"/>
                <w:b/>
                <w:sz w:val="18"/>
                <w:szCs w:val="21"/>
              </w:rPr>
              <w:t>投资活动现金流出小计</w:t>
            </w:r>
          </w:p>
        </w:tc>
        <w:tc>
          <w:tcPr>
            <w:tcW w:w="901" w:type="pct"/>
            <w:shd w:val="clear" w:color="auto" w:fill="E7E6E6" w:themeFill="background2"/>
          </w:tcPr>
          <w:p>
            <w:pPr>
              <w:jc w:val="right"/>
              <w:rPr>
                <w:rFonts w:ascii="宋体" w:hAnsi="宋体" w:eastAsia="宋体" w:cs="宋体"/>
                <w:kern w:val="0"/>
                <w:sz w:val="18"/>
                <w:szCs w:val="18"/>
              </w:rPr>
            </w:pPr>
          </w:p>
        </w:tc>
        <w:tc>
          <w:tcPr>
            <w:tcW w:w="864" w:type="pct"/>
            <w:shd w:val="clear" w:color="auto" w:fill="E7E6E6" w:themeFill="background2"/>
          </w:tcPr>
          <w:p>
            <w:pPr>
              <w:jc w:val="right"/>
              <w:rPr>
                <w:rFonts w:ascii="宋体" w:hAnsi="宋体" w:eastAsia="宋体" w:cs="宋体"/>
                <w:kern w:val="0"/>
                <w:sz w:val="18"/>
                <w:szCs w:val="18"/>
              </w:rPr>
            </w:pPr>
          </w:p>
        </w:tc>
        <w:tc>
          <w:tcPr>
            <w:tcW w:w="878" w:type="pct"/>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903" w:firstLineChars="500"/>
              <w:rPr>
                <w:rFonts w:ascii="宋体" w:hAnsi="宋体" w:eastAsia="宋体" w:cs="宋体"/>
                <w:sz w:val="18"/>
                <w:szCs w:val="18"/>
              </w:rPr>
            </w:pPr>
            <w:r>
              <w:rPr>
                <w:rFonts w:hint="eastAsia" w:asciiTheme="minorEastAsia" w:hAnsiTheme="minorEastAsia"/>
                <w:b/>
                <w:sz w:val="18"/>
                <w:szCs w:val="21"/>
              </w:rPr>
              <w:t>投资活动产生的现金流量净额</w:t>
            </w:r>
          </w:p>
        </w:tc>
        <w:tc>
          <w:tcPr>
            <w:tcW w:w="901" w:type="pct"/>
            <w:shd w:val="clear" w:color="auto" w:fill="E7E6E6" w:themeFill="background2"/>
          </w:tcPr>
          <w:p>
            <w:pPr>
              <w:jc w:val="right"/>
              <w:rPr>
                <w:rFonts w:ascii="宋体" w:hAnsi="宋体" w:eastAsia="宋体" w:cs="宋体"/>
                <w:kern w:val="0"/>
                <w:sz w:val="18"/>
                <w:szCs w:val="18"/>
              </w:rPr>
            </w:pPr>
          </w:p>
        </w:tc>
        <w:tc>
          <w:tcPr>
            <w:tcW w:w="864" w:type="pct"/>
            <w:shd w:val="clear" w:color="auto" w:fill="E7E6E6" w:themeFill="background2"/>
          </w:tcPr>
          <w:p>
            <w:pPr>
              <w:jc w:val="right"/>
              <w:rPr>
                <w:rFonts w:ascii="宋体" w:hAnsi="宋体" w:eastAsia="宋体" w:cs="宋体"/>
                <w:kern w:val="0"/>
                <w:sz w:val="18"/>
                <w:szCs w:val="18"/>
              </w:rPr>
            </w:pPr>
          </w:p>
        </w:tc>
        <w:tc>
          <w:tcPr>
            <w:tcW w:w="878" w:type="pct"/>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b/>
                <w:sz w:val="18"/>
                <w:szCs w:val="21"/>
              </w:rPr>
              <w:t>三、筹资活动产生的现金流量：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吸收投资收到的现金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其中：子公司吸收少数股东投资收到的现金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取得借款收到的现金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发行债券收到的现金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21"/>
              </w:rPr>
              <w:t>收到其他与筹资活动有关的现金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1084" w:firstLineChars="600"/>
              <w:rPr>
                <w:rFonts w:ascii="宋体" w:hAnsi="宋体" w:eastAsia="宋体" w:cs="宋体"/>
                <w:sz w:val="18"/>
                <w:szCs w:val="18"/>
              </w:rPr>
            </w:pPr>
            <w:r>
              <w:rPr>
                <w:rFonts w:hint="eastAsia" w:asciiTheme="minorEastAsia" w:hAnsiTheme="minorEastAsia"/>
                <w:b/>
                <w:sz w:val="18"/>
                <w:szCs w:val="21"/>
              </w:rPr>
              <w:t>筹资活动现金流入小计</w:t>
            </w:r>
          </w:p>
        </w:tc>
        <w:tc>
          <w:tcPr>
            <w:tcW w:w="901" w:type="pct"/>
            <w:shd w:val="clear" w:color="auto" w:fill="E7E6E6" w:themeFill="background2"/>
          </w:tcPr>
          <w:p>
            <w:pPr>
              <w:jc w:val="right"/>
              <w:rPr>
                <w:rFonts w:ascii="宋体" w:hAnsi="宋体" w:eastAsia="宋体" w:cs="宋体"/>
                <w:kern w:val="0"/>
                <w:sz w:val="18"/>
                <w:szCs w:val="18"/>
              </w:rPr>
            </w:pPr>
          </w:p>
        </w:tc>
        <w:tc>
          <w:tcPr>
            <w:tcW w:w="864" w:type="pct"/>
            <w:shd w:val="clear" w:color="auto" w:fill="E7E6E6" w:themeFill="background2"/>
          </w:tcPr>
          <w:p>
            <w:pPr>
              <w:jc w:val="right"/>
              <w:rPr>
                <w:rFonts w:ascii="宋体" w:hAnsi="宋体" w:eastAsia="宋体" w:cs="宋体"/>
                <w:kern w:val="0"/>
                <w:sz w:val="18"/>
                <w:szCs w:val="18"/>
              </w:rPr>
            </w:pPr>
          </w:p>
        </w:tc>
        <w:tc>
          <w:tcPr>
            <w:tcW w:w="878" w:type="pct"/>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偿还债务支付的现金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分配股利、利润或偿付利息支付的现金</w:t>
            </w:r>
          </w:p>
        </w:tc>
        <w:tc>
          <w:tcPr>
            <w:tcW w:w="901" w:type="pct"/>
            <w:shd w:val="clear" w:color="auto" w:fill="FFFFFF"/>
          </w:tcPr>
          <w:p>
            <w:pPr>
              <w:jc w:val="right"/>
              <w:rPr>
                <w:rFonts w:ascii="宋体" w:hAnsi="宋体" w:eastAsia="宋体" w:cs="宋体"/>
                <w:b/>
                <w:kern w:val="0"/>
                <w:sz w:val="18"/>
                <w:szCs w:val="18"/>
              </w:rPr>
            </w:pPr>
          </w:p>
        </w:tc>
        <w:tc>
          <w:tcPr>
            <w:tcW w:w="864" w:type="pct"/>
            <w:shd w:val="clear" w:color="auto" w:fill="FFFFFF"/>
          </w:tcPr>
          <w:p>
            <w:pPr>
              <w:jc w:val="right"/>
              <w:rPr>
                <w:rFonts w:ascii="宋体" w:hAnsi="宋体" w:eastAsia="宋体" w:cs="宋体"/>
                <w:b/>
                <w:kern w:val="0"/>
                <w:sz w:val="18"/>
                <w:szCs w:val="18"/>
              </w:rPr>
            </w:pPr>
          </w:p>
        </w:tc>
        <w:tc>
          <w:tcPr>
            <w:tcW w:w="878" w:type="pct"/>
            <w:shd w:val="clear"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其中：子公司支付给少数股东的股利、利润</w:t>
            </w:r>
          </w:p>
        </w:tc>
        <w:tc>
          <w:tcPr>
            <w:tcW w:w="901" w:type="pct"/>
            <w:shd w:val="clear" w:color="auto" w:fill="FFFFFF"/>
          </w:tcPr>
          <w:p>
            <w:pPr>
              <w:jc w:val="right"/>
              <w:rPr>
                <w:rFonts w:ascii="宋体" w:hAnsi="宋体" w:eastAsia="宋体" w:cs="宋体"/>
                <w:b/>
                <w:kern w:val="0"/>
                <w:sz w:val="18"/>
                <w:szCs w:val="18"/>
              </w:rPr>
            </w:pPr>
          </w:p>
        </w:tc>
        <w:tc>
          <w:tcPr>
            <w:tcW w:w="864" w:type="pct"/>
            <w:shd w:val="clear" w:color="auto" w:fill="FFFFFF"/>
          </w:tcPr>
          <w:p>
            <w:pPr>
              <w:jc w:val="right"/>
              <w:rPr>
                <w:rFonts w:ascii="宋体" w:hAnsi="宋体" w:eastAsia="宋体" w:cs="宋体"/>
                <w:b/>
                <w:kern w:val="0"/>
                <w:sz w:val="18"/>
                <w:szCs w:val="18"/>
              </w:rPr>
            </w:pPr>
          </w:p>
        </w:tc>
        <w:tc>
          <w:tcPr>
            <w:tcW w:w="878" w:type="pct"/>
            <w:shd w:val="clear"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sz w:val="18"/>
                <w:szCs w:val="21"/>
              </w:rPr>
              <w:t>支付其他与筹资活动有关的现金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1084" w:firstLineChars="600"/>
              <w:rPr>
                <w:rFonts w:ascii="宋体" w:hAnsi="宋体" w:eastAsia="宋体" w:cs="宋体"/>
                <w:sz w:val="18"/>
                <w:szCs w:val="18"/>
              </w:rPr>
            </w:pPr>
            <w:r>
              <w:rPr>
                <w:rFonts w:hint="eastAsia" w:asciiTheme="minorEastAsia" w:hAnsiTheme="minorEastAsia"/>
                <w:b/>
                <w:sz w:val="18"/>
                <w:szCs w:val="21"/>
              </w:rPr>
              <w:t>筹资活动现金流出小计</w:t>
            </w:r>
          </w:p>
        </w:tc>
        <w:tc>
          <w:tcPr>
            <w:tcW w:w="901" w:type="pct"/>
            <w:shd w:val="clear" w:color="auto" w:fill="E7E6E6" w:themeFill="background2"/>
          </w:tcPr>
          <w:p>
            <w:pPr>
              <w:jc w:val="right"/>
              <w:rPr>
                <w:rFonts w:ascii="宋体" w:hAnsi="宋体" w:eastAsia="宋体" w:cs="宋体"/>
                <w:kern w:val="0"/>
                <w:sz w:val="18"/>
                <w:szCs w:val="18"/>
              </w:rPr>
            </w:pPr>
          </w:p>
        </w:tc>
        <w:tc>
          <w:tcPr>
            <w:tcW w:w="864" w:type="pct"/>
            <w:shd w:val="clear" w:color="auto" w:fill="E7E6E6" w:themeFill="background2"/>
          </w:tcPr>
          <w:p>
            <w:pPr>
              <w:jc w:val="right"/>
              <w:rPr>
                <w:rFonts w:ascii="宋体" w:hAnsi="宋体" w:eastAsia="宋体" w:cs="宋体"/>
                <w:kern w:val="0"/>
                <w:sz w:val="18"/>
                <w:szCs w:val="18"/>
              </w:rPr>
            </w:pPr>
          </w:p>
        </w:tc>
        <w:tc>
          <w:tcPr>
            <w:tcW w:w="878" w:type="pct"/>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ind w:firstLine="813" w:firstLineChars="450"/>
              <w:rPr>
                <w:rFonts w:ascii="宋体" w:hAnsi="宋体" w:eastAsia="宋体" w:cs="宋体"/>
                <w:sz w:val="18"/>
                <w:szCs w:val="18"/>
              </w:rPr>
            </w:pPr>
            <w:r>
              <w:rPr>
                <w:rFonts w:hint="eastAsia" w:asciiTheme="minorEastAsia" w:hAnsiTheme="minorEastAsia"/>
                <w:b/>
                <w:sz w:val="18"/>
                <w:szCs w:val="21"/>
              </w:rPr>
              <w:t>筹资活动产生的现金流量净额</w:t>
            </w:r>
          </w:p>
        </w:tc>
        <w:tc>
          <w:tcPr>
            <w:tcW w:w="901" w:type="pct"/>
            <w:shd w:val="clear" w:color="auto" w:fill="E7E6E6" w:themeFill="background2"/>
          </w:tcPr>
          <w:p>
            <w:pPr>
              <w:jc w:val="right"/>
              <w:rPr>
                <w:rFonts w:ascii="宋体" w:hAnsi="宋体" w:eastAsia="宋体" w:cs="宋体"/>
                <w:kern w:val="0"/>
                <w:sz w:val="18"/>
                <w:szCs w:val="18"/>
              </w:rPr>
            </w:pPr>
          </w:p>
        </w:tc>
        <w:tc>
          <w:tcPr>
            <w:tcW w:w="864" w:type="pct"/>
            <w:shd w:val="clear" w:color="auto" w:fill="E7E6E6" w:themeFill="background2"/>
          </w:tcPr>
          <w:p>
            <w:pPr>
              <w:jc w:val="right"/>
              <w:rPr>
                <w:rFonts w:ascii="宋体" w:hAnsi="宋体" w:eastAsia="宋体" w:cs="宋体"/>
                <w:kern w:val="0"/>
                <w:sz w:val="18"/>
                <w:szCs w:val="18"/>
              </w:rPr>
            </w:pPr>
          </w:p>
        </w:tc>
        <w:tc>
          <w:tcPr>
            <w:tcW w:w="878" w:type="pct"/>
            <w:shd w:val="clear" w:color="auto" w:fill="E7E6E6" w:themeFill="background2"/>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b/>
                <w:sz w:val="18"/>
                <w:szCs w:val="21"/>
              </w:rPr>
              <w:t>四、汇率变动对现金及现金等价物的影响</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b/>
                <w:sz w:val="18"/>
                <w:szCs w:val="21"/>
              </w:rPr>
              <w:t>五、现金及现金等价物净增加额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Theme="minorEastAsia" w:hAnsiTheme="minorEastAsia"/>
                <w:sz w:val="18"/>
                <w:szCs w:val="21"/>
              </w:rPr>
              <w:t>加：期初现金及现金等价物余额</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Theme="minorEastAsia" w:hAnsiTheme="minorEastAsia"/>
                <w:b/>
                <w:sz w:val="18"/>
                <w:szCs w:val="21"/>
              </w:rPr>
              <w:t>六、期末现金及现金等价物余额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keepNext/>
        <w:keepLines/>
        <w:spacing w:before="100" w:after="100"/>
        <w:outlineLvl w:val="2"/>
        <w:rPr>
          <w:rFonts w:ascii="Times New Roman" w:hAnsi="Times New Roman" w:eastAsia="宋体" w:cs="Times New Roman"/>
          <w:b/>
          <w:bCs/>
          <w:szCs w:val="32"/>
          <w:lang w:val="zh-CN"/>
        </w:rPr>
      </w:pPr>
      <w:bookmarkStart w:id="80" w:name="_Toc16771"/>
      <w:bookmarkStart w:id="81" w:name="_Toc2143"/>
      <w:r>
        <w:rPr>
          <w:rFonts w:hint="eastAsia" w:ascii="Times New Roman" w:hAnsi="Times New Roman" w:eastAsia="宋体" w:cs="Times New Roman"/>
          <w:b/>
          <w:bCs/>
          <w:szCs w:val="32"/>
          <w:lang w:val="zh-CN"/>
        </w:rPr>
        <w:t>（六）母公司现金流量表</w:t>
      </w:r>
      <w:bookmarkEnd w:id="80"/>
      <w:bookmarkEnd w:id="81"/>
    </w:p>
    <w:p>
      <w:pPr>
        <w:ind w:left="6720" w:firstLine="420"/>
        <w:jc w:val="right"/>
        <w:rPr>
          <w:rFonts w:ascii="Calibri" w:hAnsi="Calibri" w:eastAsia="宋体" w:cs="Times New Roman"/>
        </w:rPr>
      </w:pPr>
      <w:r>
        <w:rPr>
          <w:rFonts w:hint="eastAsia" w:ascii="Calibri" w:hAnsi="Calibri" w:eastAsia="宋体" w:cs="Times New Roman"/>
        </w:rPr>
        <w:t>单位：元</w:t>
      </w:r>
      <w:r>
        <w:rPr>
          <w:rFonts w:ascii="Calibri" w:hAnsi="Calibri" w:eastAsia="宋体" w:cs="Times New Roman"/>
        </w:rPr>
        <w:t xml:space="preserve"> </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902"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附注</w:t>
            </w:r>
          </w:p>
        </w:tc>
        <w:tc>
          <w:tcPr>
            <w:tcW w:w="80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18"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b/>
                <w:sz w:val="18"/>
                <w:szCs w:val="21"/>
              </w:rPr>
              <w:t>一、经营活动产生的现金流量：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销售商品、提供劳务收到的现金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收取</w:t>
            </w:r>
            <w:r>
              <w:rPr>
                <w:rFonts w:asciiTheme="minorEastAsia" w:hAnsiTheme="minorEastAsia"/>
                <w:sz w:val="18"/>
                <w:szCs w:val="21"/>
              </w:rPr>
              <w:t>利息、手续费及佣金的现金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拆入资金净增加额</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回购业务资金净增加额</w:t>
            </w:r>
          </w:p>
        </w:tc>
        <w:tc>
          <w:tcPr>
            <w:tcW w:w="902" w:type="pct"/>
            <w:shd w:val="clear" w:color="auto" w:fill="FFFFFF"/>
          </w:tcPr>
          <w:p>
            <w:pPr>
              <w:widowControl/>
              <w:rPr>
                <w:rFonts w:ascii="宋体" w:hAnsi="宋体" w:eastAsia="宋体" w:cs="宋体"/>
                <w:kern w:val="0"/>
                <w:sz w:val="18"/>
                <w:szCs w:val="21"/>
              </w:rPr>
            </w:pPr>
          </w:p>
        </w:tc>
        <w:tc>
          <w:tcPr>
            <w:tcW w:w="804" w:type="pct"/>
            <w:shd w:val="clear" w:color="auto" w:fill="FFFFFF"/>
          </w:tcPr>
          <w:p>
            <w:pPr>
              <w:widowControl/>
              <w:rPr>
                <w:rFonts w:ascii="宋体" w:hAnsi="宋体" w:eastAsia="宋体" w:cs="宋体"/>
                <w:kern w:val="0"/>
                <w:sz w:val="18"/>
                <w:szCs w:val="21"/>
              </w:rPr>
            </w:pPr>
          </w:p>
        </w:tc>
        <w:tc>
          <w:tcPr>
            <w:tcW w:w="1018" w:type="pct"/>
            <w:shd w:val="clear"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收到的税费返还</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收到其他与经营活动有关的现金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993" w:firstLineChars="550"/>
              <w:rPr>
                <w:rFonts w:ascii="宋体" w:hAnsi="宋体" w:eastAsia="宋体" w:cs="宋体"/>
                <w:sz w:val="18"/>
                <w:szCs w:val="21"/>
              </w:rPr>
            </w:pPr>
            <w:r>
              <w:rPr>
                <w:rFonts w:hint="eastAsia" w:asciiTheme="minorEastAsia" w:hAnsiTheme="minorEastAsia"/>
                <w:b/>
                <w:sz w:val="18"/>
                <w:szCs w:val="21"/>
              </w:rPr>
              <w:t>经营活动现金流入小计</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购买商品、接受劳务支付的现金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支付利息、手续费及佣金的现金</w:t>
            </w:r>
          </w:p>
        </w:tc>
        <w:tc>
          <w:tcPr>
            <w:tcW w:w="902" w:type="pct"/>
            <w:shd w:val="clear" w:color="auto" w:fill="FFFFFF"/>
          </w:tcPr>
          <w:p>
            <w:pPr>
              <w:widowControl/>
              <w:jc w:val="left"/>
              <w:rPr>
                <w:rFonts w:ascii="宋体" w:hAnsi="宋体" w:eastAsia="宋体" w:cs="宋体"/>
                <w:b/>
                <w:kern w:val="0"/>
                <w:sz w:val="18"/>
                <w:szCs w:val="21"/>
              </w:rPr>
            </w:pPr>
          </w:p>
        </w:tc>
        <w:tc>
          <w:tcPr>
            <w:tcW w:w="804" w:type="pct"/>
            <w:shd w:val="clear" w:color="auto" w:fill="FFFFFF"/>
          </w:tcPr>
          <w:p>
            <w:pPr>
              <w:widowControl/>
              <w:jc w:val="left"/>
              <w:rPr>
                <w:rFonts w:ascii="宋体" w:hAnsi="宋体" w:eastAsia="宋体" w:cs="宋体"/>
                <w:b/>
                <w:kern w:val="0"/>
                <w:sz w:val="18"/>
                <w:szCs w:val="21"/>
              </w:rPr>
            </w:pPr>
          </w:p>
        </w:tc>
        <w:tc>
          <w:tcPr>
            <w:tcW w:w="1018" w:type="pct"/>
            <w:shd w:val="clear" w:color="auto" w:fill="FFFFFF"/>
          </w:tcPr>
          <w:p>
            <w:pPr>
              <w:widowControl/>
              <w:jc w:val="lef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客户</w:t>
            </w:r>
            <w:r>
              <w:rPr>
                <w:rFonts w:asciiTheme="minorEastAsia" w:hAnsiTheme="minorEastAsia"/>
                <w:sz w:val="18"/>
                <w:szCs w:val="21"/>
              </w:rPr>
              <w:t>贷款及垫款</w:t>
            </w:r>
            <w:r>
              <w:rPr>
                <w:rFonts w:hint="eastAsia" w:asciiTheme="minorEastAsia" w:hAnsiTheme="minorEastAsia"/>
                <w:sz w:val="18"/>
                <w:szCs w:val="21"/>
              </w:rPr>
              <w:t>净增加额</w:t>
            </w:r>
          </w:p>
        </w:tc>
        <w:tc>
          <w:tcPr>
            <w:tcW w:w="902" w:type="pct"/>
            <w:shd w:val="clear" w:color="auto" w:fill="FFFFFF"/>
          </w:tcPr>
          <w:p>
            <w:pPr>
              <w:widowControl/>
              <w:jc w:val="left"/>
              <w:rPr>
                <w:rFonts w:ascii="宋体" w:hAnsi="宋体" w:eastAsia="宋体" w:cs="宋体"/>
                <w:b/>
                <w:kern w:val="0"/>
                <w:sz w:val="18"/>
                <w:szCs w:val="21"/>
              </w:rPr>
            </w:pPr>
          </w:p>
        </w:tc>
        <w:tc>
          <w:tcPr>
            <w:tcW w:w="804" w:type="pct"/>
            <w:shd w:val="clear" w:color="auto" w:fill="FFFFFF"/>
          </w:tcPr>
          <w:p>
            <w:pPr>
              <w:widowControl/>
              <w:jc w:val="left"/>
              <w:rPr>
                <w:rFonts w:ascii="宋体" w:hAnsi="宋体" w:eastAsia="宋体" w:cs="宋体"/>
                <w:b/>
                <w:kern w:val="0"/>
                <w:sz w:val="18"/>
                <w:szCs w:val="21"/>
              </w:rPr>
            </w:pPr>
          </w:p>
        </w:tc>
        <w:tc>
          <w:tcPr>
            <w:tcW w:w="1018" w:type="pct"/>
            <w:shd w:val="clear" w:color="auto" w:fill="FFFFFF"/>
          </w:tcPr>
          <w:p>
            <w:pPr>
              <w:widowControl/>
              <w:jc w:val="left"/>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拆出</w:t>
            </w:r>
            <w:r>
              <w:rPr>
                <w:rFonts w:asciiTheme="minorEastAsia" w:hAnsiTheme="minorEastAsia"/>
                <w:sz w:val="18"/>
                <w:szCs w:val="21"/>
              </w:rPr>
              <w:t>资金净增加额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为交易目的而持有的金融资产净增加额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color w:val="000000" w:themeColor="text1"/>
                <w:sz w:val="18"/>
                <w:szCs w:val="21"/>
                <w14:textFill>
                  <w14:solidFill>
                    <w14:schemeClr w14:val="tx1"/>
                  </w14:solidFill>
                </w14:textFill>
              </w:rPr>
              <w:t>返售业务</w:t>
            </w:r>
            <w:r>
              <w:rPr>
                <w:rFonts w:asciiTheme="minorEastAsia" w:hAnsiTheme="minorEastAsia"/>
                <w:color w:val="000000" w:themeColor="text1"/>
                <w:sz w:val="18"/>
                <w:szCs w:val="21"/>
                <w14:textFill>
                  <w14:solidFill>
                    <w14:schemeClr w14:val="tx1"/>
                  </w14:solidFill>
                </w14:textFill>
              </w:rPr>
              <w:t>资金净增加额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支付给职工以及为职工支付的现金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支付的各项税费</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支付其他与经营活动有关的现金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1084" w:firstLineChars="600"/>
              <w:rPr>
                <w:rFonts w:ascii="宋体" w:hAnsi="宋体" w:eastAsia="宋体" w:cs="宋体"/>
                <w:b/>
                <w:sz w:val="18"/>
                <w:szCs w:val="21"/>
              </w:rPr>
            </w:pPr>
            <w:r>
              <w:rPr>
                <w:rFonts w:hint="eastAsia" w:asciiTheme="minorEastAsia" w:hAnsiTheme="minorEastAsia"/>
                <w:b/>
                <w:sz w:val="18"/>
                <w:szCs w:val="21"/>
              </w:rPr>
              <w:t>经营活动现金流出小计</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813" w:firstLineChars="450"/>
              <w:rPr>
                <w:rFonts w:ascii="宋体" w:hAnsi="宋体" w:eastAsia="宋体" w:cs="宋体"/>
                <w:sz w:val="18"/>
                <w:szCs w:val="21"/>
              </w:rPr>
            </w:pPr>
            <w:r>
              <w:rPr>
                <w:rFonts w:hint="eastAsia" w:asciiTheme="minorEastAsia" w:hAnsiTheme="minorEastAsia"/>
                <w:b/>
                <w:sz w:val="18"/>
                <w:szCs w:val="21"/>
              </w:rPr>
              <w:t>经营活动产生的现金流量净额</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b/>
                <w:sz w:val="18"/>
                <w:szCs w:val="21"/>
              </w:rPr>
              <w:t>二、投资活动产生的现金流量：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收回投资收到的现金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取得投资收益收到的现金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处置固定资产、无形资产和其他长期资产收回的现金净额</w:t>
            </w:r>
          </w:p>
        </w:tc>
        <w:tc>
          <w:tcPr>
            <w:tcW w:w="902" w:type="pct"/>
            <w:shd w:val="clear" w:color="auto" w:fill="FFFFFF"/>
          </w:tcPr>
          <w:p>
            <w:pPr>
              <w:widowControl/>
              <w:rPr>
                <w:rFonts w:ascii="宋体" w:hAnsi="宋体" w:eastAsia="宋体" w:cs="宋体"/>
                <w:kern w:val="0"/>
                <w:sz w:val="18"/>
                <w:szCs w:val="21"/>
              </w:rPr>
            </w:pPr>
          </w:p>
        </w:tc>
        <w:tc>
          <w:tcPr>
            <w:tcW w:w="804" w:type="pct"/>
            <w:shd w:val="clear" w:color="auto" w:fill="FFFFFF"/>
          </w:tcPr>
          <w:p>
            <w:pPr>
              <w:widowControl/>
              <w:rPr>
                <w:rFonts w:ascii="宋体" w:hAnsi="宋体" w:eastAsia="宋体" w:cs="宋体"/>
                <w:kern w:val="0"/>
                <w:sz w:val="18"/>
                <w:szCs w:val="21"/>
              </w:rPr>
            </w:pPr>
          </w:p>
        </w:tc>
        <w:tc>
          <w:tcPr>
            <w:tcW w:w="1018" w:type="pct"/>
            <w:shd w:val="clear"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18"/>
              </w:rPr>
              <w:t>处置子公司及其他营业单位收到的现金净额</w:t>
            </w:r>
          </w:p>
        </w:tc>
        <w:tc>
          <w:tcPr>
            <w:tcW w:w="902" w:type="pct"/>
            <w:shd w:val="clear" w:color="auto" w:fill="FFFFFF"/>
          </w:tcPr>
          <w:p>
            <w:pPr>
              <w:widowControl/>
              <w:rPr>
                <w:rFonts w:ascii="宋体" w:hAnsi="宋体" w:eastAsia="宋体" w:cs="宋体"/>
                <w:kern w:val="0"/>
                <w:sz w:val="18"/>
                <w:szCs w:val="21"/>
              </w:rPr>
            </w:pPr>
          </w:p>
        </w:tc>
        <w:tc>
          <w:tcPr>
            <w:tcW w:w="804" w:type="pct"/>
            <w:shd w:val="clear" w:color="auto" w:fill="FFFFFF"/>
          </w:tcPr>
          <w:p>
            <w:pPr>
              <w:widowControl/>
              <w:rPr>
                <w:rFonts w:ascii="宋体" w:hAnsi="宋体" w:eastAsia="宋体" w:cs="宋体"/>
                <w:kern w:val="0"/>
                <w:sz w:val="18"/>
                <w:szCs w:val="21"/>
              </w:rPr>
            </w:pPr>
          </w:p>
        </w:tc>
        <w:tc>
          <w:tcPr>
            <w:tcW w:w="1018" w:type="pct"/>
            <w:shd w:val="clear"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收到其他与投资活动有关的现金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993" w:firstLineChars="550"/>
              <w:rPr>
                <w:rFonts w:ascii="宋体" w:hAnsi="宋体" w:eastAsia="宋体" w:cs="宋体"/>
                <w:sz w:val="18"/>
                <w:szCs w:val="21"/>
              </w:rPr>
            </w:pPr>
            <w:r>
              <w:rPr>
                <w:rFonts w:hint="eastAsia" w:asciiTheme="minorEastAsia" w:hAnsiTheme="minorEastAsia"/>
                <w:b/>
                <w:sz w:val="18"/>
                <w:szCs w:val="21"/>
              </w:rPr>
              <w:t>投资活动现金流入小计</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21"/>
              </w:rPr>
              <w:t>购建固定资产、无形资产和其他长期资产支付的现金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Times New Roman"/>
                <w:sz w:val="18"/>
                <w:szCs w:val="21"/>
              </w:rPr>
            </w:pPr>
            <w:r>
              <w:rPr>
                <w:rFonts w:hint="eastAsia" w:asciiTheme="minorEastAsia" w:hAnsiTheme="minorEastAsia"/>
                <w:sz w:val="18"/>
                <w:szCs w:val="21"/>
              </w:rPr>
              <w:t>投资支付的现金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sz w:val="18"/>
                <w:szCs w:val="18"/>
              </w:rPr>
              <w:t>取得子公司及其他营业单位支付的现金净额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支付其他与投资活动有关的现金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993" w:firstLineChars="550"/>
              <w:rPr>
                <w:rFonts w:ascii="宋体" w:hAnsi="宋体" w:eastAsia="宋体" w:cs="宋体"/>
                <w:sz w:val="18"/>
                <w:szCs w:val="21"/>
              </w:rPr>
            </w:pPr>
            <w:r>
              <w:rPr>
                <w:rFonts w:hint="eastAsia" w:asciiTheme="minorEastAsia" w:hAnsiTheme="minorEastAsia"/>
                <w:b/>
                <w:sz w:val="18"/>
                <w:szCs w:val="21"/>
              </w:rPr>
              <w:t>投资活动现金流出小计</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813" w:firstLineChars="450"/>
              <w:rPr>
                <w:rFonts w:ascii="宋体" w:hAnsi="宋体" w:eastAsia="宋体" w:cs="宋体"/>
                <w:sz w:val="18"/>
                <w:szCs w:val="21"/>
              </w:rPr>
            </w:pPr>
            <w:r>
              <w:rPr>
                <w:rFonts w:hint="eastAsia" w:asciiTheme="minorEastAsia" w:hAnsiTheme="minorEastAsia"/>
                <w:b/>
                <w:sz w:val="18"/>
                <w:szCs w:val="21"/>
              </w:rPr>
              <w:t>投资活动产生的现金流量净额</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Theme="minorEastAsia" w:hAnsiTheme="minorEastAsia"/>
                <w:b/>
                <w:sz w:val="18"/>
                <w:szCs w:val="21"/>
              </w:rPr>
              <w:t>三、筹资活动产生的现金流量：</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吸收投资收到的现金</w:t>
            </w:r>
          </w:p>
        </w:tc>
        <w:tc>
          <w:tcPr>
            <w:tcW w:w="902" w:type="pct"/>
            <w:shd w:val="clear" w:color="auto" w:fill="FFFFFF"/>
          </w:tcPr>
          <w:p>
            <w:pPr>
              <w:widowControl/>
              <w:rPr>
                <w:rFonts w:ascii="宋体" w:hAnsi="宋体" w:eastAsia="宋体" w:cs="宋体"/>
                <w:kern w:val="0"/>
                <w:sz w:val="18"/>
                <w:szCs w:val="21"/>
              </w:rPr>
            </w:pPr>
          </w:p>
        </w:tc>
        <w:tc>
          <w:tcPr>
            <w:tcW w:w="804" w:type="pct"/>
            <w:shd w:val="clear" w:color="auto" w:fill="FFFFFF"/>
          </w:tcPr>
          <w:p>
            <w:pPr>
              <w:widowControl/>
              <w:rPr>
                <w:rFonts w:ascii="宋体" w:hAnsi="宋体" w:eastAsia="宋体" w:cs="宋体"/>
                <w:kern w:val="0"/>
                <w:sz w:val="18"/>
                <w:szCs w:val="21"/>
              </w:rPr>
            </w:pPr>
          </w:p>
        </w:tc>
        <w:tc>
          <w:tcPr>
            <w:tcW w:w="1018" w:type="pct"/>
            <w:shd w:val="clear"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取得借款收到的现金</w:t>
            </w:r>
          </w:p>
        </w:tc>
        <w:tc>
          <w:tcPr>
            <w:tcW w:w="902" w:type="pct"/>
            <w:shd w:val="clear" w:color="auto" w:fill="FFFFFF"/>
          </w:tcPr>
          <w:p>
            <w:pPr>
              <w:widowControl/>
              <w:rPr>
                <w:rFonts w:ascii="宋体" w:hAnsi="宋体" w:eastAsia="宋体" w:cs="宋体"/>
                <w:kern w:val="0"/>
                <w:sz w:val="18"/>
                <w:szCs w:val="21"/>
              </w:rPr>
            </w:pPr>
          </w:p>
        </w:tc>
        <w:tc>
          <w:tcPr>
            <w:tcW w:w="804" w:type="pct"/>
            <w:shd w:val="clear" w:color="auto" w:fill="FFFFFF"/>
          </w:tcPr>
          <w:p>
            <w:pPr>
              <w:widowControl/>
              <w:rPr>
                <w:rFonts w:ascii="宋体" w:hAnsi="宋体" w:eastAsia="宋体" w:cs="宋体"/>
                <w:kern w:val="0"/>
                <w:sz w:val="18"/>
                <w:szCs w:val="21"/>
              </w:rPr>
            </w:pPr>
          </w:p>
        </w:tc>
        <w:tc>
          <w:tcPr>
            <w:tcW w:w="1018" w:type="pct"/>
            <w:shd w:val="clear"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发行债券收到的现金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收到其他与筹资活动有关的现金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1084" w:firstLineChars="600"/>
              <w:rPr>
                <w:rFonts w:ascii="宋体" w:hAnsi="宋体" w:eastAsia="宋体" w:cs="宋体"/>
                <w:sz w:val="18"/>
                <w:szCs w:val="21"/>
              </w:rPr>
            </w:pPr>
            <w:r>
              <w:rPr>
                <w:rFonts w:hint="eastAsia" w:asciiTheme="minorEastAsia" w:hAnsiTheme="minorEastAsia"/>
                <w:b/>
                <w:sz w:val="18"/>
                <w:szCs w:val="21"/>
              </w:rPr>
              <w:t>筹资活动现金流入小计</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Theme="minorEastAsia" w:hAnsiTheme="minorEastAsia"/>
                <w:sz w:val="18"/>
                <w:szCs w:val="21"/>
              </w:rPr>
              <w:t>偿还债务支付的现金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Theme="minorEastAsia" w:hAnsiTheme="minorEastAsia"/>
                <w:sz w:val="18"/>
                <w:szCs w:val="21"/>
              </w:rPr>
            </w:pPr>
            <w:r>
              <w:rPr>
                <w:rFonts w:hint="eastAsia" w:asciiTheme="minorEastAsia" w:hAnsiTheme="minorEastAsia"/>
                <w:sz w:val="18"/>
                <w:szCs w:val="21"/>
              </w:rPr>
              <w:t>分配股利、利润或偿付利息支付的现金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Theme="minorEastAsia" w:hAnsiTheme="minorEastAsia"/>
                <w:sz w:val="18"/>
                <w:szCs w:val="21"/>
              </w:rPr>
            </w:pPr>
            <w:r>
              <w:rPr>
                <w:rFonts w:hint="eastAsia" w:asciiTheme="minorEastAsia" w:hAnsiTheme="minorEastAsia"/>
                <w:sz w:val="18"/>
                <w:szCs w:val="21"/>
              </w:rPr>
              <w:t>支付其他与筹资活动有关的现金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1084" w:firstLineChars="600"/>
              <w:rPr>
                <w:rFonts w:asciiTheme="minorEastAsia" w:hAnsiTheme="minorEastAsia"/>
                <w:sz w:val="18"/>
                <w:szCs w:val="21"/>
              </w:rPr>
            </w:pPr>
            <w:r>
              <w:rPr>
                <w:rFonts w:hint="eastAsia" w:asciiTheme="minorEastAsia" w:hAnsiTheme="minorEastAsia"/>
                <w:b/>
                <w:sz w:val="18"/>
                <w:szCs w:val="21"/>
              </w:rPr>
              <w:t>筹资活动现金流出小计</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ind w:firstLine="813" w:firstLineChars="450"/>
              <w:rPr>
                <w:rFonts w:asciiTheme="minorEastAsia" w:hAnsiTheme="minorEastAsia"/>
                <w:sz w:val="18"/>
                <w:szCs w:val="21"/>
              </w:rPr>
            </w:pPr>
            <w:r>
              <w:rPr>
                <w:rFonts w:hint="eastAsia" w:asciiTheme="minorEastAsia" w:hAnsiTheme="minorEastAsia"/>
                <w:b/>
                <w:sz w:val="18"/>
                <w:szCs w:val="21"/>
              </w:rPr>
              <w:t>筹资活动产生的现金流量净额</w:t>
            </w:r>
          </w:p>
        </w:tc>
        <w:tc>
          <w:tcPr>
            <w:tcW w:w="902" w:type="pct"/>
            <w:shd w:val="clear" w:color="auto" w:fill="E7E6E6" w:themeFill="background2"/>
          </w:tcPr>
          <w:p>
            <w:pPr>
              <w:widowControl/>
              <w:rPr>
                <w:rFonts w:ascii="宋体" w:hAnsi="宋体" w:eastAsia="宋体" w:cs="宋体"/>
                <w:kern w:val="0"/>
                <w:sz w:val="18"/>
                <w:szCs w:val="21"/>
              </w:rPr>
            </w:pPr>
          </w:p>
        </w:tc>
        <w:tc>
          <w:tcPr>
            <w:tcW w:w="804" w:type="pct"/>
            <w:shd w:val="clear" w:color="auto" w:fill="E7E6E6" w:themeFill="background2"/>
          </w:tcPr>
          <w:p>
            <w:pPr>
              <w:widowControl/>
              <w:rPr>
                <w:rFonts w:ascii="宋体" w:hAnsi="宋体" w:eastAsia="宋体" w:cs="宋体"/>
                <w:kern w:val="0"/>
                <w:sz w:val="18"/>
                <w:szCs w:val="21"/>
              </w:rPr>
            </w:pPr>
          </w:p>
        </w:tc>
        <w:tc>
          <w:tcPr>
            <w:tcW w:w="1018" w:type="pct"/>
            <w:shd w:val="clear" w:color="auto" w:fill="E7E6E6" w:themeFill="background2"/>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Theme="minorEastAsia" w:hAnsiTheme="minorEastAsia"/>
                <w:sz w:val="18"/>
                <w:szCs w:val="21"/>
              </w:rPr>
            </w:pPr>
            <w:r>
              <w:rPr>
                <w:rFonts w:hint="eastAsia" w:asciiTheme="minorEastAsia" w:hAnsiTheme="minorEastAsia"/>
                <w:b/>
                <w:sz w:val="18"/>
                <w:szCs w:val="21"/>
              </w:rPr>
              <w:t>四、汇率变动对现金及现金等价物的影响</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Theme="minorEastAsia" w:hAnsiTheme="minorEastAsia"/>
                <w:sz w:val="18"/>
                <w:szCs w:val="21"/>
              </w:rPr>
            </w:pPr>
            <w:r>
              <w:rPr>
                <w:rFonts w:hint="eastAsia" w:asciiTheme="minorEastAsia" w:hAnsiTheme="minorEastAsia"/>
                <w:b/>
                <w:sz w:val="18"/>
                <w:szCs w:val="21"/>
              </w:rPr>
              <w:t>五、现金及现金等价物净增加额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Theme="minorEastAsia" w:hAnsiTheme="minorEastAsia"/>
                <w:sz w:val="18"/>
                <w:szCs w:val="21"/>
              </w:rPr>
            </w:pPr>
            <w:r>
              <w:rPr>
                <w:rFonts w:hint="eastAsia" w:asciiTheme="minorEastAsia" w:hAnsiTheme="minorEastAsia"/>
                <w:sz w:val="18"/>
                <w:szCs w:val="21"/>
              </w:rPr>
              <w:t>加：期初现金及现金等价物余额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Theme="minorEastAsia" w:hAnsiTheme="minorEastAsia"/>
                <w:sz w:val="18"/>
                <w:szCs w:val="21"/>
              </w:rPr>
            </w:pPr>
            <w:r>
              <w:rPr>
                <w:rFonts w:hint="eastAsia" w:asciiTheme="minorEastAsia" w:hAnsiTheme="minorEastAsia"/>
                <w:b/>
                <w:sz w:val="18"/>
                <w:szCs w:val="21"/>
              </w:rPr>
              <w:t>六、期末现金及现金等价物余额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bl>
    <w:p>
      <w:pPr>
        <w:widowControl/>
        <w:ind w:right="272"/>
        <w:jc w:val="left"/>
        <w:rPr>
          <w:rFonts w:ascii="宋体" w:hAnsi="宋体" w:eastAsia="宋体" w:cs="Times New Roman"/>
          <w:b/>
          <w:bCs/>
          <w:color w:val="000000"/>
          <w:szCs w:val="18"/>
        </w:rPr>
        <w:sectPr>
          <w:footerReference r:id="rId4" w:type="default"/>
          <w:pgSz w:w="11907" w:h="16839"/>
          <w:pgMar w:top="1440" w:right="1797" w:bottom="1440" w:left="1797" w:header="851" w:footer="992" w:gutter="0"/>
          <w:cols w:space="425" w:num="1"/>
          <w:docGrid w:type="lines" w:linePitch="312" w:charSpace="0"/>
        </w:sectPr>
      </w:pPr>
    </w:p>
    <w:p>
      <w:pPr>
        <w:keepNext/>
        <w:keepLines/>
        <w:spacing w:before="100" w:after="100"/>
        <w:outlineLvl w:val="2"/>
        <w:rPr>
          <w:rFonts w:ascii="Times New Roman" w:hAnsi="Times New Roman" w:eastAsia="宋体" w:cs="Times New Roman"/>
          <w:b/>
          <w:bCs/>
          <w:szCs w:val="32"/>
          <w:lang w:val="zh-CN"/>
        </w:rPr>
      </w:pPr>
      <w:bookmarkStart w:id="82" w:name="_Toc24206"/>
      <w:bookmarkStart w:id="83" w:name="_Toc14783"/>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七</w:t>
      </w: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合并</w:t>
      </w:r>
      <w:r>
        <w:rPr>
          <w:rFonts w:hint="eastAsia" w:ascii="Times New Roman" w:hAnsi="Times New Roman" w:eastAsia="宋体" w:cs="Times New Roman"/>
          <w:b/>
          <w:bCs/>
          <w:szCs w:val="32"/>
          <w:lang w:val="zh-CN"/>
        </w:rPr>
        <w:t>股东权益变动表</w:t>
      </w:r>
      <w:bookmarkEnd w:id="82"/>
      <w:bookmarkEnd w:id="83"/>
    </w:p>
    <w:p>
      <w:pPr>
        <w:jc w:val="right"/>
        <w:rPr>
          <w:rFonts w:ascii="Calibri" w:hAnsi="Calibri" w:eastAsia="宋体" w:cs="宋体"/>
          <w:kern w:val="0"/>
          <w:sz w:val="18"/>
        </w:rPr>
      </w:pPr>
      <w:r>
        <w:rPr>
          <w:rFonts w:hint="eastAsia" w:ascii="Calibri" w:hAnsi="Calibri" w:eastAsia="宋体" w:cs="Times New Roman"/>
        </w:rPr>
        <w:t>单位：元</w:t>
      </w:r>
    </w:p>
    <w:tbl>
      <w:tblPr>
        <w:tblStyle w:val="45"/>
        <w:tblW w:w="1495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93"/>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0989" w:type="dxa"/>
            <w:gridSpan w:val="13"/>
            <w:shd w:val="clear" w:color="auto" w:fill="E7E6E6" w:themeFill="background2"/>
          </w:tcPr>
          <w:p>
            <w:pPr>
              <w:jc w:val="center"/>
              <w:rPr>
                <w:rFonts w:ascii="Calibri" w:hAnsi="Calibri" w:eastAsia="宋体" w:cs="Times New Roman"/>
                <w:b/>
                <w:color w:val="000000"/>
                <w:sz w:val="18"/>
                <w:szCs w:val="18"/>
              </w:rPr>
            </w:pPr>
            <w:r>
              <w:rPr>
                <w:rFonts w:hint="eastAsia" w:ascii="Times New Roman" w:hAnsi="Times New Roman" w:eastAsia="宋体" w:cs="Times New Roman"/>
                <w:b/>
                <w:sz w:val="18"/>
                <w:szCs w:val="18"/>
              </w:rPr>
              <w:t>2024年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0" w:hRule="atLeast"/>
          <w:jc w:val="center"/>
        </w:trPr>
        <w:tc>
          <w:tcPr>
            <w:tcW w:w="3966" w:type="dxa"/>
            <w:vMerge w:val="continue"/>
            <w:shd w:val="clear" w:color="auto" w:fill="E7E6E6" w:themeFill="background2"/>
            <w:vAlign w:val="center"/>
          </w:tcPr>
          <w:p>
            <w:pPr>
              <w:jc w:val="center"/>
              <w:rPr>
                <w:rFonts w:ascii="宋体" w:hAnsi="宋体" w:eastAsia="宋体" w:cs="Times New Roman"/>
                <w:b/>
                <w:color w:val="000000"/>
                <w:sz w:val="18"/>
                <w:szCs w:val="18"/>
              </w:rPr>
            </w:pPr>
          </w:p>
        </w:tc>
        <w:tc>
          <w:tcPr>
            <w:tcW w:w="9146" w:type="dxa"/>
            <w:gridSpan w:val="11"/>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3"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50"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86" w:type="dxa"/>
            <w:gridSpan w:val="3"/>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709"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0"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851" w:type="dxa"/>
            <w:vMerge w:val="restart"/>
            <w:tcBorders>
              <w:righ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9" w:type="dxa"/>
            <w:vMerge w:val="restart"/>
            <w:tcBorders>
              <w:lef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08"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1"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0"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continue"/>
            <w:shd w:val="clear" w:color="auto" w:fill="D9D9D9"/>
          </w:tcPr>
          <w:p>
            <w:pPr>
              <w:jc w:val="center"/>
              <w:rPr>
                <w:rFonts w:ascii="Calibri" w:hAnsi="Calibri" w:eastAsia="宋体" w:cs="Times New Roman"/>
                <w:b/>
                <w:color w:val="000000"/>
                <w:sz w:val="18"/>
                <w:szCs w:val="18"/>
              </w:rPr>
            </w:pPr>
          </w:p>
        </w:tc>
        <w:tc>
          <w:tcPr>
            <w:tcW w:w="921" w:type="dxa"/>
            <w:tcBorders>
              <w:righ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50" w:type="dxa"/>
            <w:tcBorders>
              <w:left w:val="single" w:color="5B9BD5" w:sz="4" w:space="0"/>
              <w:righ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15" w:type="dxa"/>
            <w:tcBorders>
              <w:lef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709"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hint="eastAsia" w:ascii="Calibri" w:hAnsi="Calibri" w:eastAsia="宋体" w:cs="Times New Roman"/>
                <w:color w:val="000000"/>
                <w:sz w:val="18"/>
                <w:szCs w:val="18"/>
              </w:rPr>
              <w:t>其他权益工具持有者投入资本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5</w:t>
            </w:r>
            <w:r>
              <w:rPr>
                <w:rFonts w:ascii="宋体" w:hAnsi="宋体" w:eastAsia="宋体" w:cs="Times New Roman"/>
                <w:color w:val="000000"/>
                <w:sz w:val="18"/>
                <w:szCs w:val="18"/>
              </w:rPr>
              <w:t>．</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widowControl/>
        <w:ind w:right="270"/>
        <w:jc w:val="left"/>
        <w:rPr>
          <w:rFonts w:ascii="宋体" w:hAnsi="宋体" w:eastAsia="宋体" w:cs="宋体"/>
          <w:color w:val="000000"/>
          <w:kern w:val="0"/>
          <w:sz w:val="18"/>
          <w:szCs w:val="18"/>
        </w:rPr>
      </w:pPr>
    </w:p>
    <w:tbl>
      <w:tblPr>
        <w:tblStyle w:val="45"/>
        <w:tblW w:w="152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06"/>
        <w:gridCol w:w="1134"/>
        <w:gridCol w:w="841"/>
        <w:gridCol w:w="860"/>
        <w:gridCol w:w="709"/>
        <w:gridCol w:w="850"/>
        <w:gridCol w:w="851"/>
        <w:gridCol w:w="709"/>
        <w:gridCol w:w="708"/>
        <w:gridCol w:w="851"/>
        <w:gridCol w:w="850"/>
        <w:gridCol w:w="851"/>
        <w:gridCol w:w="992"/>
        <w:gridCol w:w="9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1123" w:type="dxa"/>
            <w:gridSpan w:val="13"/>
            <w:shd w:val="clear" w:color="auto" w:fill="E7E6E6" w:themeFill="background2"/>
          </w:tcPr>
          <w:p>
            <w:pPr>
              <w:jc w:val="center"/>
              <w:rPr>
                <w:rFonts w:ascii="Calibri" w:hAnsi="Calibri" w:eastAsia="宋体" w:cs="Times New Roman"/>
                <w:b/>
                <w:color w:val="000000"/>
                <w:sz w:val="18"/>
                <w:szCs w:val="18"/>
              </w:rPr>
            </w:pPr>
            <w:r>
              <w:rPr>
                <w:rFonts w:hint="default" w:ascii="Times New Roman" w:hAnsi="Times New Roman" w:eastAsia="宋体" w:cs="Times New Roman"/>
                <w:b/>
                <w:color w:val="000000"/>
                <w:sz w:val="18"/>
                <w:szCs w:val="18"/>
              </w:rPr>
              <w:t>2023</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jc w:val="center"/>
        </w:trPr>
        <w:tc>
          <w:tcPr>
            <w:tcW w:w="4106" w:type="dxa"/>
            <w:vMerge w:val="continue"/>
            <w:shd w:val="clear" w:color="auto" w:fill="E7E6E6" w:themeFill="background2"/>
            <w:vAlign w:val="center"/>
          </w:tcPr>
          <w:p>
            <w:pPr>
              <w:jc w:val="center"/>
              <w:rPr>
                <w:rFonts w:ascii="宋体" w:hAnsi="宋体" w:eastAsia="宋体" w:cs="Times New Roman"/>
                <w:b/>
                <w:color w:val="000000"/>
                <w:sz w:val="18"/>
                <w:szCs w:val="18"/>
              </w:rPr>
            </w:pPr>
          </w:p>
        </w:tc>
        <w:tc>
          <w:tcPr>
            <w:tcW w:w="9214" w:type="dxa"/>
            <w:gridSpan w:val="11"/>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2"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917"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10" w:type="dxa"/>
            <w:gridSpan w:val="3"/>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850"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1"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709" w:type="dxa"/>
            <w:vMerge w:val="restart"/>
            <w:tcBorders>
              <w:righ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8" w:type="dxa"/>
            <w:vMerge w:val="restart"/>
            <w:tcBorders>
              <w:lef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851"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0"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1"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continue"/>
            <w:shd w:val="clear" w:color="auto" w:fill="D9D9D9"/>
          </w:tcPr>
          <w:p>
            <w:pPr>
              <w:jc w:val="center"/>
              <w:rPr>
                <w:rFonts w:ascii="Calibri" w:hAnsi="Calibri" w:eastAsia="宋体" w:cs="Times New Roman"/>
                <w:b/>
                <w:color w:val="000000"/>
                <w:sz w:val="18"/>
                <w:szCs w:val="18"/>
              </w:rPr>
            </w:pPr>
          </w:p>
        </w:tc>
        <w:tc>
          <w:tcPr>
            <w:tcW w:w="841" w:type="dxa"/>
            <w:tcBorders>
              <w:right w:val="single" w:color="5B9BD5" w:sz="4" w:space="0"/>
            </w:tcBorders>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60" w:type="dxa"/>
            <w:tcBorders>
              <w:left w:val="single" w:color="5B9BD5" w:sz="4" w:space="0"/>
              <w:right w:val="single" w:color="5B9BD5" w:sz="4" w:space="0"/>
            </w:tcBorders>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09" w:type="dxa"/>
            <w:tcBorders>
              <w:left w:val="single" w:color="5B9BD5" w:sz="4" w:space="0"/>
            </w:tcBorders>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709"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5</w:t>
            </w:r>
            <w:r>
              <w:rPr>
                <w:rFonts w:ascii="宋体" w:hAnsi="宋体" w:eastAsia="宋体" w:cs="Times New Roman"/>
                <w:color w:val="000000"/>
                <w:sz w:val="18"/>
                <w:szCs w:val="18"/>
              </w:rPr>
              <w:t>．</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841" w:type="dxa"/>
            <w:tcBorders>
              <w:right w:val="single" w:color="5B9BD5" w:sz="4" w:space="0"/>
            </w:tcBorders>
          </w:tcPr>
          <w:p>
            <w:pPr>
              <w:ind w:firstLine="360"/>
              <w:jc w:val="right"/>
              <w:rPr>
                <w:rFonts w:ascii="Calibri" w:hAnsi="Calibri" w:eastAsia="宋体" w:cs="Times New Roman"/>
                <w:color w:val="000000"/>
                <w:sz w:val="18"/>
                <w:szCs w:val="18"/>
              </w:rPr>
            </w:pPr>
          </w:p>
        </w:tc>
        <w:tc>
          <w:tcPr>
            <w:tcW w:w="86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rPr>
          <w:rFonts w:ascii="宋体" w:hAnsi="宋体" w:eastAsia="宋体" w:cs="Times New Roman"/>
          <w:b/>
          <w:bCs/>
          <w:color w:val="000000"/>
          <w:szCs w:val="21"/>
        </w:rPr>
      </w:pPr>
      <w:r>
        <w:rPr>
          <w:rFonts w:hint="eastAsia" w:ascii="Calibri" w:hAnsi="Calibri" w:eastAsia="宋体" w:cs="Times New Roman"/>
          <w:color w:val="000000"/>
          <w:sz w:val="18"/>
          <w:szCs w:val="18"/>
        </w:rPr>
        <w:t>法定代表人：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主管会计工作负责人：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会计机构负责人：</w:t>
      </w:r>
      <w:r>
        <w:rPr>
          <w:rFonts w:ascii="Calibri" w:hAnsi="Calibri" w:eastAsia="宋体" w:cs="Times New Roman"/>
          <w:color w:val="000000"/>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4" w:name="_Toc18508"/>
      <w:bookmarkStart w:id="85" w:name="_Toc17406"/>
      <w:r>
        <w:rPr>
          <w:rFonts w:hint="eastAsia" w:ascii="Times New Roman" w:hAnsi="Times New Roman" w:eastAsia="宋体" w:cs="Times New Roman"/>
          <w:b/>
          <w:bCs/>
          <w:szCs w:val="32"/>
          <w:lang w:val="zh-CN"/>
        </w:rPr>
        <w:t>（八）母公司股东权益变动表</w:t>
      </w:r>
      <w:bookmarkEnd w:id="84"/>
      <w:bookmarkEnd w:id="85"/>
    </w:p>
    <w:p>
      <w:pPr>
        <w:jc w:val="right"/>
        <w:rPr>
          <w:rFonts w:ascii="宋体" w:hAnsi="宋体" w:eastAsia="宋体" w:cs="宋体"/>
          <w:kern w:val="0"/>
          <w:sz w:val="18"/>
        </w:rPr>
      </w:pPr>
      <w:r>
        <w:rPr>
          <w:rFonts w:hint="eastAsia" w:ascii="Calibri" w:hAnsi="Calibri" w:eastAsia="宋体" w:cs="Times New Roman"/>
        </w:rPr>
        <w:t>单位：元</w:t>
      </w: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E7E6E6" w:themeFill="background2"/>
          </w:tcPr>
          <w:p>
            <w:pPr>
              <w:ind w:firstLine="440"/>
              <w:jc w:val="center"/>
              <w:rPr>
                <w:rFonts w:ascii="宋体" w:hAnsi="宋体" w:eastAsia="宋体" w:cs="Times New Roman"/>
                <w:b/>
                <w:color w:val="000000"/>
                <w:sz w:val="18"/>
                <w:szCs w:val="18"/>
              </w:rPr>
            </w:pPr>
            <w:r>
              <w:rPr>
                <w:rFonts w:hint="default" w:ascii="Times New Roman" w:hAnsi="Times New Roman" w:eastAsia="宋体" w:cs="Times New Roman"/>
                <w:b/>
                <w:color w:val="000000"/>
                <w:sz w:val="18"/>
                <w:szCs w:val="18"/>
              </w:rPr>
              <w:t>2024</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E7E6E6" w:themeFill="background2"/>
            <w:vAlign w:val="center"/>
          </w:tcPr>
          <w:p>
            <w:pPr>
              <w:ind w:firstLine="440"/>
              <w:jc w:val="center"/>
              <w:rPr>
                <w:rFonts w:ascii="宋体" w:hAnsi="宋体" w:eastAsia="宋体" w:cs="宋体"/>
                <w:b/>
                <w:color w:val="000000"/>
                <w:sz w:val="18"/>
                <w:szCs w:val="18"/>
              </w:rPr>
            </w:pPr>
          </w:p>
        </w:tc>
        <w:tc>
          <w:tcPr>
            <w:tcW w:w="921"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E7E6E6" w:themeFill="background2"/>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E7E6E6" w:themeFill="background2"/>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．其</w:t>
            </w:r>
            <w:r>
              <w:rPr>
                <w:rFonts w:hint="eastAsia" w:ascii="Calibri" w:hAnsi="Calibri" w:eastAsia="宋体" w:cs="Times New Roman"/>
                <w:color w:val="000000"/>
                <w:sz w:val="18"/>
                <w:szCs w:val="18"/>
              </w:rPr>
              <w:t>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2</w:t>
            </w:r>
            <w:r>
              <w:rPr>
                <w:rFonts w:ascii="宋体" w:hAnsi="宋体" w:eastAsia="宋体" w:cs="Times New Roman"/>
                <w:color w:val="000000"/>
                <w:sz w:val="18"/>
                <w:szCs w:val="18"/>
              </w:rPr>
              <w:t>．</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5</w:t>
            </w:r>
            <w:r>
              <w:rPr>
                <w:rFonts w:ascii="宋体" w:hAnsi="宋体" w:eastAsia="宋体" w:cs="Times New Roman"/>
                <w:color w:val="000000"/>
                <w:sz w:val="18"/>
                <w:szCs w:val="18"/>
              </w:rPr>
              <w:t>．</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pP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E7E6E6" w:themeFill="background2"/>
          </w:tcPr>
          <w:p>
            <w:pPr>
              <w:ind w:firstLine="440"/>
              <w:jc w:val="center"/>
              <w:rPr>
                <w:rFonts w:ascii="宋体" w:hAnsi="宋体" w:eastAsia="宋体" w:cs="Times New Roman"/>
                <w:b/>
                <w:color w:val="000000"/>
                <w:sz w:val="18"/>
                <w:szCs w:val="18"/>
              </w:rPr>
            </w:pPr>
            <w:bookmarkStart w:id="90" w:name="_GoBack"/>
            <w:r>
              <w:rPr>
                <w:rFonts w:hint="default" w:ascii="Times New Roman" w:hAnsi="Times New Roman" w:eastAsia="宋体" w:cs="Times New Roman"/>
                <w:b/>
                <w:color w:val="000000"/>
                <w:sz w:val="18"/>
                <w:szCs w:val="18"/>
              </w:rPr>
              <w:t>2023</w:t>
            </w:r>
            <w:bookmarkEnd w:id="90"/>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E7E6E6" w:themeFill="background2"/>
            <w:vAlign w:val="center"/>
          </w:tcPr>
          <w:p>
            <w:pPr>
              <w:ind w:firstLine="440"/>
              <w:jc w:val="center"/>
              <w:rPr>
                <w:rFonts w:ascii="宋体" w:hAnsi="宋体" w:eastAsia="宋体" w:cs="宋体"/>
                <w:b/>
                <w:color w:val="000000"/>
                <w:sz w:val="18"/>
                <w:szCs w:val="18"/>
              </w:rPr>
            </w:pPr>
          </w:p>
        </w:tc>
        <w:tc>
          <w:tcPr>
            <w:tcW w:w="921"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E7E6E6" w:themeFill="background2"/>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E7E6E6" w:themeFill="background2"/>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2</w:t>
            </w:r>
            <w:r>
              <w:rPr>
                <w:rFonts w:ascii="宋体" w:hAnsi="宋体" w:eastAsia="宋体" w:cs="Times New Roman"/>
                <w:color w:val="000000"/>
                <w:sz w:val="18"/>
                <w:szCs w:val="18"/>
              </w:rPr>
              <w:t>．</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5</w:t>
            </w:r>
            <w:r>
              <w:rPr>
                <w:rFonts w:ascii="宋体" w:hAnsi="宋体" w:eastAsia="宋体" w:cs="Times New Roman"/>
                <w:color w:val="000000"/>
                <w:sz w:val="18"/>
                <w:szCs w:val="18"/>
              </w:rPr>
              <w:t>．</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sectPr>
          <w:pgSz w:w="21633" w:h="11906" w:orient="landscape"/>
          <w:pgMar w:top="1797" w:right="6235" w:bottom="1797" w:left="1440" w:header="851" w:footer="992" w:gutter="0"/>
          <w:cols w:space="425" w:num="1"/>
          <w:docGrid w:type="linesAndChars" w:linePitch="312" w:charSpace="0"/>
        </w:sectPr>
      </w:pPr>
    </w:p>
    <w:bookmarkEnd w:id="66"/>
    <w:bookmarkEnd w:id="67"/>
    <w:bookmarkEnd w:id="68"/>
    <w:bookmarkEnd w:id="69"/>
    <w:p>
      <w:pPr>
        <w:tabs>
          <w:tab w:val="left" w:pos="5140"/>
        </w:tabs>
        <w:rPr>
          <w:rFonts w:ascii="宋体" w:hAnsi="宋体" w:eastAsia="宋体" w:cs="Times New Roman"/>
          <w:b/>
          <w:color w:val="FF0000"/>
          <w:sz w:val="24"/>
          <w:szCs w:val="21"/>
        </w:rPr>
      </w:pPr>
      <w:bookmarkStart w:id="86" w:name="_Toc10081"/>
      <w:bookmarkStart w:id="87" w:name="_Toc23441"/>
      <w:r>
        <w:rPr>
          <w:rFonts w:ascii="宋体" w:hAnsi="宋体" w:eastAsia="宋体" w:cs="Times New Roman"/>
          <w:b/>
          <w:color w:val="FF0000"/>
          <w:sz w:val="24"/>
          <w:szCs w:val="21"/>
        </w:rPr>
        <w:t>注意</w:t>
      </w:r>
      <w:r>
        <w:rPr>
          <w:rFonts w:hint="eastAsia" w:ascii="宋体" w:hAnsi="宋体" w:eastAsia="宋体" w:cs="Times New Roman"/>
          <w:b/>
          <w:color w:val="FF0000"/>
          <w:sz w:val="24"/>
          <w:szCs w:val="21"/>
        </w:rPr>
        <w:t>：</w:t>
      </w:r>
      <w:r>
        <w:rPr>
          <w:rFonts w:ascii="宋体" w:hAnsi="宋体" w:eastAsia="宋体" w:cs="Times New Roman"/>
          <w:b/>
          <w:color w:val="FF0000"/>
          <w:sz w:val="24"/>
          <w:szCs w:val="21"/>
        </w:rPr>
        <w:t>请在财务报表后附</w:t>
      </w:r>
      <w:r>
        <w:rPr>
          <w:rFonts w:hint="eastAsia" w:ascii="宋体" w:hAnsi="宋体" w:eastAsia="宋体" w:cs="Times New Roman"/>
          <w:b/>
          <w:color w:val="FF0000"/>
          <w:sz w:val="24"/>
          <w:szCs w:val="21"/>
        </w:rPr>
        <w:t>“财务报表附注”！！</w:t>
      </w:r>
      <w:bookmarkEnd w:id="86"/>
      <w:bookmarkEnd w:id="87"/>
    </w:p>
    <w:p>
      <w:pPr>
        <w:keepNext/>
        <w:keepLines/>
        <w:spacing w:before="100" w:after="100"/>
        <w:outlineLvl w:val="1"/>
        <w:rPr>
          <w:rFonts w:ascii="Calibri Light" w:hAnsi="Calibri Light" w:eastAsia="微软雅黑" w:cs="Times New Roman"/>
          <w:b/>
          <w:bCs/>
          <w:sz w:val="22"/>
          <w:szCs w:val="32"/>
        </w:rPr>
      </w:pPr>
      <w:bookmarkStart w:id="88" w:name="_Toc23833"/>
      <w:bookmarkStart w:id="89" w:name="_Toc3016"/>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8"/>
      <w:bookmarkEnd w:id="89"/>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仿宋S"/>
    <w:panose1 w:val="00000000000000000000"/>
    <w:charset w:val="00"/>
    <w:family w:val="roman"/>
    <w:pitch w:val="default"/>
    <w:sig w:usb0="00000000" w:usb1="00000000" w:usb2="00000000" w:usb3="00000000" w:csb0="00000000" w:csb1="00000000"/>
  </w:font>
  <w:font w:name="CIDFont+F1">
    <w:altName w:val="汉仪仿宋S"/>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1"/>
          <w:jc w:val="center"/>
        </w:pPr>
        <w:r>
          <w:fldChar w:fldCharType="begin"/>
        </w:r>
        <w:r>
          <w:instrText xml:space="preserve">PAGE   \* MERGEFORMAT</w:instrText>
        </w:r>
        <w:r>
          <w:fldChar w:fldCharType="separate"/>
        </w:r>
        <w:r>
          <w:rPr>
            <w:lang w:val="zh-CN"/>
          </w:rPr>
          <w:t>12</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1"/>
          <w:ind w:left="2100" w:hanging="420"/>
          <w:jc w:val="center"/>
        </w:pPr>
        <w:r>
          <w:fldChar w:fldCharType="begin"/>
        </w:r>
        <w:r>
          <w:instrText xml:space="preserve">PAGE   \* MERGEFORMAT</w:instrText>
        </w:r>
        <w:r>
          <w:fldChar w:fldCharType="separate"/>
        </w:r>
        <w:r>
          <w:rPr>
            <w:lang w:val="zh-CN"/>
          </w:rPr>
          <w:t>17</w:t>
        </w:r>
        <w:r>
          <w:fldChar w:fldCharType="end"/>
        </w:r>
      </w:p>
    </w:sdtContent>
  </w:sdt>
  <w:p>
    <w:pPr>
      <w:pStyle w:val="3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6221"/>
    <w:rsid w:val="000473CC"/>
    <w:rsid w:val="000520E2"/>
    <w:rsid w:val="000569D0"/>
    <w:rsid w:val="00064DCD"/>
    <w:rsid w:val="00077348"/>
    <w:rsid w:val="000907EF"/>
    <w:rsid w:val="00091D4B"/>
    <w:rsid w:val="00096D23"/>
    <w:rsid w:val="000C796F"/>
    <w:rsid w:val="000F78A5"/>
    <w:rsid w:val="001228EC"/>
    <w:rsid w:val="00194E96"/>
    <w:rsid w:val="001C3D27"/>
    <w:rsid w:val="001C6B30"/>
    <w:rsid w:val="001D457E"/>
    <w:rsid w:val="001E568E"/>
    <w:rsid w:val="00223C54"/>
    <w:rsid w:val="00233D01"/>
    <w:rsid w:val="00241328"/>
    <w:rsid w:val="00252F1E"/>
    <w:rsid w:val="00271BDC"/>
    <w:rsid w:val="00272B19"/>
    <w:rsid w:val="00296596"/>
    <w:rsid w:val="002B0B66"/>
    <w:rsid w:val="002D0FAF"/>
    <w:rsid w:val="003245FE"/>
    <w:rsid w:val="00346154"/>
    <w:rsid w:val="003562AB"/>
    <w:rsid w:val="003661DA"/>
    <w:rsid w:val="0037123F"/>
    <w:rsid w:val="00376347"/>
    <w:rsid w:val="003A0744"/>
    <w:rsid w:val="003C500F"/>
    <w:rsid w:val="003D3FCD"/>
    <w:rsid w:val="003F234D"/>
    <w:rsid w:val="00412A75"/>
    <w:rsid w:val="004764D0"/>
    <w:rsid w:val="004B1BCE"/>
    <w:rsid w:val="004D13F1"/>
    <w:rsid w:val="004F0DCD"/>
    <w:rsid w:val="004F3506"/>
    <w:rsid w:val="00506480"/>
    <w:rsid w:val="00506875"/>
    <w:rsid w:val="005141A7"/>
    <w:rsid w:val="00541500"/>
    <w:rsid w:val="005A5826"/>
    <w:rsid w:val="005C1BB7"/>
    <w:rsid w:val="005D3024"/>
    <w:rsid w:val="005E417C"/>
    <w:rsid w:val="005E623E"/>
    <w:rsid w:val="005F6466"/>
    <w:rsid w:val="0060663A"/>
    <w:rsid w:val="00645834"/>
    <w:rsid w:val="00674CBE"/>
    <w:rsid w:val="00681962"/>
    <w:rsid w:val="00690756"/>
    <w:rsid w:val="006C1562"/>
    <w:rsid w:val="006C5002"/>
    <w:rsid w:val="006E7C10"/>
    <w:rsid w:val="006F0092"/>
    <w:rsid w:val="007112C2"/>
    <w:rsid w:val="007164A6"/>
    <w:rsid w:val="007329DA"/>
    <w:rsid w:val="0075546D"/>
    <w:rsid w:val="00755BA5"/>
    <w:rsid w:val="00760DD2"/>
    <w:rsid w:val="00782E31"/>
    <w:rsid w:val="00791F3F"/>
    <w:rsid w:val="0079347F"/>
    <w:rsid w:val="00793481"/>
    <w:rsid w:val="007B7D00"/>
    <w:rsid w:val="007D07A7"/>
    <w:rsid w:val="007E0DFC"/>
    <w:rsid w:val="0082424C"/>
    <w:rsid w:val="0083638B"/>
    <w:rsid w:val="00837BA9"/>
    <w:rsid w:val="00846AA5"/>
    <w:rsid w:val="0085287A"/>
    <w:rsid w:val="00896507"/>
    <w:rsid w:val="00920AFE"/>
    <w:rsid w:val="009808D4"/>
    <w:rsid w:val="00981982"/>
    <w:rsid w:val="009A5B79"/>
    <w:rsid w:val="009E303B"/>
    <w:rsid w:val="009F5E5D"/>
    <w:rsid w:val="00A02B8B"/>
    <w:rsid w:val="00A14725"/>
    <w:rsid w:val="00A36191"/>
    <w:rsid w:val="00A70E43"/>
    <w:rsid w:val="00A83B1A"/>
    <w:rsid w:val="00AA2350"/>
    <w:rsid w:val="00AB3142"/>
    <w:rsid w:val="00BA18E8"/>
    <w:rsid w:val="00BB3026"/>
    <w:rsid w:val="00BD0304"/>
    <w:rsid w:val="00BE098F"/>
    <w:rsid w:val="00BF544C"/>
    <w:rsid w:val="00C52B10"/>
    <w:rsid w:val="00C83150"/>
    <w:rsid w:val="00C86720"/>
    <w:rsid w:val="00CA1118"/>
    <w:rsid w:val="00CA7076"/>
    <w:rsid w:val="00D224CB"/>
    <w:rsid w:val="00D54C2A"/>
    <w:rsid w:val="00D75D32"/>
    <w:rsid w:val="00DB4315"/>
    <w:rsid w:val="00E61F08"/>
    <w:rsid w:val="00E84A74"/>
    <w:rsid w:val="00E92F9A"/>
    <w:rsid w:val="00E97E77"/>
    <w:rsid w:val="00EA2B40"/>
    <w:rsid w:val="00EC48ED"/>
    <w:rsid w:val="00ED28ED"/>
    <w:rsid w:val="00EE7195"/>
    <w:rsid w:val="00F10843"/>
    <w:rsid w:val="00F55814"/>
    <w:rsid w:val="00FA41FD"/>
    <w:rsid w:val="00FD2212"/>
    <w:rsid w:val="00FF2B61"/>
    <w:rsid w:val="5EFB4718"/>
    <w:rsid w:val="6FF746C9"/>
    <w:rsid w:val="8AD31C9A"/>
    <w:rsid w:val="ACF55B6B"/>
    <w:rsid w:val="B5DD7DF7"/>
    <w:rsid w:val="BEBDFD4E"/>
    <w:rsid w:val="CFFFD522"/>
    <w:rsid w:val="D7D67AE8"/>
    <w:rsid w:val="DFEF12B2"/>
    <w:rsid w:val="EFF1B84B"/>
    <w:rsid w:val="FFEF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2"/>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4"/>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2"/>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3"/>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4"/>
    <w:unhideWhenUsed/>
    <w:qFormat/>
    <w:uiPriority w:val="0"/>
    <w:pPr>
      <w:jc w:val="left"/>
    </w:pPr>
    <w:rPr>
      <w:rFonts w:ascii="Calibri" w:hAnsi="Calibri" w:eastAsia="宋体" w:cs="Times New Roman"/>
    </w:rPr>
  </w:style>
  <w:style w:type="paragraph" w:styleId="15">
    <w:name w:val="Salutation"/>
    <w:basedOn w:val="1"/>
    <w:next w:val="1"/>
    <w:link w:val="65"/>
    <w:qFormat/>
    <w:uiPriority w:val="0"/>
    <w:rPr>
      <w:rFonts w:ascii="Times New Roman" w:hAnsi="Times New Roman" w:eastAsia="宋体" w:cs="Times New Roman"/>
      <w:szCs w:val="21"/>
      <w:lang w:val="zh-CN"/>
    </w:rPr>
  </w:style>
  <w:style w:type="paragraph" w:styleId="16">
    <w:name w:val="Body Text 3"/>
    <w:basedOn w:val="1"/>
    <w:link w:val="66"/>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7"/>
    <w:qFormat/>
    <w:uiPriority w:val="0"/>
    <w:pPr>
      <w:spacing w:after="120"/>
    </w:pPr>
    <w:rPr>
      <w:rFonts w:ascii="Times New Roman" w:hAnsi="Times New Roman" w:eastAsia="宋体" w:cs="Times New Roman"/>
      <w:szCs w:val="21"/>
      <w:lang w:val="zh-CN"/>
    </w:rPr>
  </w:style>
  <w:style w:type="paragraph" w:styleId="19">
    <w:name w:val="Body Text Indent"/>
    <w:basedOn w:val="1"/>
    <w:link w:val="68"/>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69"/>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0"/>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1"/>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2"/>
    <w:semiHidden/>
    <w:unhideWhenUsed/>
    <w:qFormat/>
    <w:uiPriority w:val="99"/>
    <w:pPr>
      <w:snapToGrid w:val="0"/>
      <w:jc w:val="left"/>
    </w:pPr>
    <w:rPr>
      <w:rFonts w:ascii="Calibri" w:hAnsi="Calibri" w:eastAsia="宋体" w:cs="Times New Roman"/>
    </w:rPr>
  </w:style>
  <w:style w:type="paragraph" w:styleId="30">
    <w:name w:val="Balloon Text"/>
    <w:basedOn w:val="1"/>
    <w:link w:val="73"/>
    <w:unhideWhenUsed/>
    <w:qFormat/>
    <w:uiPriority w:val="0"/>
    <w:rPr>
      <w:rFonts w:ascii="Calibri" w:hAnsi="Calibri" w:eastAsia="宋体" w:cs="Times New Roman"/>
      <w:sz w:val="18"/>
      <w:szCs w:val="18"/>
    </w:rPr>
  </w:style>
  <w:style w:type="paragraph" w:styleId="31">
    <w:name w:val="footer"/>
    <w:basedOn w:val="1"/>
    <w:link w:val="57"/>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7"/>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5"/>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6"/>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7"/>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Title"/>
    <w:basedOn w:val="1"/>
    <w:next w:val="1"/>
    <w:link w:val="175"/>
    <w:qFormat/>
    <w:uiPriority w:val="10"/>
    <w:pPr>
      <w:spacing w:before="240" w:after="60"/>
      <w:jc w:val="center"/>
      <w:outlineLvl w:val="0"/>
    </w:pPr>
    <w:rPr>
      <w:rFonts w:eastAsia="宋体" w:asciiTheme="majorHAnsi" w:hAnsiTheme="majorHAnsi" w:cstheme="majorBidi"/>
      <w:b/>
      <w:bCs/>
      <w:sz w:val="32"/>
      <w:szCs w:val="32"/>
    </w:rPr>
  </w:style>
  <w:style w:type="paragraph" w:styleId="44">
    <w:name w:val="annotation subject"/>
    <w:basedOn w:val="14"/>
    <w:next w:val="14"/>
    <w:link w:val="79"/>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basedOn w:val="47"/>
    <w:semiHidden/>
    <w:unhideWhenUsed/>
    <w:qFormat/>
    <w:uiPriority w:val="99"/>
    <w:rPr>
      <w:vertAlign w:val="superscript"/>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7"/>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7"/>
    <w:unhideWhenUsed/>
    <w:qFormat/>
    <w:uiPriority w:val="99"/>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页眉 Char"/>
    <w:basedOn w:val="47"/>
    <w:link w:val="33"/>
    <w:qFormat/>
    <w:uiPriority w:val="0"/>
    <w:rPr>
      <w:sz w:val="18"/>
      <w:szCs w:val="18"/>
    </w:rPr>
  </w:style>
  <w:style w:type="character" w:customStyle="1" w:styleId="57">
    <w:name w:val="页脚 Char"/>
    <w:basedOn w:val="47"/>
    <w:link w:val="31"/>
    <w:qFormat/>
    <w:uiPriority w:val="99"/>
    <w:rPr>
      <w:sz w:val="18"/>
      <w:szCs w:val="18"/>
    </w:rPr>
  </w:style>
  <w:style w:type="character" w:customStyle="1" w:styleId="58">
    <w:name w:val="标题 1 Char"/>
    <w:basedOn w:val="47"/>
    <w:link w:val="2"/>
    <w:qFormat/>
    <w:uiPriority w:val="0"/>
    <w:rPr>
      <w:rFonts w:ascii="Calibri" w:hAnsi="Calibri" w:eastAsia="宋体" w:cs="Times New Roman"/>
      <w:b/>
      <w:bCs/>
      <w:kern w:val="44"/>
      <w:sz w:val="44"/>
      <w:szCs w:val="44"/>
      <w:lang w:val="zh-CN"/>
    </w:rPr>
  </w:style>
  <w:style w:type="paragraph" w:customStyle="1" w:styleId="59">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0">
    <w:name w:val="标题 3 Char"/>
    <w:basedOn w:val="47"/>
    <w:qFormat/>
    <w:uiPriority w:val="0"/>
    <w:rPr>
      <w:b/>
      <w:bCs/>
      <w:sz w:val="32"/>
      <w:szCs w:val="32"/>
    </w:rPr>
  </w:style>
  <w:style w:type="character" w:customStyle="1" w:styleId="61">
    <w:name w:val="标题 4 Char"/>
    <w:basedOn w:val="47"/>
    <w:link w:val="5"/>
    <w:qFormat/>
    <w:uiPriority w:val="0"/>
    <w:rPr>
      <w:rFonts w:ascii="Arial" w:hAnsi="Arial" w:eastAsia="黑体" w:cs="Times New Roman"/>
      <w:b/>
      <w:bCs/>
      <w:sz w:val="28"/>
      <w:szCs w:val="28"/>
      <w:lang w:val="zh-CN"/>
    </w:rPr>
  </w:style>
  <w:style w:type="character" w:customStyle="1" w:styleId="62">
    <w:name w:val="注释标题 Char"/>
    <w:basedOn w:val="47"/>
    <w:link w:val="7"/>
    <w:qFormat/>
    <w:uiPriority w:val="0"/>
    <w:rPr>
      <w:rFonts w:ascii="Times New Roman" w:hAnsi="Times New Roman" w:eastAsia="宋体" w:cs="Times New Roman"/>
      <w:szCs w:val="21"/>
      <w:lang w:val="zh-CN"/>
    </w:rPr>
  </w:style>
  <w:style w:type="character" w:customStyle="1" w:styleId="63">
    <w:name w:val="文档结构图 Char"/>
    <w:basedOn w:val="47"/>
    <w:link w:val="12"/>
    <w:qFormat/>
    <w:uiPriority w:val="0"/>
    <w:rPr>
      <w:rFonts w:ascii="宋体" w:hAnsi="Times New Roman" w:eastAsia="宋体" w:cs="Times New Roman"/>
      <w:sz w:val="18"/>
      <w:szCs w:val="18"/>
      <w:lang w:val="zh-CN"/>
    </w:rPr>
  </w:style>
  <w:style w:type="character" w:customStyle="1" w:styleId="64">
    <w:name w:val="批注文字 Char"/>
    <w:basedOn w:val="47"/>
    <w:link w:val="14"/>
    <w:qFormat/>
    <w:uiPriority w:val="0"/>
    <w:rPr>
      <w:rFonts w:ascii="Calibri" w:hAnsi="Calibri" w:eastAsia="宋体" w:cs="Times New Roman"/>
    </w:rPr>
  </w:style>
  <w:style w:type="character" w:customStyle="1" w:styleId="65">
    <w:name w:val="称呼 Char"/>
    <w:basedOn w:val="47"/>
    <w:link w:val="15"/>
    <w:qFormat/>
    <w:uiPriority w:val="0"/>
    <w:rPr>
      <w:rFonts w:ascii="Times New Roman" w:hAnsi="Times New Roman" w:eastAsia="宋体" w:cs="Times New Roman"/>
      <w:szCs w:val="21"/>
      <w:lang w:val="zh-CN"/>
    </w:rPr>
  </w:style>
  <w:style w:type="character" w:customStyle="1" w:styleId="66">
    <w:name w:val="正文文本 3 Char"/>
    <w:basedOn w:val="47"/>
    <w:link w:val="16"/>
    <w:qFormat/>
    <w:uiPriority w:val="0"/>
    <w:rPr>
      <w:rFonts w:ascii="楷体_GB2312" w:hAnsi="Times New Roman" w:eastAsia="楷体_GB2312" w:cs="Times New Roman"/>
      <w:color w:val="000000"/>
      <w:sz w:val="24"/>
    </w:rPr>
  </w:style>
  <w:style w:type="character" w:customStyle="1" w:styleId="67">
    <w:name w:val="正文文本 Char"/>
    <w:basedOn w:val="47"/>
    <w:link w:val="18"/>
    <w:qFormat/>
    <w:uiPriority w:val="0"/>
    <w:rPr>
      <w:rFonts w:ascii="Times New Roman" w:hAnsi="Times New Roman" w:eastAsia="宋体" w:cs="Times New Roman"/>
      <w:szCs w:val="21"/>
      <w:lang w:val="zh-CN"/>
    </w:rPr>
  </w:style>
  <w:style w:type="character" w:customStyle="1" w:styleId="68">
    <w:name w:val="正文文本缩进 Char"/>
    <w:basedOn w:val="47"/>
    <w:link w:val="19"/>
    <w:qFormat/>
    <w:uiPriority w:val="0"/>
    <w:rPr>
      <w:rFonts w:ascii="仿宋_GB2312" w:hAnsi="MS Sans Serif" w:eastAsia="仿宋_GB2312" w:cs="Times New Roman"/>
      <w:kern w:val="0"/>
      <w:sz w:val="28"/>
      <w:szCs w:val="20"/>
    </w:rPr>
  </w:style>
  <w:style w:type="character" w:customStyle="1" w:styleId="69">
    <w:name w:val="纯文本 Char"/>
    <w:basedOn w:val="47"/>
    <w:link w:val="24"/>
    <w:qFormat/>
    <w:uiPriority w:val="0"/>
    <w:rPr>
      <w:rFonts w:ascii="宋体" w:hAnsi="Courier New" w:eastAsia="宋体" w:cs="Times New Roman"/>
      <w:szCs w:val="21"/>
      <w:lang w:val="zh-CN"/>
    </w:rPr>
  </w:style>
  <w:style w:type="character" w:customStyle="1" w:styleId="70">
    <w:name w:val="日期 Char"/>
    <w:basedOn w:val="47"/>
    <w:link w:val="27"/>
    <w:qFormat/>
    <w:uiPriority w:val="0"/>
    <w:rPr>
      <w:rFonts w:ascii="楷体_GB2312" w:hAnsi="Times New Roman" w:eastAsia="楷体_GB2312" w:cs="Times New Roman"/>
      <w:sz w:val="28"/>
      <w:szCs w:val="24"/>
      <w:lang w:val="zh-CN"/>
    </w:rPr>
  </w:style>
  <w:style w:type="character" w:customStyle="1" w:styleId="71">
    <w:name w:val="正文文本缩进 2 Char"/>
    <w:basedOn w:val="47"/>
    <w:link w:val="28"/>
    <w:qFormat/>
    <w:uiPriority w:val="0"/>
    <w:rPr>
      <w:rFonts w:ascii="仿宋_GB2312" w:hAnsi="Times New Roman" w:eastAsia="仿宋_GB2312" w:cs="Times New Roman"/>
      <w:kern w:val="0"/>
      <w:sz w:val="24"/>
      <w:szCs w:val="20"/>
    </w:rPr>
  </w:style>
  <w:style w:type="character" w:customStyle="1" w:styleId="72">
    <w:name w:val="尾注文本 Char"/>
    <w:basedOn w:val="47"/>
    <w:link w:val="29"/>
    <w:semiHidden/>
    <w:qFormat/>
    <w:uiPriority w:val="99"/>
    <w:rPr>
      <w:rFonts w:ascii="Calibri" w:hAnsi="Calibri" w:eastAsia="宋体" w:cs="Times New Roman"/>
    </w:rPr>
  </w:style>
  <w:style w:type="character" w:customStyle="1" w:styleId="73">
    <w:name w:val="批注框文本 Char"/>
    <w:basedOn w:val="47"/>
    <w:link w:val="30"/>
    <w:qFormat/>
    <w:uiPriority w:val="0"/>
    <w:rPr>
      <w:rFonts w:ascii="Calibri" w:hAnsi="Calibri" w:eastAsia="宋体" w:cs="Times New Roman"/>
      <w:sz w:val="18"/>
      <w:szCs w:val="18"/>
    </w:rPr>
  </w:style>
  <w:style w:type="paragraph" w:customStyle="1" w:styleId="74">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5">
    <w:name w:val="脚注文本 Char"/>
    <w:basedOn w:val="47"/>
    <w:link w:val="38"/>
    <w:qFormat/>
    <w:uiPriority w:val="0"/>
    <w:rPr>
      <w:rFonts w:ascii="Times New Roman" w:hAnsi="Times New Roman" w:eastAsia="宋体" w:cs="Times New Roman"/>
      <w:sz w:val="18"/>
      <w:szCs w:val="18"/>
      <w:lang w:val="zh-CN"/>
    </w:rPr>
  </w:style>
  <w:style w:type="character" w:customStyle="1" w:styleId="76">
    <w:name w:val="正文文本缩进 3 Char"/>
    <w:basedOn w:val="47"/>
    <w:link w:val="39"/>
    <w:qFormat/>
    <w:uiPriority w:val="0"/>
    <w:rPr>
      <w:rFonts w:ascii="楷体_GB2312" w:hAnsi="Times New Roman" w:eastAsia="楷体_GB2312" w:cs="Times New Roman"/>
      <w:sz w:val="28"/>
      <w:szCs w:val="20"/>
    </w:rPr>
  </w:style>
  <w:style w:type="character" w:customStyle="1" w:styleId="77">
    <w:name w:val="正文文本 2 Char"/>
    <w:basedOn w:val="47"/>
    <w:link w:val="41"/>
    <w:qFormat/>
    <w:uiPriority w:val="0"/>
    <w:rPr>
      <w:rFonts w:ascii="楷体_GB2312" w:hAnsi="Times New Roman" w:eastAsia="楷体_GB2312" w:cs="Times New Roman"/>
      <w:sz w:val="28"/>
      <w:szCs w:val="20"/>
    </w:rPr>
  </w:style>
  <w:style w:type="paragraph" w:customStyle="1" w:styleId="78">
    <w:name w:val="标题1"/>
    <w:basedOn w:val="1"/>
    <w:next w:val="43"/>
    <w:link w:val="94"/>
    <w:qFormat/>
    <w:uiPriority w:val="0"/>
    <w:pPr>
      <w:spacing w:before="240" w:after="60"/>
      <w:jc w:val="center"/>
      <w:outlineLvl w:val="0"/>
    </w:pPr>
    <w:rPr>
      <w:rFonts w:ascii="Arial" w:hAnsi="Arial" w:cs="Arial"/>
      <w:b/>
      <w:bCs/>
      <w:sz w:val="32"/>
      <w:szCs w:val="32"/>
    </w:rPr>
  </w:style>
  <w:style w:type="character" w:customStyle="1" w:styleId="79">
    <w:name w:val="批注主题 Char"/>
    <w:basedOn w:val="64"/>
    <w:link w:val="44"/>
    <w:qFormat/>
    <w:uiPriority w:val="0"/>
    <w:rPr>
      <w:rFonts w:ascii="Calibri" w:hAnsi="Calibri" w:eastAsia="宋体" w:cs="Times New Roman"/>
      <w:b/>
      <w:bCs/>
    </w:rPr>
  </w:style>
  <w:style w:type="paragraph" w:customStyle="1" w:styleId="80">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1">
    <w:name w:val="List Paragraph"/>
    <w:basedOn w:val="1"/>
    <w:qFormat/>
    <w:uiPriority w:val="34"/>
    <w:pPr>
      <w:ind w:firstLine="420" w:firstLineChars="200"/>
    </w:pPr>
    <w:rPr>
      <w:rFonts w:ascii="Calibri" w:hAnsi="Calibri" w:eastAsia="宋体" w:cs="Times New Roman"/>
    </w:rPr>
  </w:style>
  <w:style w:type="character" w:customStyle="1" w:styleId="82">
    <w:name w:val="标题 2 Char"/>
    <w:basedOn w:val="47"/>
    <w:link w:val="3"/>
    <w:qFormat/>
    <w:uiPriority w:val="0"/>
    <w:rPr>
      <w:rFonts w:ascii="Calibri Light" w:hAnsi="Calibri Light" w:eastAsia="宋体" w:cs="Times New Roman"/>
      <w:b/>
      <w:bCs/>
      <w:sz w:val="32"/>
      <w:szCs w:val="32"/>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标题 3 Char1"/>
    <w:link w:val="4"/>
    <w:qFormat/>
    <w:uiPriority w:val="0"/>
    <w:rPr>
      <w:rFonts w:ascii="Times New Roman" w:hAnsi="Times New Roman" w:eastAsia="宋体" w:cs="Times New Roman"/>
      <w:b/>
      <w:bCs/>
      <w:sz w:val="32"/>
      <w:szCs w:val="32"/>
      <w:lang w:val="zh-CN"/>
    </w:rPr>
  </w:style>
  <w:style w:type="paragraph" w:customStyle="1" w:styleId="85">
    <w:name w:val="修订1"/>
    <w:hidden/>
    <w:qFormat/>
    <w:uiPriority w:val="99"/>
    <w:rPr>
      <w:rFonts w:ascii="Calibri" w:hAnsi="Calibri" w:eastAsia="宋体" w:cs="Times New Roman"/>
      <w:kern w:val="2"/>
      <w:sz w:val="21"/>
      <w:szCs w:val="22"/>
      <w:lang w:val="en-US" w:eastAsia="zh-CN" w:bidi="ar-SA"/>
    </w:rPr>
  </w:style>
  <w:style w:type="table" w:customStyle="1" w:styleId="86">
    <w:name w:val="无格式表格 21"/>
    <w:basedOn w:val="45"/>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7">
    <w:name w:val="无格式表格 31"/>
    <w:basedOn w:val="45"/>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8">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8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90">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1">
    <w:name w:val="cap"/>
    <w:qFormat/>
    <w:uiPriority w:val="0"/>
    <w:rPr>
      <w:rFonts w:eastAsia="宋体"/>
      <w:kern w:val="2"/>
      <w:sz w:val="24"/>
      <w:szCs w:val="24"/>
      <w:lang w:val="en-US" w:eastAsia="zh-CN" w:bidi="ar-SA"/>
    </w:rPr>
  </w:style>
  <w:style w:type="character" w:customStyle="1" w:styleId="92">
    <w:name w:val="notnullcss1"/>
    <w:qFormat/>
    <w:uiPriority w:val="0"/>
    <w:rPr>
      <w:rFonts w:eastAsia="宋体"/>
      <w:color w:val="FF0000"/>
      <w:kern w:val="2"/>
      <w:sz w:val="24"/>
      <w:szCs w:val="24"/>
      <w:lang w:val="en-US" w:eastAsia="zh-CN" w:bidi="ar-SA"/>
    </w:rPr>
  </w:style>
  <w:style w:type="paragraph" w:customStyle="1" w:styleId="93">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4">
    <w:name w:val="标题 Char"/>
    <w:link w:val="78"/>
    <w:qFormat/>
    <w:locked/>
    <w:uiPriority w:val="0"/>
    <w:rPr>
      <w:rFonts w:ascii="Arial" w:hAnsi="Arial" w:cs="Arial"/>
      <w:b/>
      <w:bCs/>
      <w:sz w:val="32"/>
      <w:szCs w:val="32"/>
    </w:rPr>
  </w:style>
  <w:style w:type="character" w:customStyle="1" w:styleId="95">
    <w:name w:val="标题 Char1"/>
    <w:basedOn w:val="47"/>
    <w:qFormat/>
    <w:uiPriority w:val="0"/>
    <w:rPr>
      <w:rFonts w:ascii="Calibri Light" w:hAnsi="Calibri Light" w:eastAsia="宋体" w:cs="Times New Roman"/>
      <w:b/>
      <w:bCs/>
      <w:sz w:val="32"/>
      <w:szCs w:val="32"/>
    </w:rPr>
  </w:style>
  <w:style w:type="paragraph" w:customStyle="1" w:styleId="96">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7">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9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0">
    <w:name w:val="span_"/>
    <w:qFormat/>
    <w:uiPriority w:val="0"/>
    <w:rPr>
      <w:rFonts w:eastAsia="宋体"/>
      <w:kern w:val="2"/>
      <w:sz w:val="24"/>
      <w:szCs w:val="24"/>
      <w:lang w:val="en-US" w:eastAsia="zh-CN" w:bidi="ar-SA"/>
    </w:rPr>
  </w:style>
  <w:style w:type="paragraph" w:customStyle="1" w:styleId="101">
    <w:name w:val="Char"/>
    <w:basedOn w:val="1"/>
    <w:qFormat/>
    <w:uiPriority w:val="0"/>
    <w:pPr>
      <w:ind w:left="765" w:hanging="360"/>
    </w:pPr>
    <w:rPr>
      <w:rFonts w:ascii="Times New Roman" w:hAnsi="Times New Roman" w:eastAsia="宋体" w:cs="Times New Roman"/>
      <w:sz w:val="24"/>
      <w:szCs w:val="24"/>
    </w:rPr>
  </w:style>
  <w:style w:type="paragraph" w:customStyle="1" w:styleId="10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3">
    <w:name w:val="标题 3 Char Char"/>
    <w:qFormat/>
    <w:uiPriority w:val="0"/>
    <w:rPr>
      <w:b/>
      <w:bCs/>
      <w:kern w:val="2"/>
      <w:sz w:val="32"/>
      <w:szCs w:val="32"/>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5">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9">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0">
    <w:name w:val="font14 line-height"/>
    <w:basedOn w:val="47"/>
    <w:qFormat/>
    <w:uiPriority w:val="0"/>
  </w:style>
  <w:style w:type="character" w:customStyle="1" w:styleId="111">
    <w:name w:val="msoins"/>
    <w:basedOn w:val="47"/>
    <w:qFormat/>
    <w:uiPriority w:val="0"/>
  </w:style>
  <w:style w:type="paragraph" w:customStyle="1" w:styleId="11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1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7">
    <w:name w:val="Char Char4"/>
    <w:qFormat/>
    <w:uiPriority w:val="0"/>
    <w:rPr>
      <w:b/>
      <w:bCs/>
      <w:sz w:val="32"/>
      <w:szCs w:val="32"/>
    </w:rPr>
  </w:style>
  <w:style w:type="paragraph" w:customStyle="1" w:styleId="118">
    <w:name w:val="默认段落字体 Para Char Char Char Char Char Char Char"/>
    <w:basedOn w:val="1"/>
    <w:qFormat/>
    <w:uiPriority w:val="0"/>
    <w:rPr>
      <w:rFonts w:ascii="Tahoma" w:hAnsi="Tahoma" w:eastAsia="宋体" w:cs="Times New Roman"/>
      <w:sz w:val="24"/>
      <w:szCs w:val="20"/>
    </w:rPr>
  </w:style>
  <w:style w:type="character" w:customStyle="1" w:styleId="119">
    <w:name w:val="Body Text Char"/>
    <w:link w:val="120"/>
    <w:qFormat/>
    <w:uiPriority w:val="0"/>
    <w:rPr>
      <w:rFonts w:ascii="Georgia"/>
    </w:rPr>
  </w:style>
  <w:style w:type="paragraph" w:customStyle="1" w:styleId="120">
    <w:name w:val="Body Text1"/>
    <w:basedOn w:val="1"/>
    <w:link w:val="119"/>
    <w:qFormat/>
    <w:uiPriority w:val="0"/>
    <w:rPr>
      <w:rFonts w:ascii="Georgia"/>
    </w:rPr>
  </w:style>
  <w:style w:type="paragraph" w:customStyle="1" w:styleId="12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3">
    <w:name w:val="Char Char42"/>
    <w:qFormat/>
    <w:uiPriority w:val="0"/>
    <w:rPr>
      <w:b/>
      <w:bCs/>
      <w:sz w:val="32"/>
      <w:szCs w:val="32"/>
    </w:rPr>
  </w:style>
  <w:style w:type="paragraph" w:customStyle="1" w:styleId="12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6">
    <w:name w:val="Char Char41"/>
    <w:qFormat/>
    <w:uiPriority w:val="0"/>
    <w:rPr>
      <w:b/>
      <w:bCs/>
      <w:sz w:val="32"/>
      <w:szCs w:val="32"/>
    </w:rPr>
  </w:style>
  <w:style w:type="character" w:customStyle="1" w:styleId="127">
    <w:name w:val="副标题 Char"/>
    <w:basedOn w:val="47"/>
    <w:link w:val="35"/>
    <w:qFormat/>
    <w:uiPriority w:val="11"/>
    <w:rPr>
      <w:rFonts w:ascii="Calibri Light" w:hAnsi="Calibri Light" w:eastAsia="宋体" w:cs="Times New Roman"/>
      <w:b/>
      <w:bCs/>
      <w:kern w:val="28"/>
      <w:sz w:val="32"/>
      <w:szCs w:val="32"/>
    </w:rPr>
  </w:style>
  <w:style w:type="table" w:customStyle="1" w:styleId="128">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44">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3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6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5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6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7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fontstyle01"/>
    <w:basedOn w:val="47"/>
    <w:qFormat/>
    <w:uiPriority w:val="0"/>
    <w:rPr>
      <w:rFonts w:hint="default" w:ascii="CIDFont+F4" w:hAnsi="CIDFont+F4"/>
      <w:color w:val="000000"/>
      <w:sz w:val="28"/>
      <w:szCs w:val="28"/>
    </w:rPr>
  </w:style>
  <w:style w:type="character" w:customStyle="1" w:styleId="162">
    <w:name w:val="fontstyle21"/>
    <w:basedOn w:val="47"/>
    <w:qFormat/>
    <w:uiPriority w:val="0"/>
    <w:rPr>
      <w:rFonts w:hint="default" w:ascii="CIDFont+F1" w:hAnsi="CIDFont+F1"/>
      <w:color w:val="000000"/>
      <w:sz w:val="28"/>
      <w:szCs w:val="28"/>
    </w:rPr>
  </w:style>
  <w:style w:type="table" w:customStyle="1" w:styleId="163">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72"/>
    <w:basedOn w:val="4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3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2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WPSOffice手动目录 1"/>
    <w:qFormat/>
    <w:uiPriority w:val="0"/>
    <w:rPr>
      <w:rFonts w:asciiTheme="minorHAnsi" w:hAnsiTheme="minorHAnsi" w:eastAsiaTheme="minorEastAsia" w:cstheme="minorBidi"/>
      <w:lang w:val="en-US" w:eastAsia="zh-CN" w:bidi="ar-SA"/>
    </w:rPr>
  </w:style>
  <w:style w:type="paragraph" w:customStyle="1" w:styleId="16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9">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170">
    <w:name w:val="网格型34"/>
    <w:basedOn w:val="45"/>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修订2"/>
    <w:hidden/>
    <w:semiHidden/>
    <w:qFormat/>
    <w:uiPriority w:val="99"/>
    <w:rPr>
      <w:rFonts w:ascii="Calibri" w:hAnsi="Calibri" w:eastAsia="宋体" w:cs="Times New Roman"/>
      <w:kern w:val="2"/>
      <w:sz w:val="21"/>
      <w:szCs w:val="22"/>
      <w:lang w:val="en-US" w:eastAsia="zh-CN" w:bidi="ar-SA"/>
    </w:rPr>
  </w:style>
  <w:style w:type="table" w:customStyle="1" w:styleId="172">
    <w:name w:val="网格型2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35"/>
    <w:basedOn w:val="4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25"/>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5">
    <w:name w:val="标题 Char2"/>
    <w:basedOn w:val="47"/>
    <w:link w:val="43"/>
    <w:qFormat/>
    <w:uiPriority w:val="10"/>
    <w:rPr>
      <w:rFonts w:eastAsia="宋体" w:asciiTheme="majorHAnsi" w:hAnsiTheme="majorHAnsi" w:cstheme="majorBidi"/>
      <w:b/>
      <w:bCs/>
      <w:sz w:val="32"/>
      <w:szCs w:val="32"/>
    </w:rPr>
  </w:style>
  <w:style w:type="character" w:customStyle="1" w:styleId="176">
    <w:name w:val="标题 2 Char1"/>
    <w:basedOn w:val="47"/>
    <w:semiHidden/>
    <w:qFormat/>
    <w:uiPriority w:val="9"/>
    <w:rPr>
      <w:rFonts w:asciiTheme="majorHAnsi" w:hAnsiTheme="majorHAnsi" w:eastAsiaTheme="majorEastAsia" w:cstheme="majorBidi"/>
      <w:b/>
      <w:bCs/>
      <w:sz w:val="32"/>
      <w:szCs w:val="32"/>
    </w:rPr>
  </w:style>
  <w:style w:type="character" w:customStyle="1" w:styleId="177">
    <w:name w:val="副标题 Char1"/>
    <w:basedOn w:val="47"/>
    <w:qFormat/>
    <w:uiPriority w:val="11"/>
    <w:rPr>
      <w:rFonts w:eastAsia="宋体" w:asciiTheme="majorHAnsi" w:hAnsiTheme="majorHAnsi" w:cstheme="majorBidi"/>
      <w:b/>
      <w:bCs/>
      <w:kern w:val="28"/>
      <w:sz w:val="32"/>
      <w:szCs w:val="32"/>
    </w:rPr>
  </w:style>
  <w:style w:type="table" w:customStyle="1" w:styleId="178">
    <w:name w:val="网格型61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2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7"/>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4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29"/>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5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63"/>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18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8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10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3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110"/>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36"/>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14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51"/>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92"/>
    <w:basedOn w:val="4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3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4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4494</Words>
  <Characters>25617</Characters>
  <Lines>213</Lines>
  <Paragraphs>60</Paragraphs>
  <TotalTime>19</TotalTime>
  <ScaleCrop>false</ScaleCrop>
  <LinksUpToDate>false</LinksUpToDate>
  <CharactersWithSpaces>30051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2023-12-17T07:50:00Z</dcterms:created>
  <dc:creator>黄伊晨hyc</dc:creator>
  <cp:lastModifiedBy>cuiyq</cp:lastModifiedBy>
  <dcterms:modified xsi:type="dcterms:W3CDTF">2024-12-24T15:36:11Z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B2B139F8FCD7D24213BA356798EE4B4F_42</vt:lpwstr>
  </property>
</Properties>
</file>