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w:t>
                            </w:r>
                            <w:r>
                              <w:rPr>
                                <w:rFonts w:hint="eastAsia" w:ascii="Times New Roman" w:hAnsi="Times New Roman" w:eastAsia="方正大标宋简体"/>
                                <w:color w:val="000000" w:themeColor="text1"/>
                                <w:sz w:val="44"/>
                                <w:szCs w:val="44"/>
                                <w14:textFill>
                                  <w14:solidFill>
                                    <w14:schemeClr w14:val="tx1"/>
                                  </w14:solidFill>
                                </w14:textFill>
                              </w:rPr>
                              <w:t>私募管理机构</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w:t>
                      </w:r>
                      <w:r>
                        <w:rPr>
                          <w:rFonts w:hint="eastAsia" w:ascii="Times New Roman" w:hAnsi="Times New Roman" w:eastAsia="方正大标宋简体"/>
                          <w:color w:val="000000" w:themeColor="text1"/>
                          <w:sz w:val="44"/>
                          <w:szCs w:val="44"/>
                          <w14:textFill>
                            <w14:solidFill>
                              <w14:schemeClr w14:val="tx1"/>
                            </w14:solidFill>
                          </w14:textFill>
                        </w:rPr>
                        <w:t>私募管理机构</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20290"/>
      <w:bookmarkStart w:id="5" w:name="_Toc17493"/>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4"/>
        <w:gridCol w:w="1676"/>
        <w:gridCol w:w="1820"/>
        <w:gridCol w:w="182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76"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D7D7D7" w:themeFill="background1" w:themeFillShade="D8"/>
            <w:vAlign w:val="center"/>
          </w:tcPr>
          <w:p>
            <w:pPr>
              <w:widowControl/>
              <w:jc w:val="center"/>
              <w:rPr>
                <w:rFonts w:ascii="宋体" w:hAnsi="宋体" w:eastAsia="宋体" w:cs="宋体"/>
                <w:b/>
                <w:color w:val="000000"/>
                <w:kern w:val="0"/>
                <w:sz w:val="22"/>
              </w:rPr>
            </w:pPr>
            <w:r>
              <w:rPr>
                <w:rFonts w:hint="eastAsia" w:ascii="宋体" w:hAnsi="宋体" w:cs="宋体"/>
                <w:b/>
                <w:color w:val="000000"/>
                <w:kern w:val="0"/>
                <w:sz w:val="22"/>
              </w:rPr>
              <w:t>行业主要财务及监管指标</w:t>
            </w:r>
          </w:p>
        </w:tc>
        <w:tc>
          <w:tcPr>
            <w:tcW w:w="1676" w:type="dxa"/>
            <w:shd w:val="clear" w:color="auto" w:fill="D7D7D7" w:themeFill="background1" w:themeFillShade="D8"/>
            <w:vAlign w:val="center"/>
          </w:tcPr>
          <w:p>
            <w:pPr>
              <w:widowControl/>
              <w:jc w:val="center"/>
              <w:rPr>
                <w:rFonts w:ascii="宋体" w:hAnsi="宋体" w:eastAsia="宋体" w:cs="宋体"/>
                <w:color w:val="000000"/>
                <w:kern w:val="0"/>
                <w:sz w:val="22"/>
              </w:rPr>
            </w:pPr>
            <w:r>
              <w:rPr>
                <w:rFonts w:hint="eastAsia" w:asciiTheme="minorEastAsia" w:hAnsiTheme="minorEastAsia"/>
                <w:b/>
                <w:color w:val="000000" w:themeColor="text1"/>
                <w:kern w:val="0"/>
                <w:sz w:val="22"/>
                <w14:textFill>
                  <w14:solidFill>
                    <w14:schemeClr w14:val="tx1"/>
                  </w14:solidFill>
                </w14:textFill>
              </w:rPr>
              <w:t>本期</w:t>
            </w:r>
            <w:r>
              <w:rPr>
                <w:rFonts w:asciiTheme="minorEastAsia" w:hAnsiTheme="minorEastAsia"/>
                <w:b/>
                <w:color w:val="000000" w:themeColor="text1"/>
                <w:kern w:val="0"/>
                <w:sz w:val="22"/>
                <w14:textFill>
                  <w14:solidFill>
                    <w14:schemeClr w14:val="tx1"/>
                  </w14:solidFill>
                </w14:textFill>
              </w:rPr>
              <w:t>/</w:t>
            </w:r>
            <w:r>
              <w:rPr>
                <w:rFonts w:hint="eastAsia" w:asciiTheme="minorEastAsia" w:hAnsiTheme="minorEastAsia"/>
                <w:b/>
                <w:color w:val="000000" w:themeColor="text1"/>
                <w:kern w:val="0"/>
                <w:sz w:val="22"/>
                <w14:textFill>
                  <w14:solidFill>
                    <w14:schemeClr w14:val="tx1"/>
                  </w14:solidFill>
                </w14:textFill>
              </w:rPr>
              <w:t>本期期末</w:t>
            </w:r>
          </w:p>
        </w:tc>
        <w:tc>
          <w:tcPr>
            <w:tcW w:w="1820" w:type="dxa"/>
            <w:shd w:val="clear" w:color="auto" w:fill="D7D7D7" w:themeFill="background1" w:themeFillShade="D8"/>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上年同期</w:t>
            </w:r>
            <w:r>
              <w:rPr>
                <w:rFonts w:asciiTheme="minorEastAsia" w:hAnsiTheme="minorEastAsia"/>
                <w:b/>
                <w:color w:val="000000" w:themeColor="text1"/>
                <w:kern w:val="0"/>
                <w:sz w:val="22"/>
                <w14:textFill>
                  <w14:solidFill>
                    <w14:schemeClr w14:val="tx1"/>
                  </w14:solidFill>
                </w14:textFill>
              </w:rPr>
              <w:t>/</w:t>
            </w:r>
          </w:p>
          <w:p>
            <w:pPr>
              <w:widowControl/>
              <w:jc w:val="center"/>
              <w:rPr>
                <w:rFonts w:ascii="宋体" w:hAnsi="宋体" w:eastAsia="宋体" w:cs="宋体"/>
                <w:color w:val="000000"/>
                <w:kern w:val="0"/>
                <w:sz w:val="22"/>
              </w:rPr>
            </w:pPr>
            <w:r>
              <w:rPr>
                <w:rFonts w:hint="eastAsia" w:asciiTheme="minorEastAsia" w:hAnsiTheme="minorEastAsia"/>
                <w:b/>
                <w:color w:val="000000" w:themeColor="text1"/>
                <w:kern w:val="0"/>
                <w:sz w:val="22"/>
                <w14:textFill>
                  <w14:solidFill>
                    <w14:schemeClr w14:val="tx1"/>
                  </w14:solidFill>
                </w14:textFill>
              </w:rPr>
              <w:t>上期期末</w:t>
            </w:r>
          </w:p>
        </w:tc>
        <w:tc>
          <w:tcPr>
            <w:tcW w:w="1820" w:type="dxa"/>
            <w:shd w:val="clear" w:color="auto" w:fill="D7D7D7" w:themeFill="background1" w:themeFillShade="D8"/>
            <w:vAlign w:val="center"/>
          </w:tcPr>
          <w:p>
            <w:pPr>
              <w:widowControl/>
              <w:jc w:val="center"/>
              <w:rPr>
                <w:rFonts w:ascii="宋体" w:hAnsi="宋体" w:eastAsia="宋体" w:cs="宋体"/>
                <w:color w:val="000000"/>
                <w:kern w:val="0"/>
                <w:sz w:val="22"/>
              </w:rPr>
            </w:pPr>
            <w:r>
              <w:rPr>
                <w:rFonts w:hint="eastAsia" w:asciiTheme="minorEastAsia" w:hAnsi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私募</w:t>
            </w:r>
            <w:r>
              <w:rPr>
                <w:rFonts w:asciiTheme="minorEastAsia" w:hAnsiTheme="minorEastAsia"/>
                <w:color w:val="000000" w:themeColor="text1"/>
                <w:kern w:val="0"/>
                <w:sz w:val="22"/>
                <w14:textFill>
                  <w14:solidFill>
                    <w14:schemeClr w14:val="tx1"/>
                  </w14:solidFill>
                </w14:textFill>
              </w:rPr>
              <w:t>证券投资基金规模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私募</w:t>
            </w:r>
            <w:r>
              <w:rPr>
                <w:rFonts w:asciiTheme="minorEastAsia" w:hAnsiTheme="minorEastAsia"/>
                <w:color w:val="000000" w:themeColor="text1"/>
                <w:kern w:val="0"/>
                <w:sz w:val="22"/>
                <w14:textFill>
                  <w14:solidFill>
                    <w14:schemeClr w14:val="tx1"/>
                  </w14:solidFill>
                </w14:textFill>
              </w:rPr>
              <w:t>股权</w:t>
            </w:r>
            <w:r>
              <w:rPr>
                <w:rFonts w:hint="eastAsia" w:asciiTheme="minorEastAsia" w:hAnsiTheme="minorEastAsia"/>
                <w:color w:val="000000" w:themeColor="text1"/>
                <w:kern w:val="0"/>
                <w:sz w:val="22"/>
                <w14:textFill>
                  <w14:solidFill>
                    <w14:schemeClr w14:val="tx1"/>
                  </w14:solidFill>
                </w14:textFill>
              </w:rPr>
              <w:t>、创业</w:t>
            </w:r>
            <w:r>
              <w:rPr>
                <w:rFonts w:asciiTheme="minorEastAsia" w:hAnsiTheme="minorEastAsia"/>
                <w:color w:val="000000" w:themeColor="text1"/>
                <w:kern w:val="0"/>
                <w:sz w:val="22"/>
                <w14:textFill>
                  <w14:solidFill>
                    <w14:schemeClr w14:val="tx1"/>
                  </w14:solidFill>
                </w14:textFill>
              </w:rPr>
              <w:t>投资基金规模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其他类型基金</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3544" w:type="dxa"/>
            <w:shd w:val="clear" w:color="auto" w:fill="auto"/>
          </w:tcPr>
          <w:p>
            <w:pPr>
              <w:widowControl/>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（自动添行）</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应收</w:t>
            </w:r>
            <w:r>
              <w:rPr>
                <w:rFonts w:asciiTheme="minorEastAsia" w:hAnsiTheme="minorEastAsia"/>
                <w:color w:val="000000" w:themeColor="text1"/>
                <w:sz w:val="22"/>
                <w14:textFill>
                  <w14:solidFill>
                    <w14:schemeClr w14:val="tx1"/>
                  </w14:solidFill>
                </w14:textFill>
              </w:rPr>
              <w:t>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存货</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投资性</w:t>
            </w:r>
            <w:r>
              <w:rPr>
                <w:rFonts w:asciiTheme="minorEastAsia" w:hAnsiTheme="minorEastAsia"/>
                <w:color w:val="000000" w:themeColor="text1"/>
                <w:sz w:val="22"/>
                <w14:textFill>
                  <w14:solidFill>
                    <w14:schemeClr w14:val="tx1"/>
                  </w14:solidFill>
                </w14:textFill>
              </w:rPr>
              <w:t>房地产</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长期股权投资</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固定资产</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在建工程</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无形资产</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商誉</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短期</w:t>
            </w:r>
            <w:r>
              <w:rPr>
                <w:rFonts w:asciiTheme="minorEastAsia" w:hAnsiTheme="minorEastAsia"/>
                <w:color w:val="000000" w:themeColor="text1"/>
                <w:sz w:val="22"/>
                <w14:textFill>
                  <w14:solidFill>
                    <w14:schemeClr w14:val="tx1"/>
                  </w14:solidFill>
                </w14:textFill>
              </w:rPr>
              <w:t>借款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长期</w:t>
            </w:r>
            <w:r>
              <w:rPr>
                <w:rFonts w:asciiTheme="minorEastAsia" w:hAnsiTheme="minorEastAsia"/>
                <w:color w:val="000000" w:themeColor="text1"/>
                <w:sz w:val="22"/>
                <w14:textFill>
                  <w14:solidFill>
                    <w14:schemeClr w14:val="tx1"/>
                  </w14:solidFill>
                </w14:textFill>
              </w:rPr>
              <w:t>借款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eastAsia="宋体" w:cs="Times New Roman" w:asciiTheme="minorEastAsia" w:hAnsi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经营</w:t>
      </w:r>
      <w:r>
        <w:rPr>
          <w:rFonts w:hint="eastAsia" w:ascii="Times New Roman" w:hAnsi="Times New Roman" w:eastAsia="宋体" w:cs="Times New Roman"/>
          <w:b/>
          <w:bCs/>
          <w:szCs w:val="32"/>
          <w:lang w:val="zh-CN"/>
        </w:rPr>
        <w:t>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708"/>
        <w:gridCol w:w="2127"/>
        <w:gridCol w:w="708"/>
        <w:gridCol w:w="2127"/>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984"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vAlign w:val="center"/>
          </w:tcPr>
          <w:p>
            <w:pPr>
              <w:tabs>
                <w:tab w:val="left" w:pos="5140"/>
              </w:tabs>
              <w:jc w:val="center"/>
              <w:rPr>
                <w:rFonts w:ascii="宋体" w:hAnsi="宋体" w:eastAsia="宋体" w:cs="Times New Roman"/>
                <w:color w:val="000000"/>
                <w:sz w:val="22"/>
              </w:rPr>
            </w:pP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984"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营业收入</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营业成本</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jc w:val="left"/>
              <w:rPr>
                <w:rFonts w:ascii="宋体" w:hAnsi="宋体" w:eastAsia="宋体" w:cs="Times New Roman"/>
                <w:color w:val="000000"/>
                <w:sz w:val="22"/>
              </w:rPr>
            </w:pPr>
            <w:r>
              <w:rPr>
                <w:rFonts w:hint="eastAsia" w:ascii="宋体" w:hAnsi="宋体" w:eastAsia="宋体" w:cs="Times New Roman"/>
                <w:color w:val="000000"/>
                <w:sz w:val="22"/>
              </w:rPr>
              <w:t>毛利率%</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1984"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销售费用</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管理费用</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研发费用</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财务费用</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信用减值损失</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资产减值损失</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其他收益</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投资收益</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公允价值变动收益</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资产处置收益</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汇兑收益</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营业利润</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营业外收入</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营业外支出</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净利润</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w:t>
            </w:r>
            <w:r>
              <w:rPr>
                <w:rFonts w:asciiTheme="minorEastAsia" w:hAnsiTheme="minorEastAsia"/>
                <w:color w:val="000000" w:themeColor="text1"/>
                <w:sz w:val="22"/>
                <w14:textFill>
                  <w14:solidFill>
                    <w14:schemeClr w14:val="tx1"/>
                  </w14:solidFill>
                </w14:textFill>
              </w:rPr>
              <w:t>自动添行）</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eastAsia="宋体" w:cs="Times New Roman" w:asciiTheme="minorEastAsia" w:hAnsiTheme="minorEastAsia"/>
                <w:i/>
                <w:color w:val="FF0000"/>
                <w:kern w:val="0"/>
                <w:sz w:val="20"/>
                <w:szCs w:val="44"/>
              </w:rPr>
              <w:t>公司可免于分析金额占营业收入</w:t>
            </w:r>
            <w:r>
              <w:rPr>
                <w:rFonts w:eastAsia="宋体" w:cs="Times New Roman" w:asciiTheme="minorEastAsia" w:hAnsi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32"/>
        <w:gridCol w:w="2233"/>
        <w:gridCol w:w="2233"/>
        <w:gridCol w:w="22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主营业务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其他业务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主营</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其他</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bl>
    <w:p>
      <w:pPr>
        <w:tabs>
          <w:tab w:val="left" w:pos="5140"/>
        </w:tabs>
        <w:rPr>
          <w:rFonts w:ascii="宋体" w:hAnsi="宋体" w:eastAsia="宋体" w:cs="Times New Roman"/>
          <w:color w:val="000000"/>
          <w:szCs w:val="44"/>
        </w:rPr>
      </w:pPr>
      <w:r>
        <w:rPr>
          <w:rFonts w:ascii="宋体" w:hAnsi="宋体" w:eastAsia="宋体" w:cs="Times New Roman"/>
          <w:b/>
          <w:color w:val="000000"/>
          <w:szCs w:val="44"/>
        </w:rPr>
        <w:t>按产品分类分析</w:t>
      </w:r>
      <w:r>
        <w:rPr>
          <w:rFonts w:ascii="宋体" w:hAnsi="宋体" w:eastAsia="宋体" w:cs="Times New Roman"/>
          <w:color w:val="000000"/>
          <w:szCs w:val="44"/>
        </w:rPr>
        <w:t xml:space="preserve"> </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宋体" w:hAnsi="宋体" w:eastAsia="宋体" w:cs="Times New Roman"/>
          <w:color w:val="000000"/>
          <w:szCs w:val="44"/>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34"/>
        <w:gridCol w:w="113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bl>
    <w:p>
      <w:pPr>
        <w:tabs>
          <w:tab w:val="left" w:pos="5140"/>
        </w:tabs>
        <w:rPr>
          <w:rFonts w:ascii="Calibri" w:hAnsi="Calibri" w:eastAsia="宋体" w:cs="Times New Roman"/>
          <w:color w:val="000000"/>
        </w:rPr>
      </w:pPr>
      <w:r>
        <w:rPr>
          <w:rFonts w:ascii="宋体" w:hAnsi="宋体" w:eastAsia="宋体" w:cs="Times New Roman"/>
          <w:b/>
          <w:color w:val="000000"/>
          <w:szCs w:val="44"/>
        </w:rPr>
        <w:t>按</w:t>
      </w:r>
      <w:r>
        <w:rPr>
          <w:rFonts w:hint="eastAsia" w:ascii="宋体" w:hAnsi="宋体" w:eastAsia="宋体" w:cs="Times New Roman"/>
          <w:b/>
          <w:color w:val="000000"/>
          <w:szCs w:val="44"/>
        </w:rPr>
        <w:t>地区</w:t>
      </w:r>
      <w:r>
        <w:rPr>
          <w:rFonts w:ascii="宋体" w:hAnsi="宋体" w:eastAsia="宋体" w:cs="Times New Roman"/>
          <w:b/>
          <w:color w:val="000000"/>
          <w:szCs w:val="44"/>
        </w:rPr>
        <w:t>分类分析</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64"/>
        <w:gridCol w:w="110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6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注：若</w:t>
            </w:r>
            <w:r>
              <w:rPr>
                <w:rFonts w:ascii="宋体" w:hAnsi="宋体" w:eastAsia="宋体" w:cs="Times New Roman"/>
                <w:i/>
                <w:color w:val="FF0000"/>
                <w:szCs w:val="44"/>
              </w:rPr>
              <w:t>收入构成发生重大变</w:t>
            </w:r>
            <w:r>
              <w:rPr>
                <w:rFonts w:hint="eastAsia" w:ascii="宋体" w:hAnsi="宋体" w:eastAsia="宋体" w:cs="Times New Roman"/>
                <w:i/>
                <w:color w:val="FF0000"/>
                <w:szCs w:val="44"/>
              </w:rPr>
              <w:t>动</w:t>
            </w:r>
            <w:r>
              <w:rPr>
                <w:rFonts w:ascii="宋体" w:hAnsi="宋体" w:eastAsia="宋体" w:cs="Times New Roman"/>
                <w:i/>
                <w:color w:val="FF0000"/>
                <w:szCs w:val="44"/>
              </w:rPr>
              <w:t>，应当详细说明具体变动情况及原因。</w:t>
            </w:r>
            <w:r>
              <w:rPr>
                <w:rFonts w:hint="eastAsia" w:ascii="宋体" w:hAnsi="宋体" w:eastAsia="宋体" w:cs="Times New Roman"/>
                <w:i/>
                <w:color w:val="FF0000"/>
                <w:szCs w:val="44"/>
              </w:rPr>
              <w:t>对与上年同期相比变动达到或超过</w:t>
            </w:r>
            <w:r>
              <w:rPr>
                <w:rFonts w:ascii="宋体" w:hAnsi="宋体" w:eastAsia="宋体" w:cs="Times New Roman"/>
                <w:i/>
                <w:color w:val="FF0000"/>
                <w:szCs w:val="44"/>
              </w:rPr>
              <w:t>30%的项目，应充分解释导致变动的原因。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主要客户情况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客户</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销售金额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年度销售</w:t>
            </w:r>
            <w:r>
              <w:rPr>
                <w:rFonts w:ascii="宋体" w:hAnsi="宋体" w:eastAsia="宋体" w:cs="Times New Roman"/>
                <w:b/>
                <w:color w:val="000000"/>
                <w:kern w:val="0"/>
                <w:sz w:val="22"/>
                <w:szCs w:val="20"/>
              </w:rPr>
              <w:t>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rPr>
          <w:rFonts w:ascii="Calibri" w:hAnsi="Calibri" w:eastAsia="宋体" w:cs="Times New Roman"/>
          <w:b/>
          <w:color w:val="000000"/>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属于同一控制人控制的客户视为同一客户合并列示，受同一国有资产管理机构实际控制的除外。</w:t>
      </w:r>
    </w:p>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主要供应商情况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供应商</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采购金额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w:t>
            </w:r>
            <w:r>
              <w:rPr>
                <w:rFonts w:ascii="宋体" w:hAnsi="宋体" w:eastAsia="宋体" w:cs="Times New Roman"/>
                <w:b/>
                <w:color w:val="000000"/>
                <w:kern w:val="0"/>
                <w:sz w:val="22"/>
                <w:szCs w:val="20"/>
              </w:rPr>
              <w:t>采购占比%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hint="default"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属于同一控制人控制的供应商视为同一供应商合并列示，受同一国有资产管理机构实际控制的除外。</w:t>
      </w:r>
      <w:r>
        <w:rPr>
          <w:rFonts w:ascii="宋体" w:hAnsi="宋体" w:eastAsia="宋体" w:cs="Times New Roman"/>
          <w:i/>
          <w:color w:val="FF0000"/>
          <w:szCs w:val="44"/>
        </w:rPr>
        <w:t xml:space="preserve"> </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五、专门信息披露</w:t>
      </w:r>
    </w:p>
    <w:p>
      <w:pPr>
        <w:pStyle w:val="4"/>
        <w:spacing w:line="240" w:lineRule="auto"/>
        <w:rPr>
          <w:b w:val="0"/>
          <w:bCs w:val="0"/>
          <w:sz w:val="21"/>
        </w:rPr>
      </w:pPr>
      <w:r>
        <w:rPr>
          <w:rFonts w:hint="eastAsia"/>
          <w:sz w:val="21"/>
        </w:rPr>
        <w:t>（一）存续基金概括</w:t>
      </w:r>
    </w:p>
    <w:tbl>
      <w:tblPr>
        <w:tblStyle w:val="46"/>
        <w:tblW w:w="968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136"/>
        <w:gridCol w:w="1607"/>
        <w:gridCol w:w="1425"/>
        <w:gridCol w:w="1363"/>
        <w:gridCol w:w="1559"/>
        <w:gridCol w:w="159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44" w:hRule="atLeast"/>
        </w:trPr>
        <w:tc>
          <w:tcPr>
            <w:tcW w:w="2136"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备案类别</w:t>
            </w:r>
          </w:p>
        </w:tc>
        <w:tc>
          <w:tcPr>
            <w:tcW w:w="1607"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认缴金额</w:t>
            </w:r>
          </w:p>
        </w:tc>
        <w:tc>
          <w:tcPr>
            <w:tcW w:w="1425"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实缴金额</w:t>
            </w:r>
          </w:p>
        </w:tc>
        <w:tc>
          <w:tcPr>
            <w:tcW w:w="1363"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未退出投资</w:t>
            </w:r>
          </w:p>
        </w:tc>
        <w:tc>
          <w:tcPr>
            <w:tcW w:w="1559"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已退出投资</w:t>
            </w:r>
          </w:p>
        </w:tc>
        <w:tc>
          <w:tcPr>
            <w:tcW w:w="1599" w:type="dxa"/>
            <w:shd w:val="pct10" w:color="auto" w:fill="auto"/>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管理基金获取收入占总收入的比例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4" w:hRule="atLeast"/>
        </w:trPr>
        <w:tc>
          <w:tcPr>
            <w:tcW w:w="2136" w:type="dxa"/>
            <w:vAlign w:val="center"/>
          </w:tcPr>
          <w:p>
            <w:pPr>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私募证券投资基金</w:t>
            </w:r>
          </w:p>
        </w:tc>
        <w:tc>
          <w:tcPr>
            <w:tcW w:w="1607"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25"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363"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59"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9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6" w:hRule="atLeast"/>
        </w:trPr>
        <w:tc>
          <w:tcPr>
            <w:tcW w:w="2136" w:type="dxa"/>
            <w:vAlign w:val="center"/>
          </w:tcPr>
          <w:p>
            <w:pPr>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私募股权、创业投资基金</w:t>
            </w:r>
          </w:p>
        </w:tc>
        <w:tc>
          <w:tcPr>
            <w:tcW w:w="1607"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25"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363"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59"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9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4" w:hRule="atLeast"/>
        </w:trPr>
        <w:tc>
          <w:tcPr>
            <w:tcW w:w="2136" w:type="dxa"/>
            <w:vAlign w:val="center"/>
          </w:tcPr>
          <w:p>
            <w:pPr>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其他</w:t>
            </w:r>
            <w:r>
              <w:rPr>
                <w:rFonts w:asciiTheme="minorEastAsia" w:hAnsiTheme="minorEastAsia"/>
                <w:color w:val="000000" w:themeColor="text1"/>
                <w:kern w:val="0"/>
                <w:sz w:val="22"/>
                <w:szCs w:val="20"/>
                <w14:textFill>
                  <w14:solidFill>
                    <w14:schemeClr w14:val="tx1"/>
                  </w14:solidFill>
                </w14:textFill>
              </w:rPr>
              <w:t>类型基金</w:t>
            </w:r>
          </w:p>
        </w:tc>
        <w:tc>
          <w:tcPr>
            <w:tcW w:w="1607"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25"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363"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59"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9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4" w:hRule="atLeast"/>
        </w:trPr>
        <w:tc>
          <w:tcPr>
            <w:tcW w:w="2136" w:type="dxa"/>
            <w:vAlign w:val="center"/>
          </w:tcPr>
          <w:p>
            <w:pPr>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（自动添行）</w:t>
            </w:r>
          </w:p>
        </w:tc>
        <w:tc>
          <w:tcPr>
            <w:tcW w:w="1607"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25"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363"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59" w:type="dxa"/>
            <w:vAlign w:val="center"/>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9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bl>
    <w:p>
      <w:pPr>
        <w:pStyle w:val="4"/>
        <w:spacing w:line="240" w:lineRule="auto"/>
        <w:rPr>
          <w:sz w:val="21"/>
        </w:rPr>
      </w:pPr>
      <w:r>
        <w:rPr>
          <w:rFonts w:hint="eastAsia"/>
          <w:sz w:val="21"/>
        </w:rPr>
        <w:t>（二）对当期收入贡献最大的前五支基金</w:t>
      </w:r>
    </w:p>
    <w:tbl>
      <w:tblPr>
        <w:tblStyle w:val="46"/>
        <w:tblW w:w="97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03"/>
        <w:gridCol w:w="1584"/>
        <w:gridCol w:w="1276"/>
        <w:gridCol w:w="1116"/>
        <w:gridCol w:w="1435"/>
        <w:gridCol w:w="1418"/>
        <w:gridCol w:w="156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80" w:hRule="atLeast"/>
        </w:trPr>
        <w:tc>
          <w:tcPr>
            <w:tcW w:w="1403"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基金名称</w:t>
            </w:r>
          </w:p>
        </w:tc>
        <w:tc>
          <w:tcPr>
            <w:tcW w:w="1584"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基金类型（以备案为准）</w:t>
            </w:r>
          </w:p>
        </w:tc>
        <w:tc>
          <w:tcPr>
            <w:tcW w:w="1276"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认缴金额</w:t>
            </w:r>
          </w:p>
        </w:tc>
        <w:tc>
          <w:tcPr>
            <w:tcW w:w="1116"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实缴金额</w:t>
            </w:r>
          </w:p>
        </w:tc>
        <w:tc>
          <w:tcPr>
            <w:tcW w:w="1435"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未退出投资</w:t>
            </w:r>
          </w:p>
        </w:tc>
        <w:tc>
          <w:tcPr>
            <w:tcW w:w="1418"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已退出投资</w:t>
            </w:r>
          </w:p>
        </w:tc>
        <w:tc>
          <w:tcPr>
            <w:tcW w:w="1566"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管理基金获取收入占总收入的比例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403" w:type="dxa"/>
          </w:tcPr>
          <w:p>
            <w:pPr>
              <w:jc w:val="left"/>
              <w:rPr>
                <w:rFonts w:asciiTheme="minorEastAsia" w:hAnsiTheme="minorEastAsia"/>
                <w:color w:val="000000" w:themeColor="text1"/>
                <w:kern w:val="0"/>
                <w:sz w:val="22"/>
                <w:szCs w:val="20"/>
                <w14:textFill>
                  <w14:solidFill>
                    <w14:schemeClr w14:val="tx1"/>
                  </w14:solidFill>
                </w14:textFill>
              </w:rPr>
            </w:pPr>
          </w:p>
        </w:tc>
        <w:tc>
          <w:tcPr>
            <w:tcW w:w="1584"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1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1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6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403" w:type="dxa"/>
          </w:tcPr>
          <w:p>
            <w:pPr>
              <w:jc w:val="left"/>
              <w:rPr>
                <w:rFonts w:asciiTheme="minorEastAsia" w:hAnsiTheme="minorEastAsia"/>
                <w:color w:val="000000" w:themeColor="text1"/>
                <w:kern w:val="0"/>
                <w:sz w:val="22"/>
                <w:szCs w:val="20"/>
                <w14:textFill>
                  <w14:solidFill>
                    <w14:schemeClr w14:val="tx1"/>
                  </w14:solidFill>
                </w14:textFill>
              </w:rPr>
            </w:pPr>
          </w:p>
        </w:tc>
        <w:tc>
          <w:tcPr>
            <w:tcW w:w="1584"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1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1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6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403" w:type="dxa"/>
          </w:tcPr>
          <w:p>
            <w:pPr>
              <w:jc w:val="left"/>
              <w:rPr>
                <w:rFonts w:asciiTheme="minorEastAsia" w:hAnsiTheme="minorEastAsia"/>
                <w:color w:val="000000" w:themeColor="text1"/>
                <w:kern w:val="0"/>
                <w:sz w:val="22"/>
                <w:szCs w:val="20"/>
                <w14:textFill>
                  <w14:solidFill>
                    <w14:schemeClr w14:val="tx1"/>
                  </w14:solidFill>
                </w14:textFill>
              </w:rPr>
            </w:pPr>
          </w:p>
        </w:tc>
        <w:tc>
          <w:tcPr>
            <w:tcW w:w="1584"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1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1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6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403" w:type="dxa"/>
          </w:tcPr>
          <w:p>
            <w:pPr>
              <w:jc w:val="left"/>
              <w:rPr>
                <w:rFonts w:asciiTheme="minorEastAsia" w:hAnsiTheme="minorEastAsia"/>
                <w:color w:val="000000" w:themeColor="text1"/>
                <w:kern w:val="0"/>
                <w:sz w:val="22"/>
                <w:szCs w:val="20"/>
                <w14:textFill>
                  <w14:solidFill>
                    <w14:schemeClr w14:val="tx1"/>
                  </w14:solidFill>
                </w14:textFill>
              </w:rPr>
            </w:pPr>
          </w:p>
        </w:tc>
        <w:tc>
          <w:tcPr>
            <w:tcW w:w="1584"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1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1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6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403" w:type="dxa"/>
          </w:tcPr>
          <w:p>
            <w:pPr>
              <w:jc w:val="left"/>
              <w:rPr>
                <w:rFonts w:asciiTheme="minorEastAsia" w:hAnsiTheme="minorEastAsia"/>
                <w:color w:val="000000" w:themeColor="text1"/>
                <w:kern w:val="0"/>
                <w:sz w:val="22"/>
                <w:szCs w:val="20"/>
                <w14:textFill>
                  <w14:solidFill>
                    <w14:schemeClr w14:val="tx1"/>
                  </w14:solidFill>
                </w14:textFill>
              </w:rPr>
            </w:pPr>
          </w:p>
        </w:tc>
        <w:tc>
          <w:tcPr>
            <w:tcW w:w="1584"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27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11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3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41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1566"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bl>
    <w:tbl>
      <w:tblPr>
        <w:tblStyle w:val="19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披露对当期收入贡献最大的前五支基金估值及收益测算的，应同时披露估值方法及其合理性。</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pStyle w:val="4"/>
        <w:spacing w:line="240" w:lineRule="auto"/>
        <w:rPr>
          <w:b w:val="0"/>
          <w:bCs w:val="0"/>
          <w:sz w:val="21"/>
        </w:rPr>
      </w:pPr>
      <w:r>
        <w:rPr>
          <w:rFonts w:hint="eastAsia"/>
          <w:sz w:val="21"/>
        </w:rPr>
        <w:t>（三）新设立基金情况</w:t>
      </w:r>
    </w:p>
    <w:p>
      <w:pPr>
        <w:tabs>
          <w:tab w:val="left" w:pos="5140"/>
        </w:tabs>
        <w:rPr>
          <w:rFonts w:eastAsia="宋体" w:cs="Times New Roman" w:asciiTheme="minorEastAsia" w:hAnsiTheme="minorEastAsia"/>
          <w:b/>
          <w:color w:val="000000" w:themeColor="text1"/>
          <w:szCs w:val="44"/>
          <w14:textFill>
            <w14:solidFill>
              <w14:schemeClr w14:val="tx1"/>
            </w14:solidFill>
          </w14:textFill>
        </w:rPr>
      </w:pPr>
      <w:r>
        <w:rPr>
          <w:rFonts w:eastAsia="宋体" w:cs="Times New Roman" w:asciiTheme="minorEastAsia" w:hAnsiTheme="minorEastAsia"/>
          <w:b/>
          <w:color w:val="000000" w:themeColor="text1"/>
          <w:szCs w:val="44"/>
          <w14:textFill>
            <w14:solidFill>
              <w14:schemeClr w14:val="tx1"/>
            </w14:solidFill>
          </w14:textFill>
        </w:rPr>
        <w:t>1</w:t>
      </w:r>
      <w:r>
        <w:rPr>
          <w:rFonts w:hint="eastAsia" w:eastAsia="宋体" w:cs="Times New Roman" w:asciiTheme="minorEastAsia" w:hAnsiTheme="minorEastAsia"/>
          <w:b/>
          <w:color w:val="000000" w:themeColor="text1"/>
          <w:szCs w:val="44"/>
          <w14:textFill>
            <w14:solidFill>
              <w14:schemeClr w14:val="tx1"/>
            </w14:solidFill>
          </w14:textFill>
        </w:rPr>
        <w:t>、新设基金情况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wordWrap w:val="0"/>
        <w:ind w:left="6300" w:right="-239" w:rightChars="-114" w:firstLine="420"/>
        <w:jc w:val="right"/>
      </w:pPr>
      <w:r>
        <w:rPr>
          <w:rFonts w:hint="eastAsia"/>
        </w:rPr>
        <w:t xml:space="preserve">  </w:t>
      </w:r>
      <w:r>
        <w:t xml:space="preserve">  </w:t>
      </w:r>
      <w:r>
        <w:rPr>
          <w:rFonts w:hint="eastAsia"/>
        </w:rPr>
        <w:t>单位：元或</w:t>
      </w:r>
      <w:r>
        <w:t>年</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30"/>
        <w:gridCol w:w="930"/>
        <w:gridCol w:w="907"/>
        <w:gridCol w:w="903"/>
        <w:gridCol w:w="558"/>
        <w:gridCol w:w="559"/>
        <w:gridCol w:w="558"/>
        <w:gridCol w:w="559"/>
        <w:gridCol w:w="903"/>
        <w:gridCol w:w="728"/>
        <w:gridCol w:w="903"/>
        <w:gridCol w:w="728"/>
        <w:gridCol w:w="61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57" w:hRule="atLeast"/>
        </w:trPr>
        <w:tc>
          <w:tcPr>
            <w:tcW w:w="930"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基金名称</w:t>
            </w:r>
          </w:p>
        </w:tc>
        <w:tc>
          <w:tcPr>
            <w:tcW w:w="930"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备案情况</w:t>
            </w:r>
          </w:p>
        </w:tc>
        <w:tc>
          <w:tcPr>
            <w:tcW w:w="907"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组织形式</w:t>
            </w:r>
          </w:p>
        </w:tc>
        <w:tc>
          <w:tcPr>
            <w:tcW w:w="903"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成立时间</w:t>
            </w:r>
          </w:p>
        </w:tc>
        <w:tc>
          <w:tcPr>
            <w:tcW w:w="1117" w:type="dxa"/>
            <w:gridSpan w:val="2"/>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基金规模</w:t>
            </w:r>
          </w:p>
        </w:tc>
        <w:tc>
          <w:tcPr>
            <w:tcW w:w="1117" w:type="dxa"/>
            <w:gridSpan w:val="2"/>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存续期间</w:t>
            </w:r>
          </w:p>
        </w:tc>
        <w:tc>
          <w:tcPr>
            <w:tcW w:w="903"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基金备案分类</w:t>
            </w:r>
          </w:p>
        </w:tc>
        <w:tc>
          <w:tcPr>
            <w:tcW w:w="728"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基金管理人</w:t>
            </w:r>
          </w:p>
        </w:tc>
        <w:tc>
          <w:tcPr>
            <w:tcW w:w="903"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基金托管人</w:t>
            </w:r>
          </w:p>
        </w:tc>
        <w:tc>
          <w:tcPr>
            <w:tcW w:w="728"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已投资金额</w:t>
            </w:r>
          </w:p>
        </w:tc>
        <w:tc>
          <w:tcPr>
            <w:tcW w:w="615" w:type="dxa"/>
            <w:vMerge w:val="restart"/>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已投资金额占比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081" w:hRule="atLeast"/>
        </w:trPr>
        <w:tc>
          <w:tcPr>
            <w:tcW w:w="930" w:type="dxa"/>
            <w:vMerge w:val="continue"/>
            <w:shd w:val="pct10" w:color="auto" w:fill="auto"/>
          </w:tcPr>
          <w:p>
            <w:pPr>
              <w:rPr>
                <w:kern w:val="0"/>
                <w:sz w:val="22"/>
                <w:szCs w:val="20"/>
              </w:rPr>
            </w:pPr>
          </w:p>
        </w:tc>
        <w:tc>
          <w:tcPr>
            <w:tcW w:w="930" w:type="dxa"/>
            <w:vMerge w:val="continue"/>
            <w:shd w:val="pct10" w:color="auto" w:fill="auto"/>
          </w:tcPr>
          <w:p>
            <w:pPr>
              <w:rPr>
                <w:kern w:val="0"/>
                <w:sz w:val="22"/>
                <w:szCs w:val="20"/>
              </w:rPr>
            </w:pPr>
          </w:p>
        </w:tc>
        <w:tc>
          <w:tcPr>
            <w:tcW w:w="907" w:type="dxa"/>
            <w:vMerge w:val="continue"/>
            <w:shd w:val="pct10" w:color="auto" w:fill="auto"/>
          </w:tcPr>
          <w:p>
            <w:pPr>
              <w:rPr>
                <w:kern w:val="0"/>
                <w:sz w:val="22"/>
                <w:szCs w:val="20"/>
              </w:rPr>
            </w:pPr>
          </w:p>
        </w:tc>
        <w:tc>
          <w:tcPr>
            <w:tcW w:w="903" w:type="dxa"/>
            <w:vMerge w:val="continue"/>
            <w:shd w:val="pct10" w:color="auto" w:fill="auto"/>
          </w:tcPr>
          <w:p>
            <w:pPr>
              <w:rPr>
                <w:kern w:val="0"/>
                <w:sz w:val="22"/>
                <w:szCs w:val="20"/>
              </w:rPr>
            </w:pPr>
          </w:p>
        </w:tc>
        <w:tc>
          <w:tcPr>
            <w:tcW w:w="558"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认缴规模</w:t>
            </w:r>
          </w:p>
        </w:tc>
        <w:tc>
          <w:tcPr>
            <w:tcW w:w="559"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实缴规模</w:t>
            </w:r>
          </w:p>
        </w:tc>
        <w:tc>
          <w:tcPr>
            <w:tcW w:w="558"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投资期</w:t>
            </w:r>
          </w:p>
        </w:tc>
        <w:tc>
          <w:tcPr>
            <w:tcW w:w="559" w:type="dxa"/>
            <w:shd w:val="pct10" w:color="auto" w:fill="auto"/>
            <w:vAlign w:val="center"/>
          </w:tcPr>
          <w:p>
            <w:pPr>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退出期</w:t>
            </w:r>
          </w:p>
        </w:tc>
        <w:tc>
          <w:tcPr>
            <w:tcW w:w="903" w:type="dxa"/>
            <w:vMerge w:val="continue"/>
            <w:shd w:val="pct10" w:color="auto" w:fill="auto"/>
          </w:tcPr>
          <w:p>
            <w:pPr>
              <w:rPr>
                <w:kern w:val="0"/>
                <w:sz w:val="22"/>
                <w:szCs w:val="20"/>
              </w:rPr>
            </w:pPr>
          </w:p>
        </w:tc>
        <w:tc>
          <w:tcPr>
            <w:tcW w:w="728" w:type="dxa"/>
            <w:vMerge w:val="continue"/>
            <w:shd w:val="pct10" w:color="auto" w:fill="auto"/>
          </w:tcPr>
          <w:p>
            <w:pPr>
              <w:rPr>
                <w:kern w:val="0"/>
                <w:sz w:val="22"/>
                <w:szCs w:val="20"/>
              </w:rPr>
            </w:pPr>
          </w:p>
        </w:tc>
        <w:tc>
          <w:tcPr>
            <w:tcW w:w="903" w:type="dxa"/>
            <w:vMerge w:val="continue"/>
            <w:shd w:val="pct10" w:color="auto" w:fill="auto"/>
          </w:tcPr>
          <w:p>
            <w:pPr>
              <w:rPr>
                <w:kern w:val="0"/>
                <w:sz w:val="22"/>
                <w:szCs w:val="20"/>
              </w:rPr>
            </w:pPr>
          </w:p>
        </w:tc>
        <w:tc>
          <w:tcPr>
            <w:tcW w:w="728" w:type="dxa"/>
            <w:vMerge w:val="continue"/>
            <w:shd w:val="pct10" w:color="auto" w:fill="auto"/>
          </w:tcPr>
          <w:p>
            <w:pPr>
              <w:rPr>
                <w:kern w:val="0"/>
                <w:sz w:val="22"/>
                <w:szCs w:val="20"/>
              </w:rPr>
            </w:pPr>
          </w:p>
        </w:tc>
        <w:tc>
          <w:tcPr>
            <w:tcW w:w="615" w:type="dxa"/>
            <w:vMerge w:val="continue"/>
            <w:shd w:val="pct10" w:color="auto" w:fill="auto"/>
          </w:tcPr>
          <w:p>
            <w:pPr>
              <w:rPr>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7" w:hRule="atLeast"/>
        </w:trPr>
        <w:tc>
          <w:tcPr>
            <w:tcW w:w="930" w:type="dxa"/>
          </w:tcPr>
          <w:p>
            <w:pPr>
              <w:jc w:val="left"/>
              <w:rPr>
                <w:rFonts w:asciiTheme="minorEastAsia" w:hAnsiTheme="minorEastAsia"/>
                <w:color w:val="000000" w:themeColor="text1"/>
                <w:kern w:val="0"/>
                <w:sz w:val="22"/>
                <w:szCs w:val="20"/>
                <w14:textFill>
                  <w14:solidFill>
                    <w14:schemeClr w14:val="tx1"/>
                  </w14:solidFill>
                </w14:textFill>
              </w:rPr>
            </w:pPr>
          </w:p>
        </w:tc>
        <w:tc>
          <w:tcPr>
            <w:tcW w:w="930"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7"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61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7" w:hRule="atLeast"/>
        </w:trPr>
        <w:tc>
          <w:tcPr>
            <w:tcW w:w="930" w:type="dxa"/>
          </w:tcPr>
          <w:p>
            <w:pPr>
              <w:jc w:val="left"/>
              <w:rPr>
                <w:rFonts w:asciiTheme="minorEastAsia" w:hAnsiTheme="minorEastAsia"/>
                <w:color w:val="000000" w:themeColor="text1"/>
                <w:kern w:val="0"/>
                <w:sz w:val="22"/>
                <w:szCs w:val="20"/>
                <w14:textFill>
                  <w14:solidFill>
                    <w14:schemeClr w14:val="tx1"/>
                  </w14:solidFill>
                </w14:textFill>
              </w:rPr>
            </w:pPr>
          </w:p>
        </w:tc>
        <w:tc>
          <w:tcPr>
            <w:tcW w:w="930"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7"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61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7" w:hRule="atLeast"/>
        </w:trPr>
        <w:tc>
          <w:tcPr>
            <w:tcW w:w="930" w:type="dxa"/>
          </w:tcPr>
          <w:p>
            <w:pPr>
              <w:jc w:val="left"/>
              <w:rPr>
                <w:rFonts w:asciiTheme="minorEastAsia" w:hAnsiTheme="minorEastAsia"/>
                <w:color w:val="000000" w:themeColor="text1"/>
                <w:kern w:val="0"/>
                <w:sz w:val="22"/>
                <w:szCs w:val="20"/>
                <w14:textFill>
                  <w14:solidFill>
                    <w14:schemeClr w14:val="tx1"/>
                  </w14:solidFill>
                </w14:textFill>
              </w:rPr>
            </w:pPr>
          </w:p>
        </w:tc>
        <w:tc>
          <w:tcPr>
            <w:tcW w:w="930"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7"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61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7" w:hRule="atLeast"/>
        </w:trPr>
        <w:tc>
          <w:tcPr>
            <w:tcW w:w="930" w:type="dxa"/>
          </w:tcPr>
          <w:p>
            <w:pPr>
              <w:jc w:val="left"/>
              <w:rPr>
                <w:rFonts w:asciiTheme="minorEastAsia" w:hAnsiTheme="minorEastAsia"/>
                <w:color w:val="000000" w:themeColor="text1"/>
                <w:kern w:val="0"/>
                <w:sz w:val="22"/>
                <w:szCs w:val="20"/>
                <w14:textFill>
                  <w14:solidFill>
                    <w14:schemeClr w14:val="tx1"/>
                  </w14:solidFill>
                </w14:textFill>
              </w:rPr>
            </w:pPr>
          </w:p>
        </w:tc>
        <w:tc>
          <w:tcPr>
            <w:tcW w:w="930"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7"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61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7" w:hRule="atLeast"/>
        </w:trPr>
        <w:tc>
          <w:tcPr>
            <w:tcW w:w="930" w:type="dxa"/>
          </w:tcPr>
          <w:p>
            <w:pPr>
              <w:jc w:val="left"/>
              <w:rPr>
                <w:rFonts w:asciiTheme="minorEastAsia" w:hAnsiTheme="minorEastAsia"/>
                <w:color w:val="000000" w:themeColor="text1"/>
                <w:kern w:val="0"/>
                <w:sz w:val="22"/>
                <w:szCs w:val="20"/>
                <w14:textFill>
                  <w14:solidFill>
                    <w14:schemeClr w14:val="tx1"/>
                  </w14:solidFill>
                </w14:textFill>
              </w:rPr>
            </w:pPr>
            <w:r>
              <w:rPr>
                <w:rFonts w:hint="eastAsia" w:asciiTheme="minorEastAsia" w:hAnsiTheme="minorEastAsia"/>
                <w:color w:val="000000" w:themeColor="text1"/>
                <w:kern w:val="0"/>
                <w:sz w:val="22"/>
                <w:szCs w:val="20"/>
                <w14:textFill>
                  <w14:solidFill>
                    <w14:schemeClr w14:val="tx1"/>
                  </w14:solidFill>
                </w14:textFill>
              </w:rPr>
              <w:t>自动添加行</w:t>
            </w:r>
          </w:p>
        </w:tc>
        <w:tc>
          <w:tcPr>
            <w:tcW w:w="930"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7"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559"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90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728"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615"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r>
    </w:tbl>
    <w:p>
      <w:pPr>
        <w:rPr>
          <w:b/>
        </w:rPr>
      </w:pPr>
      <w:r>
        <w:rPr>
          <w:rFonts w:hint="eastAsia" w:eastAsia="宋体" w:cs="Times New Roman" w:asciiTheme="minorEastAsia" w:hAnsiTheme="minorEastAsia"/>
          <w:b/>
          <w:color w:val="000000" w:themeColor="text1"/>
          <w:szCs w:val="44"/>
          <w14:textFill>
            <w14:solidFill>
              <w14:schemeClr w14:val="tx1"/>
            </w14:solidFill>
          </w14:textFill>
        </w:rPr>
        <w:t>2、</w:t>
      </w:r>
      <w:r>
        <w:rPr>
          <w:rFonts w:hint="eastAsia"/>
          <w:b/>
        </w:rPr>
        <w:t>新增结构化</w:t>
      </w:r>
      <w:r>
        <w:rPr>
          <w:b/>
        </w:rPr>
        <w:t>基金产品</w:t>
      </w:r>
    </w:p>
    <w:p>
      <w:r>
        <w:rPr>
          <w:rFonts w:hint="eastAsia"/>
        </w:rPr>
        <w:t>□  适用  □  不适用</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介绍新增结构化基金分级比例设置情况，公司董事、监事、高级管理人员及其关联方持有结构化产品分级权益的情形；</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rPr>
          <w:b/>
        </w:rPr>
      </w:pPr>
      <w:r>
        <w:rPr>
          <w:rFonts w:hint="eastAsia" w:eastAsia="宋体" w:cs="Times New Roman" w:asciiTheme="minorEastAsia" w:hAnsiTheme="minorEastAsia"/>
          <w:b/>
          <w:color w:val="000000" w:themeColor="text1"/>
          <w:szCs w:val="44"/>
          <w14:textFill>
            <w14:solidFill>
              <w14:schemeClr w14:val="tx1"/>
            </w14:solidFill>
          </w14:textFill>
        </w:rPr>
        <w:t>3、</w:t>
      </w:r>
      <w:r>
        <w:rPr>
          <w:rFonts w:hint="eastAsia"/>
          <w:b/>
        </w:rPr>
        <w:t>新设立基金募集推介方式</w:t>
      </w:r>
    </w:p>
    <w:p>
      <w:r>
        <w:rPr>
          <w:rFonts w:hint="eastAsia"/>
        </w:rPr>
        <w:t>□  适用  □  不适用</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介绍新设立基金自行销售与委托第三方机构销售占</w:t>
            </w:r>
            <w:r>
              <w:rPr>
                <w:rFonts w:asciiTheme="minorEastAsia" w:hAnsiTheme="minorEastAsia"/>
                <w:i/>
                <w:color w:val="FF0000"/>
                <w:kern w:val="0"/>
                <w:sz w:val="20"/>
                <w:szCs w:val="44"/>
              </w:rPr>
              <w:t>总销售额</w:t>
            </w:r>
            <w:r>
              <w:rPr>
                <w:rFonts w:hint="eastAsia" w:asciiTheme="minorEastAsia" w:hAnsiTheme="minorEastAsia"/>
                <w:i/>
                <w:color w:val="FF0000"/>
                <w:kern w:val="0"/>
                <w:sz w:val="20"/>
                <w:szCs w:val="44"/>
              </w:rPr>
              <w:t>的比例，委托</w:t>
            </w:r>
            <w:r>
              <w:rPr>
                <w:rFonts w:asciiTheme="minorEastAsia" w:hAnsiTheme="minorEastAsia"/>
                <w:i/>
                <w:color w:val="FF0000"/>
                <w:kern w:val="0"/>
                <w:sz w:val="20"/>
                <w:szCs w:val="44"/>
              </w:rPr>
              <w:t>销售的第三方机构</w:t>
            </w:r>
            <w:r>
              <w:rPr>
                <w:rFonts w:hint="eastAsia" w:asciiTheme="minorEastAsia" w:hAnsiTheme="minorEastAsia"/>
                <w:i/>
                <w:color w:val="FF0000"/>
                <w:kern w:val="0"/>
                <w:sz w:val="20"/>
                <w:szCs w:val="44"/>
              </w:rPr>
              <w:t>及其业务</w:t>
            </w:r>
            <w:r>
              <w:rPr>
                <w:rFonts w:asciiTheme="minorEastAsia" w:hAnsiTheme="minorEastAsia"/>
                <w:i/>
                <w:color w:val="FF0000"/>
                <w:kern w:val="0"/>
                <w:sz w:val="20"/>
                <w:szCs w:val="44"/>
              </w:rPr>
              <w:t>资格</w:t>
            </w:r>
            <w:r>
              <w:rPr>
                <w:rFonts w:hint="eastAsia" w:asciiTheme="minorEastAsia" w:hAnsiTheme="minorEastAsia"/>
                <w:i/>
                <w:color w:val="FF0000"/>
                <w:kern w:val="0"/>
                <w:sz w:val="20"/>
                <w:szCs w:val="44"/>
              </w:rPr>
              <w:t>；募集成本（如有）；基金特殊架构设计（如有）；合格投资者制度执行情况；</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pStyle w:val="4"/>
        <w:spacing w:line="240" w:lineRule="auto"/>
        <w:rPr>
          <w:b w:val="0"/>
          <w:bCs w:val="0"/>
          <w:sz w:val="21"/>
        </w:rPr>
      </w:pPr>
      <w:r>
        <w:rPr>
          <w:rFonts w:hint="eastAsia"/>
          <w:sz w:val="21"/>
        </w:rPr>
        <w:t>（四）基金投资情况</w:t>
      </w:r>
    </w:p>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1、基金投资项目</w:t>
      </w:r>
      <w:r>
        <w:rPr>
          <w:rFonts w:asciiTheme="minorEastAsia" w:hAnsiTheme="minorEastAsia"/>
          <w:b/>
          <w:color w:val="000000" w:themeColor="text1"/>
          <w:szCs w:val="44"/>
          <w14:textFill>
            <w14:solidFill>
              <w14:schemeClr w14:val="tx1"/>
            </w14:solidFill>
          </w14:textFill>
        </w:rPr>
        <w:t>基本情况</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：1</w:t>
            </w:r>
            <w:r>
              <w:rPr>
                <w:rFonts w:hint="eastAsia" w:asciiTheme="minorEastAsia" w:hAnsiTheme="minorEastAsia"/>
                <w:i/>
                <w:color w:val="FF0000"/>
                <w:kern w:val="0"/>
                <w:sz w:val="20"/>
                <w:szCs w:val="44"/>
              </w:rPr>
              <w:t>、对被投资标的的管理方式及执行的有效性（包括对</w:t>
            </w:r>
            <w:r>
              <w:rPr>
                <w:rFonts w:asciiTheme="minorEastAsia" w:hAnsiTheme="minorEastAsia"/>
                <w:i/>
                <w:color w:val="FF0000"/>
                <w:kern w:val="0"/>
                <w:sz w:val="20"/>
                <w:szCs w:val="44"/>
              </w:rPr>
              <w:t>投资标的形成控制的数量、</w:t>
            </w:r>
            <w:r>
              <w:rPr>
                <w:rFonts w:hint="eastAsia" w:asciiTheme="minorEastAsia" w:hAnsiTheme="minorEastAsia"/>
                <w:i/>
                <w:color w:val="FF0000"/>
                <w:kern w:val="0"/>
                <w:sz w:val="20"/>
                <w:szCs w:val="44"/>
              </w:rPr>
              <w:t>派驻董事</w:t>
            </w:r>
            <w:r>
              <w:rPr>
                <w:rFonts w:asciiTheme="minorEastAsia" w:hAnsiTheme="minorEastAsia"/>
                <w:i/>
                <w:color w:val="FF0000"/>
                <w:kern w:val="0"/>
                <w:sz w:val="20"/>
                <w:szCs w:val="44"/>
              </w:rPr>
              <w:t>及高管的投资标的的数量、</w:t>
            </w:r>
            <w:r>
              <w:rPr>
                <w:rFonts w:hint="eastAsia" w:asciiTheme="minorEastAsia" w:hAnsiTheme="minorEastAsia"/>
                <w:i/>
                <w:color w:val="FF0000"/>
                <w:kern w:val="0"/>
                <w:sz w:val="20"/>
                <w:szCs w:val="44"/>
              </w:rPr>
              <w:t>纯</w:t>
            </w:r>
            <w:r>
              <w:rPr>
                <w:rFonts w:asciiTheme="minorEastAsia" w:hAnsiTheme="minorEastAsia"/>
                <w:i/>
                <w:color w:val="FF0000"/>
                <w:kern w:val="0"/>
                <w:sz w:val="20"/>
                <w:szCs w:val="44"/>
              </w:rPr>
              <w:t>财务投资</w:t>
            </w:r>
            <w:r>
              <w:rPr>
                <w:rFonts w:hint="eastAsia" w:asciiTheme="minorEastAsia" w:hAnsiTheme="minorEastAsia"/>
                <w:i/>
                <w:color w:val="FF0000"/>
                <w:kern w:val="0"/>
                <w:sz w:val="20"/>
                <w:szCs w:val="44"/>
              </w:rPr>
              <w:t>的</w:t>
            </w:r>
            <w:r>
              <w:rPr>
                <w:rFonts w:asciiTheme="minorEastAsia" w:hAnsiTheme="minorEastAsia"/>
                <w:i/>
                <w:color w:val="FF0000"/>
                <w:kern w:val="0"/>
                <w:sz w:val="20"/>
                <w:szCs w:val="44"/>
              </w:rPr>
              <w:t>投资标的</w:t>
            </w:r>
            <w:r>
              <w:rPr>
                <w:rFonts w:hint="eastAsia" w:asciiTheme="minorEastAsia" w:hAnsiTheme="minorEastAsia"/>
                <w:i/>
                <w:color w:val="FF0000"/>
                <w:kern w:val="0"/>
                <w:sz w:val="20"/>
                <w:szCs w:val="44"/>
              </w:rPr>
              <w:t>数量）；</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2</w:t>
            </w:r>
            <w:r>
              <w:rPr>
                <w:rFonts w:hint="eastAsia" w:asciiTheme="minorEastAsia" w:hAnsiTheme="minorEastAsia"/>
                <w:i/>
                <w:color w:val="FF0000"/>
                <w:kern w:val="0"/>
                <w:sz w:val="20"/>
                <w:szCs w:val="44"/>
              </w:rPr>
              <w:t>、综述基金与被投资标的及其关联方的特殊利益安排（如对赌条款），可</w:t>
            </w:r>
            <w:r>
              <w:rPr>
                <w:rFonts w:asciiTheme="minorEastAsia" w:hAnsiTheme="minorEastAsia"/>
                <w:i/>
                <w:color w:val="FF0000"/>
                <w:kern w:val="0"/>
                <w:sz w:val="20"/>
                <w:szCs w:val="44"/>
              </w:rPr>
              <w:t>分类</w:t>
            </w:r>
            <w:r>
              <w:rPr>
                <w:rFonts w:hint="eastAsia" w:asciiTheme="minorEastAsia" w:hAnsiTheme="minorEastAsia"/>
                <w:i/>
                <w:color w:val="FF0000"/>
                <w:kern w:val="0"/>
                <w:sz w:val="20"/>
                <w:szCs w:val="44"/>
              </w:rPr>
              <w:t>披露</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对业绩有重大影响的，应作为重大事项提示；</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3</w:t>
            </w:r>
            <w:r>
              <w:rPr>
                <w:rFonts w:hint="eastAsia" w:asciiTheme="minorEastAsia" w:hAnsiTheme="minorEastAsia"/>
                <w:i/>
                <w:color w:val="FF0000"/>
                <w:kern w:val="0"/>
                <w:sz w:val="20"/>
                <w:szCs w:val="44"/>
              </w:rPr>
              <w:t>、成立</w:t>
            </w:r>
            <w:r>
              <w:rPr>
                <w:rFonts w:asciiTheme="minorEastAsia" w:hAnsiTheme="minorEastAsia"/>
                <w:i/>
                <w:color w:val="FF0000"/>
                <w:kern w:val="0"/>
                <w:sz w:val="20"/>
                <w:szCs w:val="44"/>
              </w:rPr>
              <w:t>年限及</w:t>
            </w:r>
            <w:r>
              <w:rPr>
                <w:rFonts w:hint="eastAsia" w:asciiTheme="minorEastAsia" w:hAnsiTheme="minorEastAsia"/>
                <w:i/>
                <w:color w:val="FF0000"/>
                <w:kern w:val="0"/>
                <w:sz w:val="20"/>
                <w:szCs w:val="44"/>
              </w:rPr>
              <w:t>累计投资项目数量、累计投资总额；在管项目数量和在管项目投资总额（证券</w:t>
            </w:r>
            <w:r>
              <w:rPr>
                <w:rFonts w:asciiTheme="minorEastAsia" w:hAnsiTheme="minorEastAsia"/>
                <w:i/>
                <w:color w:val="FF0000"/>
                <w:kern w:val="0"/>
                <w:sz w:val="20"/>
                <w:szCs w:val="44"/>
              </w:rPr>
              <w:t>投资</w:t>
            </w:r>
            <w:r>
              <w:rPr>
                <w:rFonts w:hint="eastAsia" w:asciiTheme="minorEastAsia" w:hAnsiTheme="minorEastAsia"/>
                <w:i/>
                <w:color w:val="FF0000"/>
                <w:kern w:val="0"/>
                <w:sz w:val="20"/>
                <w:szCs w:val="44"/>
              </w:rPr>
              <w:t>基金</w:t>
            </w:r>
            <w:r>
              <w:rPr>
                <w:rFonts w:asciiTheme="minorEastAsia" w:hAnsiTheme="minorEastAsia"/>
                <w:i/>
                <w:color w:val="FF0000"/>
                <w:kern w:val="0"/>
                <w:sz w:val="20"/>
                <w:szCs w:val="44"/>
              </w:rPr>
              <w:t>除外</w:t>
            </w:r>
            <w:r>
              <w:rPr>
                <w:rFonts w:hint="eastAsia" w:asciiTheme="minorEastAsia" w:hAnsiTheme="minorEastAsia"/>
                <w:i/>
                <w:color w:val="FF0000"/>
                <w:kern w:val="0"/>
                <w:sz w:val="20"/>
                <w:szCs w:val="44"/>
              </w:rPr>
              <w:t>）；</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4</w:t>
            </w:r>
            <w:r>
              <w:rPr>
                <w:rFonts w:hint="eastAsia" w:asciiTheme="minorEastAsia" w:hAnsiTheme="minorEastAsia"/>
                <w:i/>
                <w:color w:val="FF0000"/>
                <w:kern w:val="0"/>
                <w:sz w:val="20"/>
                <w:szCs w:val="44"/>
              </w:rPr>
              <w:t>、基金已投资</w:t>
            </w:r>
            <w:r>
              <w:rPr>
                <w:rFonts w:asciiTheme="minorEastAsia" w:hAnsiTheme="minorEastAsia"/>
                <w:i/>
                <w:color w:val="FF0000"/>
                <w:kern w:val="0"/>
                <w:sz w:val="20"/>
                <w:szCs w:val="44"/>
              </w:rPr>
              <w:t>项目</w:t>
            </w:r>
            <w:r>
              <w:rPr>
                <w:rFonts w:hint="eastAsia" w:asciiTheme="minorEastAsia" w:hAnsiTheme="minorEastAsia"/>
                <w:i/>
                <w:color w:val="FF0000"/>
                <w:kern w:val="0"/>
                <w:sz w:val="20"/>
                <w:szCs w:val="44"/>
              </w:rPr>
              <w:t>聘请外部专家参与尽职调查或投资顾问及费用支付情况（以正式</w:t>
            </w:r>
            <w:r>
              <w:rPr>
                <w:rFonts w:asciiTheme="minorEastAsia" w:hAnsiTheme="minorEastAsia"/>
                <w:i/>
                <w:color w:val="FF0000"/>
                <w:kern w:val="0"/>
                <w:sz w:val="20"/>
                <w:szCs w:val="44"/>
              </w:rPr>
              <w:t>签订</w:t>
            </w:r>
            <w:r>
              <w:rPr>
                <w:rFonts w:hint="eastAsia" w:asciiTheme="minorEastAsia" w:hAnsiTheme="minorEastAsia"/>
                <w:i/>
                <w:color w:val="FF0000"/>
                <w:kern w:val="0"/>
                <w:sz w:val="20"/>
                <w:szCs w:val="44"/>
              </w:rPr>
              <w:t>服务</w:t>
            </w:r>
            <w:r>
              <w:rPr>
                <w:rFonts w:asciiTheme="minorEastAsia" w:hAnsiTheme="minorEastAsia"/>
                <w:i/>
                <w:color w:val="FF0000"/>
                <w:kern w:val="0"/>
                <w:sz w:val="20"/>
                <w:szCs w:val="44"/>
              </w:rPr>
              <w:t>协议为准</w:t>
            </w:r>
            <w:r>
              <w:rPr>
                <w:rFonts w:hint="eastAsia" w:asciiTheme="minorEastAsia" w:hAnsiTheme="minorEastAsia"/>
                <w:i/>
                <w:color w:val="FF0000"/>
                <w:kern w:val="0"/>
                <w:sz w:val="20"/>
                <w:szCs w:val="44"/>
              </w:rPr>
              <w:t>）。</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keepNext/>
        <w:keepLines/>
        <w:spacing w:before="100" w:after="100"/>
        <w:outlineLvl w:val="1"/>
        <w:rPr>
          <w:rFonts w:ascii="Calibri Light" w:hAnsi="Calibri Light" w:eastAsia="微软雅黑" w:cs="Times New Roman"/>
          <w:b/>
          <w:bCs/>
          <w:sz w:val="22"/>
          <w:szCs w:val="32"/>
        </w:rPr>
      </w:pPr>
      <w:r>
        <w:rPr>
          <w:rFonts w:asciiTheme="minorEastAsia" w:hAnsiTheme="minorEastAsia" w:eastAsiaTheme="minorEastAsia" w:cstheme="minorBidi"/>
          <w:b/>
          <w:bCs w:val="0"/>
          <w:color w:val="000000" w:themeColor="text1"/>
          <w:sz w:val="21"/>
          <w:szCs w:val="44"/>
          <w14:textFill>
            <w14:solidFill>
              <w14:schemeClr w14:val="tx1"/>
            </w14:solidFill>
          </w14:textFill>
        </w:rPr>
        <w:t>2</w:t>
      </w:r>
      <w:r>
        <w:rPr>
          <w:rFonts w:hint="eastAsia" w:asciiTheme="minorEastAsia" w:hAnsiTheme="minorEastAsia" w:eastAsiaTheme="minorEastAsia" w:cstheme="minorBidi"/>
          <w:b/>
          <w:bCs w:val="0"/>
          <w:color w:val="000000" w:themeColor="text1"/>
          <w:sz w:val="21"/>
          <w:szCs w:val="44"/>
          <w14:textFill>
            <w14:solidFill>
              <w14:schemeClr w14:val="tx1"/>
            </w14:solidFill>
          </w14:textFill>
        </w:rPr>
        <w:t>、</w:t>
      </w:r>
      <w:r>
        <w:rPr>
          <w:rFonts w:hint="eastAsia" w:asciiTheme="minorEastAsia" w:hAnsiTheme="minorEastAsia"/>
          <w:b/>
          <w:color w:val="000000" w:themeColor="text1"/>
          <w:szCs w:val="44"/>
          <w14:textFill>
            <w14:solidFill>
              <w14:schemeClr w14:val="tx1"/>
            </w14:solidFill>
          </w14:textFill>
        </w:rPr>
        <w:t>重点项目基本情况</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6"/>
        <w:gridCol w:w="1741"/>
        <w:gridCol w:w="1470"/>
        <w:gridCol w:w="1307"/>
        <w:gridCol w:w="1145"/>
        <w:gridCol w:w="114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36" w:hRule="atLeast"/>
        </w:trPr>
        <w:tc>
          <w:tcPr>
            <w:tcW w:w="1560" w:type="dxa"/>
            <w:shd w:val="pct10" w:color="auto" w:fill="auto"/>
            <w:vAlign w:val="center"/>
          </w:tcPr>
          <w:p>
            <w:pPr>
              <w:jc w:val="center"/>
              <w:rPr>
                <w:b/>
                <w:kern w:val="0"/>
                <w:sz w:val="22"/>
                <w:szCs w:val="20"/>
              </w:rPr>
            </w:pPr>
            <w:r>
              <w:rPr>
                <w:rFonts w:hint="eastAsia"/>
                <w:b/>
                <w:kern w:val="0"/>
                <w:sz w:val="22"/>
                <w:szCs w:val="20"/>
              </w:rPr>
              <w:t>项目名称</w:t>
            </w:r>
          </w:p>
          <w:p>
            <w:pPr>
              <w:jc w:val="center"/>
              <w:rPr>
                <w:b/>
                <w:kern w:val="0"/>
                <w:sz w:val="22"/>
                <w:szCs w:val="20"/>
              </w:rPr>
            </w:pPr>
            <w:r>
              <w:rPr>
                <w:rFonts w:hint="eastAsia"/>
                <w:b/>
                <w:kern w:val="0"/>
                <w:sz w:val="22"/>
                <w:szCs w:val="20"/>
              </w:rPr>
              <w:t>（可隐去）</w:t>
            </w:r>
          </w:p>
        </w:tc>
        <w:tc>
          <w:tcPr>
            <w:tcW w:w="1276" w:type="dxa"/>
            <w:shd w:val="pct10" w:color="auto" w:fill="auto"/>
            <w:vAlign w:val="center"/>
          </w:tcPr>
          <w:p>
            <w:pPr>
              <w:jc w:val="center"/>
              <w:rPr>
                <w:b/>
                <w:kern w:val="0"/>
                <w:sz w:val="22"/>
                <w:szCs w:val="20"/>
              </w:rPr>
            </w:pPr>
            <w:r>
              <w:rPr>
                <w:rFonts w:hint="eastAsia"/>
                <w:b/>
                <w:kern w:val="0"/>
                <w:sz w:val="22"/>
                <w:szCs w:val="20"/>
              </w:rPr>
              <w:t>所属行业</w:t>
            </w:r>
          </w:p>
        </w:tc>
        <w:tc>
          <w:tcPr>
            <w:tcW w:w="1741" w:type="dxa"/>
            <w:shd w:val="pct10" w:color="auto" w:fill="auto"/>
            <w:vAlign w:val="center"/>
          </w:tcPr>
          <w:p>
            <w:pPr>
              <w:jc w:val="center"/>
              <w:rPr>
                <w:b/>
                <w:kern w:val="0"/>
                <w:sz w:val="22"/>
                <w:szCs w:val="20"/>
              </w:rPr>
            </w:pPr>
            <w:r>
              <w:rPr>
                <w:rFonts w:hint="eastAsia"/>
                <w:b/>
                <w:kern w:val="0"/>
                <w:sz w:val="22"/>
                <w:szCs w:val="20"/>
              </w:rPr>
              <w:t>投资基金名称</w:t>
            </w:r>
          </w:p>
        </w:tc>
        <w:tc>
          <w:tcPr>
            <w:tcW w:w="1470" w:type="dxa"/>
            <w:shd w:val="pct10" w:color="auto" w:fill="auto"/>
            <w:vAlign w:val="center"/>
          </w:tcPr>
          <w:p>
            <w:pPr>
              <w:jc w:val="center"/>
              <w:rPr>
                <w:b/>
                <w:kern w:val="0"/>
                <w:sz w:val="22"/>
                <w:szCs w:val="20"/>
              </w:rPr>
            </w:pPr>
            <w:r>
              <w:rPr>
                <w:rFonts w:hint="eastAsia"/>
                <w:b/>
                <w:kern w:val="0"/>
                <w:sz w:val="22"/>
                <w:szCs w:val="20"/>
              </w:rPr>
              <w:t>持股比例</w:t>
            </w:r>
          </w:p>
        </w:tc>
        <w:tc>
          <w:tcPr>
            <w:tcW w:w="1307" w:type="dxa"/>
            <w:shd w:val="pct10" w:color="auto" w:fill="auto"/>
            <w:vAlign w:val="center"/>
          </w:tcPr>
          <w:p>
            <w:pPr>
              <w:jc w:val="center"/>
              <w:rPr>
                <w:b/>
                <w:kern w:val="0"/>
                <w:sz w:val="22"/>
                <w:szCs w:val="20"/>
              </w:rPr>
            </w:pPr>
            <w:r>
              <w:rPr>
                <w:rFonts w:hint="eastAsia"/>
                <w:b/>
                <w:kern w:val="0"/>
                <w:sz w:val="22"/>
                <w:szCs w:val="20"/>
              </w:rPr>
              <w:t>持有时间</w:t>
            </w:r>
          </w:p>
        </w:tc>
        <w:tc>
          <w:tcPr>
            <w:tcW w:w="1145" w:type="dxa"/>
            <w:shd w:val="pct10" w:color="auto" w:fill="auto"/>
            <w:vAlign w:val="center"/>
          </w:tcPr>
          <w:p>
            <w:pPr>
              <w:jc w:val="center"/>
              <w:rPr>
                <w:b/>
                <w:kern w:val="0"/>
                <w:sz w:val="22"/>
                <w:szCs w:val="20"/>
              </w:rPr>
            </w:pPr>
            <w:r>
              <w:rPr>
                <w:rFonts w:hint="eastAsia"/>
                <w:b/>
                <w:kern w:val="0"/>
                <w:sz w:val="22"/>
                <w:szCs w:val="20"/>
              </w:rPr>
              <w:t>退出方式</w:t>
            </w:r>
          </w:p>
        </w:tc>
        <w:tc>
          <w:tcPr>
            <w:tcW w:w="1140" w:type="dxa"/>
            <w:shd w:val="pct10" w:color="auto" w:fill="auto"/>
            <w:vAlign w:val="center"/>
          </w:tcPr>
          <w:p>
            <w:pPr>
              <w:jc w:val="center"/>
              <w:rPr>
                <w:b/>
                <w:kern w:val="0"/>
                <w:sz w:val="22"/>
                <w:szCs w:val="20"/>
              </w:rPr>
            </w:pPr>
            <w:r>
              <w:rPr>
                <w:rFonts w:hint="eastAsia"/>
                <w:b/>
                <w:kern w:val="0"/>
                <w:sz w:val="22"/>
                <w:szCs w:val="20"/>
              </w:rPr>
              <w:t>报告期内是否发生重大变化</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0" w:hRule="atLeast"/>
        </w:trPr>
        <w:tc>
          <w:tcPr>
            <w:tcW w:w="1560" w:type="dxa"/>
            <w:vAlign w:val="center"/>
          </w:tcPr>
          <w:p>
            <w:pPr>
              <w:rPr>
                <w:kern w:val="0"/>
                <w:sz w:val="22"/>
                <w:szCs w:val="20"/>
              </w:rPr>
            </w:pPr>
            <w:r>
              <w:rPr>
                <w:rFonts w:hint="eastAsia"/>
                <w:kern w:val="0"/>
                <w:sz w:val="22"/>
                <w:szCs w:val="20"/>
              </w:rPr>
              <w:t>项目</w:t>
            </w:r>
            <w:r>
              <w:rPr>
                <w:kern w:val="0"/>
                <w:sz w:val="22"/>
                <w:szCs w:val="20"/>
              </w:rPr>
              <w:t>1</w:t>
            </w:r>
          </w:p>
        </w:tc>
        <w:tc>
          <w:tcPr>
            <w:tcW w:w="1276"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1"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70"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07"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45"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40"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0" w:hRule="atLeast"/>
        </w:trPr>
        <w:tc>
          <w:tcPr>
            <w:tcW w:w="1560" w:type="dxa"/>
            <w:vAlign w:val="center"/>
          </w:tcPr>
          <w:p>
            <w:pPr>
              <w:rPr>
                <w:kern w:val="0"/>
                <w:sz w:val="22"/>
                <w:szCs w:val="20"/>
              </w:rPr>
            </w:pPr>
            <w:r>
              <w:rPr>
                <w:rFonts w:hint="eastAsia"/>
                <w:kern w:val="0"/>
                <w:sz w:val="22"/>
                <w:szCs w:val="20"/>
              </w:rPr>
              <w:t>项目</w:t>
            </w:r>
            <w:r>
              <w:rPr>
                <w:kern w:val="0"/>
                <w:sz w:val="22"/>
                <w:szCs w:val="20"/>
              </w:rPr>
              <w:t>2</w:t>
            </w:r>
          </w:p>
        </w:tc>
        <w:tc>
          <w:tcPr>
            <w:tcW w:w="1276"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741"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470"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307"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45"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1140" w:type="dxa"/>
            <w:vAlign w:val="center"/>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71" w:hRule="atLeast"/>
        </w:trPr>
        <w:tc>
          <w:tcPr>
            <w:tcW w:w="1560" w:type="dxa"/>
            <w:vAlign w:val="center"/>
          </w:tcPr>
          <w:p>
            <w:pPr>
              <w:rPr>
                <w:kern w:val="0"/>
                <w:sz w:val="22"/>
                <w:szCs w:val="20"/>
              </w:rPr>
            </w:pPr>
            <w:r>
              <w:rPr>
                <w:rFonts w:hint="eastAsia"/>
                <w:kern w:val="0"/>
                <w:sz w:val="22"/>
                <w:szCs w:val="20"/>
              </w:rPr>
              <w:t>……</w:t>
            </w:r>
          </w:p>
        </w:tc>
        <w:tc>
          <w:tcPr>
            <w:tcW w:w="1276"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1"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70"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307"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45"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40"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0" w:hRule="atLeast"/>
        </w:trPr>
        <w:tc>
          <w:tcPr>
            <w:tcW w:w="1560" w:type="dxa"/>
            <w:vAlign w:val="center"/>
          </w:tcPr>
          <w:p>
            <w:pPr>
              <w:rPr>
                <w:kern w:val="0"/>
                <w:sz w:val="22"/>
                <w:szCs w:val="20"/>
              </w:rPr>
            </w:pPr>
            <w:r>
              <w:rPr>
                <w:rFonts w:hint="eastAsia"/>
                <w:kern w:val="0"/>
                <w:sz w:val="22"/>
                <w:szCs w:val="20"/>
              </w:rPr>
              <w:t>……</w:t>
            </w:r>
          </w:p>
        </w:tc>
        <w:tc>
          <w:tcPr>
            <w:tcW w:w="1276"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741"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470"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307"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45"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1140" w:type="dxa"/>
            <w:vAlign w:val="center"/>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tbl>
      <w:tblPr>
        <w:tblStyle w:val="19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披露在管重点项目估值及收益测算的，应同时披露估值方法及其合理性。</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pStyle w:val="4"/>
        <w:spacing w:line="240" w:lineRule="auto"/>
        <w:rPr>
          <w:sz w:val="21"/>
        </w:rPr>
      </w:pPr>
      <w:r>
        <w:rPr>
          <w:rFonts w:hint="eastAsia"/>
          <w:sz w:val="21"/>
        </w:rPr>
        <w:t>（五）报告期内清算基金的</w:t>
      </w:r>
      <w:r>
        <w:rPr>
          <w:sz w:val="21"/>
        </w:rPr>
        <w:t>情况</w:t>
      </w:r>
    </w:p>
    <w:p>
      <w:r>
        <w:rPr>
          <w:rFonts w:hint="eastAsia"/>
        </w:rPr>
        <w:t>□  适用  □  不适用</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介绍基金名称、存续时间、实缴金额、清算原因、清算进展、基金及公司收益情况等。</w:t>
            </w:r>
          </w:p>
          <w:p>
            <w:pPr>
              <w:tabs>
                <w:tab w:val="left" w:pos="5140"/>
              </w:tabs>
              <w:rPr>
                <w:rFonts w:asciiTheme="minorEastAsia" w:hAnsiTheme="minorEastAsia"/>
                <w:i/>
                <w:color w:val="000000" w:themeColor="text1"/>
                <w:kern w:val="0"/>
                <w:sz w:val="20"/>
                <w:szCs w:val="44"/>
                <w14:textFill>
                  <w14:solidFill>
                    <w14:schemeClr w14:val="tx1"/>
                  </w14:solidFill>
                </w14:textFill>
              </w:rPr>
            </w:pPr>
          </w:p>
        </w:tc>
      </w:tr>
    </w:tbl>
    <w:p>
      <w:pPr>
        <w:pStyle w:val="4"/>
        <w:spacing w:line="240" w:lineRule="auto"/>
        <w:rPr>
          <w:sz w:val="21"/>
        </w:rPr>
      </w:pPr>
      <w:r>
        <w:rPr>
          <w:rFonts w:hint="eastAsia"/>
          <w:sz w:val="21"/>
        </w:rPr>
        <w:t>（六）新增合作设立并运营投资基金共同担任基金管理人的基金</w:t>
      </w:r>
      <w:r>
        <w:rPr>
          <w:sz w:val="21"/>
        </w:rPr>
        <w:t>情况</w:t>
      </w:r>
    </w:p>
    <w:p>
      <w:r>
        <w:rPr>
          <w:rFonts w:hint="eastAsia"/>
        </w:rPr>
        <w:t>□  适用  □  不适用</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1、基金管理模式、管理费、业绩报酬等利益分配机制；</w:t>
            </w:r>
          </w:p>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2、基金投资方式、投资领域等约定；</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3</w:t>
            </w:r>
            <w:r>
              <w:rPr>
                <w:rFonts w:hint="eastAsia" w:asciiTheme="minorEastAsia" w:hAnsiTheme="minorEastAsia"/>
                <w:i/>
                <w:color w:val="FF0000"/>
                <w:kern w:val="0"/>
                <w:sz w:val="20"/>
                <w:szCs w:val="44"/>
              </w:rPr>
              <w:t>、合作企业控股股东、实际控制人、董事、监事或高级管理人员持有基金份额或在基金中任职及利益安排情况；</w:t>
            </w:r>
          </w:p>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4、合作方签署的相关文件及其主要内容；</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5</w:t>
            </w:r>
            <w:r>
              <w:rPr>
                <w:rFonts w:hint="eastAsia" w:asciiTheme="minorEastAsia" w:hAnsiTheme="minorEastAsia"/>
                <w:i/>
                <w:color w:val="FF0000"/>
                <w:kern w:val="0"/>
                <w:sz w:val="20"/>
                <w:szCs w:val="44"/>
              </w:rPr>
              <w:t>、合作方之间关联联系或其他利益关系；</w:t>
            </w:r>
          </w:p>
          <w:p>
            <w:pPr>
              <w:tabs>
                <w:tab w:val="left" w:pos="5140"/>
              </w:tabs>
              <w:rPr>
                <w:rFonts w:asciiTheme="minorEastAsia" w:hAnsiTheme="minorEastAsia"/>
                <w:i/>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6</w:t>
            </w:r>
            <w:r>
              <w:rPr>
                <w:rFonts w:hint="eastAsia" w:asciiTheme="minorEastAsia" w:hAnsiTheme="minorEastAsia"/>
                <w:i/>
                <w:color w:val="FF0000"/>
                <w:kern w:val="0"/>
                <w:sz w:val="20"/>
                <w:szCs w:val="44"/>
              </w:rPr>
              <w:t>、有关风险因素或其他不确定性因素。</w:t>
            </w:r>
          </w:p>
        </w:tc>
      </w:tr>
    </w:tbl>
    <w:p>
      <w:pPr>
        <w:pStyle w:val="4"/>
        <w:spacing w:line="240" w:lineRule="auto"/>
        <w:rPr>
          <w:sz w:val="21"/>
        </w:rPr>
      </w:pPr>
      <w:r>
        <w:rPr>
          <w:rFonts w:hint="eastAsia"/>
          <w:sz w:val="21"/>
        </w:rPr>
        <w:t>（七）以自有资产投资的</w:t>
      </w:r>
      <w:r>
        <w:rPr>
          <w:sz w:val="21"/>
        </w:rPr>
        <w:t>情况</w:t>
      </w:r>
    </w:p>
    <w:p>
      <w:pPr>
        <w:rPr>
          <w:b/>
        </w:rPr>
      </w:pPr>
      <w:r>
        <w:rPr>
          <w:rFonts w:hint="eastAsia"/>
        </w:rPr>
        <w:t>□  适用  □  不适用</w:t>
      </w:r>
    </w:p>
    <w:tbl>
      <w:tblPr>
        <w:tblStyle w:val="46"/>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注：1、</w:t>
            </w:r>
            <w:r>
              <w:rPr>
                <w:rFonts w:asciiTheme="minorEastAsia" w:hAnsiTheme="minorEastAsia"/>
                <w:i/>
                <w:color w:val="FF0000"/>
                <w:kern w:val="0"/>
                <w:sz w:val="20"/>
                <w:szCs w:val="44"/>
              </w:rPr>
              <w:t>公司以</w:t>
            </w:r>
            <w:r>
              <w:rPr>
                <w:rFonts w:hint="eastAsia" w:asciiTheme="minorEastAsia" w:hAnsiTheme="minorEastAsia"/>
                <w:i/>
                <w:color w:val="FF0000"/>
                <w:kern w:val="0"/>
                <w:sz w:val="20"/>
                <w:szCs w:val="44"/>
              </w:rPr>
              <w:t>自有</w:t>
            </w:r>
            <w:r>
              <w:rPr>
                <w:rFonts w:asciiTheme="minorEastAsia" w:hAnsiTheme="minorEastAsia"/>
                <w:i/>
                <w:color w:val="FF0000"/>
                <w:kern w:val="0"/>
                <w:sz w:val="20"/>
                <w:szCs w:val="44"/>
              </w:rPr>
              <w:t>资产投资于自身所管理的基金份额的情况</w:t>
            </w:r>
            <w:r>
              <w:rPr>
                <w:rFonts w:hint="eastAsia" w:asciiTheme="minorEastAsia" w:hAnsiTheme="minorEastAsia"/>
                <w:i/>
                <w:color w:val="FF0000"/>
                <w:kern w:val="0"/>
                <w:sz w:val="20"/>
                <w:szCs w:val="44"/>
              </w:rPr>
              <w:t>。</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2</w:t>
            </w:r>
            <w:r>
              <w:rPr>
                <w:rFonts w:hint="eastAsia" w:asciiTheme="minorEastAsia" w:hAnsiTheme="minorEastAsia"/>
                <w:i/>
                <w:color w:val="FF0000"/>
                <w:kern w:val="0"/>
                <w:sz w:val="20"/>
                <w:szCs w:val="44"/>
              </w:rPr>
              <w:t>、投资金额占当期期末净资产5%以上的自有资产投资项目情况，包括：项目名称、投资金额、持股比例、投资时间、已退出项目退出方式及收益情况、项目的估值及估值方法；</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3</w:t>
            </w:r>
            <w:r>
              <w:rPr>
                <w:rFonts w:hint="eastAsia" w:asciiTheme="minorEastAsia" w:hAnsiTheme="minorEastAsia"/>
                <w:i/>
                <w:color w:val="FF0000"/>
                <w:kern w:val="0"/>
                <w:sz w:val="20"/>
                <w:szCs w:val="44"/>
              </w:rPr>
              <w:t>、自有资产与受托资产在投资运作方式、报告期内收益方面的差异；</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4</w:t>
            </w:r>
            <w:r>
              <w:rPr>
                <w:rFonts w:hint="eastAsia" w:asciiTheme="minorEastAsia" w:hAnsiTheme="minorEastAsia"/>
                <w:i/>
                <w:color w:val="FF0000"/>
                <w:kern w:val="0"/>
                <w:sz w:val="20"/>
                <w:szCs w:val="44"/>
              </w:rPr>
              <w:t>、报告期内收入分别来自于自有资产管理与受托资产管理的金额及比例；</w:t>
            </w:r>
          </w:p>
          <w:p>
            <w:pPr>
              <w:tabs>
                <w:tab w:val="left" w:pos="5140"/>
              </w:tabs>
              <w:rPr>
                <w:rFonts w:asciiTheme="minorEastAsia" w:hAnsiTheme="minorEastAsia"/>
                <w:i/>
                <w:color w:val="FF0000"/>
                <w:kern w:val="0"/>
                <w:sz w:val="20"/>
                <w:szCs w:val="44"/>
              </w:rPr>
            </w:pPr>
            <w:r>
              <w:rPr>
                <w:rFonts w:asciiTheme="minorEastAsia" w:hAnsiTheme="minorEastAsia"/>
                <w:i/>
                <w:color w:val="FF0000"/>
                <w:kern w:val="0"/>
                <w:sz w:val="20"/>
                <w:szCs w:val="44"/>
              </w:rPr>
              <w:t>5</w:t>
            </w:r>
            <w:r>
              <w:rPr>
                <w:rFonts w:hint="eastAsia" w:asciiTheme="minorEastAsia" w:hAnsiTheme="minorEastAsia"/>
                <w:i/>
                <w:color w:val="FF0000"/>
                <w:kern w:val="0"/>
                <w:sz w:val="20"/>
                <w:szCs w:val="44"/>
              </w:rPr>
              <w:t>、公司专业化管理制度的建设和执行情况，信息、决策和风险隔离机制，防范利益输送与利益冲突的机制；</w:t>
            </w:r>
          </w:p>
          <w:p>
            <w:pPr>
              <w:tabs>
                <w:tab w:val="left" w:pos="5140"/>
              </w:tabs>
              <w:rPr>
                <w:rFonts w:asciiTheme="minorEastAsia" w:hAnsiTheme="minorEastAsia"/>
                <w:i/>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6</w:t>
            </w:r>
            <w:r>
              <w:rPr>
                <w:rFonts w:hint="eastAsia" w:asciiTheme="minorEastAsia" w:hAnsiTheme="minorEastAsia"/>
                <w:i/>
                <w:color w:val="FF0000"/>
                <w:kern w:val="0"/>
                <w:sz w:val="20"/>
                <w:szCs w:val="44"/>
              </w:rPr>
              <w:t>、公司应披露所投项目为战略型投资还是财务型投资，如为战略型，公司应披露投资目的、决策程序、参与所投项目经营管理的相关情况</w:t>
            </w:r>
            <w:r>
              <w:rPr>
                <w:rFonts w:hint="eastAsia" w:asciiTheme="minorEastAsia" w:hAnsiTheme="minorEastAsia"/>
                <w:i/>
                <w:color w:val="000000" w:themeColor="text1"/>
                <w:kern w:val="0"/>
                <w:sz w:val="20"/>
                <w:szCs w:val="44"/>
                <w14:textFill>
                  <w14:solidFill>
                    <w14:schemeClr w14:val="tx1"/>
                  </w14:solidFill>
                </w14:textFill>
              </w:rPr>
              <w:t>。</w:t>
            </w:r>
          </w:p>
        </w:tc>
      </w:tr>
    </w:tbl>
    <w:p>
      <w:pPr>
        <w:keepNext/>
        <w:keepLines/>
        <w:spacing w:before="100" w:after="100"/>
        <w:outlineLvl w:val="1"/>
        <w:rPr>
          <w:rFonts w:eastAsia="微软雅黑" w:asciiTheme="majorHAnsi" w:hAnsiTheme="majorHAnsi" w:cstheme="majorBidi"/>
          <w:b/>
          <w:bCs/>
          <w:sz w:val="22"/>
          <w:szCs w:val="32"/>
        </w:rPr>
      </w:pPr>
      <w:r>
        <w:rPr>
          <w:rFonts w:hint="eastAsia" w:eastAsia="微软雅黑" w:asciiTheme="majorHAnsi" w:hAnsiTheme="majorHAnsi" w:cstheme="majorBidi"/>
          <w:b/>
          <w:bCs/>
          <w:sz w:val="22"/>
          <w:szCs w:val="32"/>
        </w:rPr>
        <w:t>六</w:t>
      </w:r>
      <w:r>
        <w:rPr>
          <w:rFonts w:eastAsia="微软雅黑" w:asciiTheme="majorHAnsi" w:hAnsiTheme="majorHAnsi" w:cstheme="majorBidi"/>
          <w:b/>
          <w:bCs/>
          <w:sz w:val="22"/>
          <w:szCs w:val="32"/>
        </w:rPr>
        <w:t>、</w:t>
      </w:r>
      <w:r>
        <w:rPr>
          <w:rFonts w:hint="eastAsia" w:eastAsia="微软雅黑" w:asciiTheme="majorHAnsi" w:hAnsiTheme="majorHAnsi" w:cstheme="majorBidi"/>
          <w:b/>
          <w:bCs/>
          <w:sz w:val="22"/>
          <w:szCs w:val="32"/>
        </w:rPr>
        <w:t>企业社会责任</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kern w:val="0"/>
                <w:sz w:val="20"/>
                <w:szCs w:val="44"/>
                <w14:textFill>
                  <w14:solidFill>
                    <w14:schemeClr w14:val="tx1"/>
                  </w14:solidFill>
                </w14:textFill>
              </w:rPr>
            </w:pPr>
            <w:r>
              <w:rPr>
                <w:rFonts w:asciiTheme="minorEastAsia" w:hAnsiTheme="minorEastAsia"/>
                <w:i/>
                <w:color w:val="FF0000"/>
                <w:kern w:val="0"/>
                <w:sz w:val="20"/>
                <w:szCs w:val="44"/>
              </w:rPr>
              <w:t>注</w:t>
            </w:r>
            <w:r>
              <w:rPr>
                <w:rFonts w:hint="eastAsia" w:asciiTheme="minorEastAsia" w:hAnsiTheme="minorEastAsia"/>
                <w:i/>
                <w:color w:val="FF0000"/>
                <w:kern w:val="0"/>
                <w:sz w:val="2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七、公司面临的重大风险分析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注：第二节第一到第七项披露的部分内容如与财务报表附注相同的，公司可以建立相关查询索引，避免重复。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23678"/>
      <w:bookmarkStart w:id="7" w:name="_Toc9124"/>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5807"/>
      <w:bookmarkStart w:id="9" w:name="_Toc21538"/>
      <w:r>
        <w:rPr>
          <w:rFonts w:hint="eastAsia" w:ascii="Calibri Light" w:hAnsi="Calibri Light" w:eastAsia="微软雅黑" w:cs="Times New Roman"/>
          <w:b/>
          <w:bCs/>
          <w:sz w:val="22"/>
          <w:szCs w:val="32"/>
        </w:rPr>
        <w:t>一、重大事件索引</w:t>
      </w:r>
      <w:bookmarkEnd w:id="8"/>
      <w:bookmarkEnd w:id="9"/>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基金业协会登记与信息更新的事项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投资标的对基金或公司业绩产生重大影响的事项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3806"/>
      <w:bookmarkStart w:id="11"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10244"/>
      <w:bookmarkStart w:id="13"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14:textFill>
            <w14:solidFill>
              <w14:schemeClr w14:val="tx1"/>
            </w14:solidFill>
          </w14:textFill>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p>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7804"/>
      <w:bookmarkStart w:id="15" w:name="_Toc31983"/>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16352"/>
      <w:bookmarkStart w:id="17" w:name="_Toc27292"/>
      <w:r>
        <w:rPr>
          <w:rFonts w:hint="eastAsia" w:ascii="Times New Roman" w:hAnsi="Times New Roman"/>
          <w:b/>
          <w:bCs/>
          <w:szCs w:val="32"/>
          <w:lang w:val="zh-CN"/>
        </w:rPr>
        <w:t>（十三）破产重整事项</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keepNext/>
        <w:keepLines/>
        <w:spacing w:before="100" w:after="100"/>
        <w:outlineLvl w:val="2"/>
        <w:rPr>
          <w:rFonts w:ascii="Times New Roman" w:hAnsi="Times New Roman"/>
          <w:b/>
          <w:bCs/>
          <w:szCs w:val="32"/>
          <w:lang w:val="zh-CN"/>
        </w:rPr>
      </w:pPr>
      <w:r>
        <w:rPr>
          <w:rFonts w:hint="eastAsia" w:ascii="Times New Roman" w:hAnsi="Times New Roman"/>
          <w:b/>
          <w:bCs/>
          <w:szCs w:val="32"/>
          <w:lang w:val="zh-CN"/>
        </w:rPr>
        <w:t>（十四）基金业协会登记与信息更新的事项</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公司应披露自身及其子企业在基金的募集设立、投资业务中遵守国家政策及法律法规的情况、基金业协会登记与信息更新等事项。</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keepNext/>
        <w:keepLines/>
        <w:spacing w:before="100" w:after="100"/>
        <w:outlineLvl w:val="2"/>
        <w:rPr>
          <w:rFonts w:ascii="Times New Roman" w:hAnsi="Times New Roman"/>
          <w:b/>
          <w:bCs/>
          <w:szCs w:val="32"/>
          <w:lang w:val="zh-CN"/>
        </w:rPr>
      </w:pPr>
      <w:r>
        <w:rPr>
          <w:rFonts w:hint="eastAsia" w:ascii="Times New Roman" w:hAnsi="Times New Roman"/>
          <w:b/>
          <w:bCs/>
          <w:szCs w:val="32"/>
          <w:lang w:val="zh-CN"/>
        </w:rPr>
        <w:t>（十五）投资标的对基金或公司业绩产生重大影响的事项</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pPr>
        <w:tabs>
          <w:tab w:val="left" w:pos="5140"/>
        </w:tabs>
        <w:outlineLvl w:val="9"/>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28326"/>
      <w:bookmarkStart w:id="19" w:name="_Toc32232"/>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5389"/>
      <w:bookmarkStart w:id="21" w:name="_Toc20566"/>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16120"/>
      <w:bookmarkStart w:id="23"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p>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ind w:left="181" w:leftChars="86"/>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普通股前十名股东情况说明</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i/>
                <w:color w:val="FF0000"/>
                <w:szCs w:val="44"/>
              </w:rPr>
            </w:pPr>
            <w:r>
              <w:rPr>
                <w:rFonts w:hint="eastAsia" w:asciiTheme="minorEastAsia" w:hAnsiTheme="minorEastAsia"/>
                <w:i/>
                <w:color w:val="FF0000"/>
                <w:szCs w:val="44"/>
              </w:rPr>
              <w:t>如普通股前十名股东之间存在关联关系或属于《上市公司收购管理办法》规定的一致行动人，应当予以说明。</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4" w:name="_Toc18570"/>
      <w:bookmarkStart w:id="25" w:name="_Toc2181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25205"/>
      <w:bookmarkStart w:id="27" w:name="_Toc18252"/>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20245"/>
      <w:bookmarkStart w:id="29" w:name="_Toc8802"/>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23805"/>
      <w:bookmarkStart w:id="31" w:name="_Toc4858"/>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4383"/>
      <w:bookmarkStart w:id="33" w:name="_Toc7866"/>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8903"/>
      <w:bookmarkStart w:id="35" w:name="_Toc30085"/>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 w:val="22"/>
                <w:szCs w:val="22"/>
              </w:rPr>
            </w:pPr>
          </w:p>
        </w:tc>
        <w:tc>
          <w:tcPr>
            <w:tcW w:w="1010" w:type="dxa"/>
            <w:vMerge w:val="continue"/>
          </w:tcPr>
          <w:p>
            <w:pPr>
              <w:tabs>
                <w:tab w:val="left" w:pos="5140"/>
              </w:tabs>
              <w:rPr>
                <w:rFonts w:ascii="宋体" w:hAnsi="宋体" w:eastAsia="宋体" w:cs="Times New Roman"/>
                <w:color w:val="000000"/>
                <w:sz w:val="22"/>
                <w:szCs w:val="22"/>
              </w:rPr>
            </w:pPr>
          </w:p>
        </w:tc>
        <w:tc>
          <w:tcPr>
            <w:tcW w:w="1485" w:type="dxa"/>
            <w:vMerge w:val="continue"/>
          </w:tcPr>
          <w:p>
            <w:pPr>
              <w:tabs>
                <w:tab w:val="left" w:pos="5140"/>
              </w:tabs>
              <w:rPr>
                <w:rFonts w:ascii="宋体" w:hAnsi="宋体" w:eastAsia="宋体" w:cs="Times New Roman"/>
                <w:color w:val="000000"/>
                <w:sz w:val="22"/>
                <w:szCs w:val="22"/>
              </w:rPr>
            </w:pPr>
          </w:p>
        </w:tc>
        <w:tc>
          <w:tcPr>
            <w:tcW w:w="1545" w:type="dxa"/>
            <w:vMerge w:val="continue"/>
          </w:tcPr>
          <w:p>
            <w:pPr>
              <w:tabs>
                <w:tab w:val="left" w:pos="5140"/>
              </w:tabs>
              <w:rPr>
                <w:rFonts w:ascii="宋体" w:hAnsi="宋体" w:eastAsia="宋体" w:cs="Times New Roman"/>
                <w:color w:val="000000"/>
                <w:sz w:val="22"/>
                <w:szCs w:val="22"/>
              </w:rPr>
            </w:pPr>
          </w:p>
        </w:tc>
        <w:tc>
          <w:tcPr>
            <w:tcW w:w="1206" w:type="dxa"/>
            <w:vMerge w:val="continue"/>
            <w:shd w:val="clear" w:color="auto" w:fill="E7E6E6" w:themeFill="background2"/>
          </w:tcPr>
          <w:p>
            <w:pPr>
              <w:tabs>
                <w:tab w:val="left" w:pos="5140"/>
              </w:tabs>
              <w:rPr>
                <w:rFonts w:ascii="宋体" w:hAnsi="宋体" w:eastAsia="宋体" w:cs="Times New Roman"/>
                <w:color w:val="000000"/>
                <w:sz w:val="22"/>
                <w:szCs w:val="22"/>
              </w:rPr>
            </w:pPr>
          </w:p>
        </w:tc>
        <w:tc>
          <w:tcPr>
            <w:tcW w:w="1276"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18418"/>
      <w:bookmarkStart w:id="39"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7262"/>
      <w:bookmarkStart w:id="41" w:name="_Toc22605"/>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30584"/>
      <w:bookmarkStart w:id="43" w:name="_Toc4775"/>
      <w:r>
        <w:rPr>
          <w:rFonts w:hint="eastAsia" w:ascii="Times New Roman" w:hAnsi="Times New Roman" w:eastAsia="宋体" w:cs="Times New Roman"/>
          <w:b/>
          <w:bCs/>
          <w:szCs w:val="32"/>
          <w:lang w:val="zh-CN"/>
        </w:rPr>
        <w:t>（二）权益分派预案</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268"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1770"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22910"/>
      <w:bookmarkStart w:id="45"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E7E6E6" w:themeFill="background2"/>
            <w:vAlign w:val="center"/>
          </w:tcPr>
          <w:p>
            <w:pPr>
              <w:jc w:val="center"/>
              <w:rPr>
                <w:b/>
                <w:sz w:val="22"/>
              </w:rPr>
            </w:pPr>
            <w:r>
              <w:rPr>
                <w:rFonts w:hint="eastAsia"/>
                <w:b/>
                <w:sz w:val="22"/>
              </w:rPr>
              <w:t>姓名</w:t>
            </w:r>
          </w:p>
        </w:tc>
        <w:tc>
          <w:tcPr>
            <w:tcW w:w="729" w:type="pct"/>
            <w:shd w:val="clear" w:color="auto" w:fill="E7E6E6" w:themeFill="background2"/>
            <w:vAlign w:val="center"/>
          </w:tcPr>
          <w:p>
            <w:pPr>
              <w:jc w:val="center"/>
              <w:rPr>
                <w:b/>
                <w:sz w:val="22"/>
              </w:rPr>
            </w:pPr>
            <w:r>
              <w:rPr>
                <w:rFonts w:hint="eastAsia"/>
                <w:b/>
                <w:sz w:val="22"/>
              </w:rPr>
              <w:t>变动情况</w:t>
            </w:r>
          </w:p>
        </w:tc>
        <w:tc>
          <w:tcPr>
            <w:tcW w:w="441" w:type="pct"/>
            <w:shd w:val="clear" w:color="auto" w:fill="E7E6E6" w:themeFill="background2"/>
            <w:vAlign w:val="center"/>
          </w:tcPr>
          <w:p>
            <w:pPr>
              <w:jc w:val="center"/>
              <w:rPr>
                <w:b/>
                <w:sz w:val="22"/>
              </w:rPr>
            </w:pPr>
            <w:r>
              <w:rPr>
                <w:rFonts w:hint="eastAsia"/>
                <w:b/>
                <w:sz w:val="22"/>
              </w:rPr>
              <w:t>职务</w:t>
            </w:r>
          </w:p>
        </w:tc>
        <w:tc>
          <w:tcPr>
            <w:tcW w:w="1250" w:type="pct"/>
            <w:shd w:val="clear" w:color="auto" w:fill="E7E6E6" w:themeFill="background2"/>
            <w:vAlign w:val="center"/>
          </w:tcPr>
          <w:p>
            <w:pPr>
              <w:widowControl/>
              <w:jc w:val="center"/>
              <w:rPr>
                <w:b/>
                <w:sz w:val="22"/>
              </w:rPr>
            </w:pPr>
            <w:r>
              <w:rPr>
                <w:rFonts w:hint="eastAsia"/>
                <w:b/>
                <w:sz w:val="22"/>
              </w:rPr>
              <w:t>期初持普通股股数</w:t>
            </w:r>
          </w:p>
        </w:tc>
        <w:tc>
          <w:tcPr>
            <w:tcW w:w="809" w:type="pct"/>
            <w:shd w:val="clear" w:color="auto" w:fill="E7E6E6" w:themeFill="background2"/>
            <w:vAlign w:val="center"/>
          </w:tcPr>
          <w:p>
            <w:pPr>
              <w:widowControl/>
              <w:jc w:val="center"/>
              <w:rPr>
                <w:b/>
                <w:sz w:val="22"/>
              </w:rPr>
            </w:pPr>
            <w:r>
              <w:rPr>
                <w:rFonts w:hint="eastAsia"/>
                <w:b/>
                <w:sz w:val="22"/>
              </w:rPr>
              <w:t>持股</w:t>
            </w:r>
            <w:r>
              <w:rPr>
                <w:b/>
                <w:sz w:val="22"/>
              </w:rPr>
              <w:t>数量变动</w:t>
            </w:r>
          </w:p>
        </w:tc>
        <w:tc>
          <w:tcPr>
            <w:tcW w:w="1029" w:type="pct"/>
            <w:shd w:val="clear" w:color="auto" w:fill="E7E6E6" w:themeFill="background2"/>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28124"/>
      <w:bookmarkStart w:id="47" w:name="_Toc11304"/>
      <w:bookmarkStart w:id="48" w:name="_Toc26572"/>
      <w:bookmarkStart w:id="49" w:name="_Toc9561"/>
      <w:bookmarkStart w:id="50" w:name="_Toc3366"/>
      <w:bookmarkStart w:id="51"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2" w:name="_Toc14513"/>
      <w:bookmarkStart w:id="53" w:name="_Toc1328"/>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4118"/>
      <w:bookmarkStart w:id="55" w:name="_Toc1322"/>
      <w:r>
        <w:rPr>
          <w:rFonts w:hint="eastAsia" w:ascii="Times New Roman" w:hAnsi="Times New Roman" w:eastAsia="宋体" w:cs="Times New Roman"/>
          <w:b/>
          <w:bCs/>
          <w:szCs w:val="32"/>
          <w:lang w:val="zh-CN"/>
        </w:rPr>
        <w:t>（二）</w:t>
      </w:r>
      <w:bookmarkStart w:id="56" w:name="_Toc32612"/>
      <w:bookmarkStart w:id="57"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12351"/>
      <w:bookmarkStart w:id="59"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26971"/>
      <w:bookmarkStart w:id="61"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3015"/>
      <w:bookmarkStart w:id="63" w:name="_Toc24970"/>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13862"/>
      <w:bookmarkStart w:id="65" w:name="_Toc29146"/>
      <w:bookmarkStart w:id="66" w:name="_Toc247371786"/>
      <w:bookmarkStart w:id="67" w:name="_Toc369159472"/>
      <w:bookmarkStart w:id="68" w:name="_Toc241636382"/>
      <w:bookmarkStart w:id="69" w:name="_Toc247094011"/>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keepNext/>
        <w:keepLines/>
        <w:spacing w:before="100" w:after="100"/>
        <w:outlineLvl w:val="2"/>
        <w:rPr>
          <w:rFonts w:ascii="Times New Roman" w:hAnsi="Times New Roman" w:eastAsia="宋体" w:cs="Times New Roman"/>
          <w:b/>
          <w:bCs/>
          <w:szCs w:val="32"/>
          <w:lang w:val="zh-CN"/>
        </w:rPr>
      </w:pPr>
      <w:bookmarkStart w:id="70" w:name="_Toc27363"/>
      <w:bookmarkStart w:id="71" w:name="_Toc8339"/>
      <w:r>
        <w:rPr>
          <w:rFonts w:hint="eastAsia" w:ascii="Times New Roman" w:hAnsi="Times New Roman" w:eastAsia="宋体" w:cs="Times New Roman"/>
          <w:b/>
          <w:bCs/>
          <w:szCs w:val="32"/>
          <w:lang w:val="zh-CN"/>
        </w:rPr>
        <w:t>（一）合并资产负债表</w:t>
      </w:r>
      <w:bookmarkEnd w:id="70"/>
      <w:bookmarkEnd w:id="71"/>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0"/>
        <w:gridCol w:w="1895"/>
        <w:gridCol w:w="2622"/>
        <w:gridCol w:w="23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3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287"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1145"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2023</w:t>
            </w:r>
            <w:r>
              <w:rPr>
                <w:rFonts w:ascii="Times New Roman" w:hAnsi="Times New Roman" w:eastAsia="宋体" w:cs="Times New Roman"/>
                <w:b/>
                <w:sz w:val="18"/>
                <w:szCs w:val="18"/>
              </w:rPr>
              <w:t>年</w:t>
            </w:r>
            <w:r>
              <w:rPr>
                <w:rFonts w:hint="eastAsia" w:ascii="Times New Roman" w:hAnsi="Times New Roman" w:eastAsia="宋体" w:cs="Times New Roman"/>
                <w:b/>
                <w:sz w:val="18"/>
                <w:szCs w:val="18"/>
              </w:rPr>
              <w:t>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30" w:type="pct"/>
            <w:shd w:val="clear" w:color="auto" w:fill="auto"/>
          </w:tcPr>
          <w:p>
            <w:pPr>
              <w:widowControl/>
              <w:tabs>
                <w:tab w:val="left" w:pos="1380"/>
              </w:tabs>
              <w:jc w:val="right"/>
              <w:rPr>
                <w:rFonts w:ascii="宋体" w:hAnsi="宋体" w:eastAsia="宋体" w:cs="宋体"/>
                <w:kern w:val="0"/>
                <w:sz w:val="18"/>
                <w:szCs w:val="18"/>
              </w:rPr>
            </w:pPr>
            <w:r>
              <w:rPr>
                <w:rFonts w:ascii="宋体" w:hAnsi="宋体" w:eastAsia="宋体" w:cs="宋体"/>
                <w:kern w:val="0"/>
                <w:sz w:val="18"/>
                <w:szCs w:val="18"/>
              </w:rPr>
              <w:tab/>
            </w: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应收款项融资</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30"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28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4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02"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930"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28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4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02"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30"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28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4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3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28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4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502"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30" w:type="pct"/>
            <w:shd w:val="pct10" w:color="auto" w:fill="auto"/>
          </w:tcPr>
          <w:p>
            <w:pPr>
              <w:widowControl/>
              <w:jc w:val="right"/>
              <w:rPr>
                <w:rFonts w:ascii="宋体" w:hAnsi="宋体" w:eastAsia="宋体" w:cs="宋体"/>
                <w:kern w:val="0"/>
                <w:sz w:val="18"/>
                <w:szCs w:val="18"/>
              </w:rPr>
            </w:pPr>
          </w:p>
        </w:tc>
        <w:tc>
          <w:tcPr>
            <w:tcW w:w="1287" w:type="pct"/>
            <w:shd w:val="pct10" w:color="auto" w:fill="auto"/>
          </w:tcPr>
          <w:p>
            <w:pPr>
              <w:widowControl/>
              <w:jc w:val="right"/>
              <w:rPr>
                <w:rFonts w:ascii="宋体" w:hAnsi="宋体" w:eastAsia="宋体" w:cs="宋体"/>
                <w:kern w:val="0"/>
                <w:sz w:val="18"/>
                <w:szCs w:val="18"/>
              </w:rPr>
            </w:pPr>
          </w:p>
        </w:tc>
        <w:tc>
          <w:tcPr>
            <w:tcW w:w="114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02"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30" w:type="pct"/>
            <w:shd w:val="clear" w:color="auto" w:fill="auto"/>
            <w:vAlign w:val="center"/>
          </w:tcPr>
          <w:p>
            <w:pPr>
              <w:jc w:val="right"/>
              <w:rPr>
                <w:rFonts w:ascii="宋体" w:hAnsi="宋体" w:eastAsia="宋体" w:cs="宋体"/>
                <w:color w:val="00000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归属于母公司所有者权益（或股东权益）合计</w:t>
            </w:r>
          </w:p>
        </w:tc>
        <w:tc>
          <w:tcPr>
            <w:tcW w:w="930" w:type="pct"/>
            <w:shd w:val="clear" w:color="auto" w:fill="auto"/>
          </w:tcPr>
          <w:p>
            <w:pPr>
              <w:widowControl/>
              <w:jc w:val="right"/>
              <w:rPr>
                <w:rFonts w:ascii="宋体" w:hAnsi="宋体" w:eastAsia="宋体" w:cs="宋体"/>
                <w:kern w:val="0"/>
                <w:sz w:val="18"/>
                <w:szCs w:val="18"/>
              </w:rPr>
            </w:pPr>
          </w:p>
        </w:tc>
        <w:tc>
          <w:tcPr>
            <w:tcW w:w="1287"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93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28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4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02"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w:t>
            </w:r>
            <w:r>
              <w:rPr>
                <w:rFonts w:hint="eastAsia" w:ascii="宋体" w:hAnsi="宋体" w:eastAsia="宋体" w:cs="Times New Roman"/>
                <w:b/>
                <w:sz w:val="18"/>
                <w:szCs w:val="18"/>
              </w:rPr>
              <w:t>（或股东权益）</w:t>
            </w:r>
            <w:r>
              <w:rPr>
                <w:rFonts w:hint="eastAsia" w:ascii="宋体" w:hAnsi="宋体" w:eastAsia="宋体" w:cs="Times New Roman"/>
                <w:b/>
                <w:sz w:val="18"/>
                <w:szCs w:val="18"/>
                <w:shd w:val="clear" w:color="auto" w:fill="D9D9D9"/>
              </w:rPr>
              <w:t>合计</w:t>
            </w:r>
          </w:p>
        </w:tc>
        <w:tc>
          <w:tcPr>
            <w:tcW w:w="930" w:type="pct"/>
            <w:shd w:val="pct10" w:color="auto" w:fill="auto"/>
          </w:tcPr>
          <w:p>
            <w:pPr>
              <w:widowControl/>
              <w:jc w:val="right"/>
              <w:rPr>
                <w:rFonts w:ascii="宋体" w:hAnsi="宋体" w:eastAsia="宋体" w:cs="宋体"/>
                <w:kern w:val="0"/>
                <w:sz w:val="18"/>
                <w:szCs w:val="18"/>
                <w:shd w:val="clear" w:color="auto" w:fill="D9D9D9"/>
              </w:rPr>
            </w:pPr>
          </w:p>
        </w:tc>
        <w:tc>
          <w:tcPr>
            <w:tcW w:w="1287" w:type="pct"/>
            <w:shd w:val="pct10" w:color="auto" w:fill="auto"/>
          </w:tcPr>
          <w:p>
            <w:pPr>
              <w:widowControl/>
              <w:jc w:val="right"/>
              <w:rPr>
                <w:rFonts w:ascii="宋体" w:hAnsi="宋体" w:eastAsia="宋体" w:cs="宋体"/>
                <w:kern w:val="0"/>
                <w:sz w:val="18"/>
                <w:szCs w:val="18"/>
                <w:shd w:val="clear" w:color="auto" w:fill="D9D9D9"/>
              </w:rPr>
            </w:pPr>
          </w:p>
        </w:tc>
        <w:tc>
          <w:tcPr>
            <w:tcW w:w="1145"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2"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w:t>
            </w:r>
            <w:r>
              <w:rPr>
                <w:rFonts w:hint="eastAsia" w:ascii="宋体" w:hAnsi="宋体" w:eastAsia="宋体" w:cs="Times New Roman"/>
                <w:b/>
                <w:sz w:val="18"/>
                <w:szCs w:val="18"/>
              </w:rPr>
              <w:t>（或股东权益）</w:t>
            </w:r>
            <w:r>
              <w:rPr>
                <w:rFonts w:hint="eastAsia" w:ascii="宋体" w:hAnsi="宋体" w:eastAsia="宋体" w:cs="Times New Roman"/>
                <w:b/>
                <w:sz w:val="18"/>
                <w:szCs w:val="18"/>
                <w:shd w:val="clear" w:color="auto" w:fill="D9D9D9"/>
              </w:rPr>
              <w:t>总计</w:t>
            </w:r>
          </w:p>
        </w:tc>
        <w:tc>
          <w:tcPr>
            <w:tcW w:w="930" w:type="pct"/>
            <w:shd w:val="pct10" w:color="auto" w:fill="auto"/>
          </w:tcPr>
          <w:p>
            <w:pPr>
              <w:widowControl/>
              <w:jc w:val="right"/>
              <w:rPr>
                <w:rFonts w:ascii="宋体" w:hAnsi="宋体" w:eastAsia="宋体" w:cs="宋体"/>
                <w:kern w:val="0"/>
                <w:sz w:val="18"/>
                <w:szCs w:val="18"/>
                <w:shd w:val="clear" w:color="auto" w:fill="D9D9D9"/>
              </w:rPr>
            </w:pPr>
          </w:p>
        </w:tc>
        <w:tc>
          <w:tcPr>
            <w:tcW w:w="1287" w:type="pct"/>
            <w:shd w:val="pct10" w:color="auto" w:fill="auto"/>
          </w:tcPr>
          <w:p>
            <w:pPr>
              <w:widowControl/>
              <w:jc w:val="right"/>
              <w:rPr>
                <w:rFonts w:ascii="宋体" w:hAnsi="宋体" w:eastAsia="宋体" w:cs="宋体"/>
                <w:kern w:val="0"/>
                <w:sz w:val="18"/>
                <w:szCs w:val="18"/>
                <w:shd w:val="clear" w:color="auto" w:fill="D9D9D9"/>
              </w:rPr>
            </w:pPr>
          </w:p>
        </w:tc>
        <w:tc>
          <w:tcPr>
            <w:tcW w:w="1145"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b/>
          <w:color w:val="000000"/>
          <w:szCs w:val="44"/>
        </w:rPr>
      </w:pPr>
      <w:bookmarkStart w:id="72" w:name="_Toc20412"/>
      <w:bookmarkStart w:id="73" w:name="_Toc6348"/>
      <w:r>
        <w:rPr>
          <w:rFonts w:hint="eastAsia" w:ascii="Times New Roman" w:hAnsi="Times New Roman" w:eastAsia="宋体" w:cs="Times New Roman"/>
          <w:b/>
          <w:bCs/>
          <w:szCs w:val="32"/>
          <w:lang w:val="zh-CN"/>
        </w:rPr>
        <w:t>（二）母公司资产负债表</w:t>
      </w:r>
      <w:bookmarkEnd w:id="72"/>
      <w:bookmarkEnd w:id="73"/>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4"/>
        <w:gridCol w:w="2623"/>
        <w:gridCol w:w="23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3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288"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2024年12月31日</w:t>
            </w:r>
          </w:p>
        </w:tc>
        <w:tc>
          <w:tcPr>
            <w:tcW w:w="1145"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应收票据</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应收账款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应收款项融资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其中：应收利息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应收股利</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买入返售金融资产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8"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ind w:right="90"/>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8"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8"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应付票据</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应付账款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30" w:type="pct"/>
            <w:shd w:val="pct10" w:color="auto" w:fill="FFFFFF"/>
          </w:tcPr>
          <w:p>
            <w:pPr>
              <w:jc w:val="right"/>
              <w:rPr>
                <w:rFonts w:ascii="宋体" w:hAnsi="宋体" w:eastAsia="宋体" w:cs="Times New Roman"/>
                <w:b/>
                <w:sz w:val="18"/>
                <w:szCs w:val="18"/>
              </w:rPr>
            </w:pPr>
          </w:p>
        </w:tc>
        <w:tc>
          <w:tcPr>
            <w:tcW w:w="1288" w:type="pct"/>
            <w:shd w:val="pct10" w:color="auto" w:fill="FFFFFF"/>
          </w:tcPr>
          <w:p>
            <w:pPr>
              <w:jc w:val="right"/>
              <w:rPr>
                <w:rFonts w:ascii="宋体" w:hAnsi="宋体" w:eastAsia="宋体" w:cs="Times New Roman"/>
                <w:b/>
                <w:sz w:val="18"/>
                <w:szCs w:val="18"/>
              </w:rPr>
            </w:pPr>
          </w:p>
        </w:tc>
        <w:tc>
          <w:tcPr>
            <w:tcW w:w="1145"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所有者权益（或股东权益）合计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负债和所有者权益（或股东权益）合计</w:t>
            </w:r>
          </w:p>
        </w:tc>
        <w:tc>
          <w:tcPr>
            <w:tcW w:w="930" w:type="pct"/>
            <w:shd w:val="pct10" w:color="auto" w:fill="FFFFFF"/>
          </w:tcPr>
          <w:p>
            <w:pPr>
              <w:jc w:val="right"/>
              <w:rPr>
                <w:rFonts w:ascii="宋体" w:hAnsi="宋体" w:eastAsia="宋体" w:cs="Times New Roman"/>
                <w:sz w:val="18"/>
                <w:szCs w:val="18"/>
              </w:rPr>
            </w:pPr>
          </w:p>
        </w:tc>
        <w:tc>
          <w:tcPr>
            <w:tcW w:w="1288" w:type="pct"/>
            <w:shd w:val="pct10" w:color="auto" w:fill="FFFFFF"/>
          </w:tcPr>
          <w:p>
            <w:pPr>
              <w:jc w:val="right"/>
              <w:rPr>
                <w:rFonts w:ascii="宋体" w:hAnsi="宋体" w:eastAsia="宋体" w:cs="Times New Roman"/>
                <w:sz w:val="18"/>
                <w:szCs w:val="18"/>
              </w:rPr>
            </w:pPr>
          </w:p>
        </w:tc>
        <w:tc>
          <w:tcPr>
            <w:tcW w:w="1145" w:type="pct"/>
            <w:shd w:val="pct10" w:color="auto" w:fill="FFFFFF"/>
          </w:tcPr>
          <w:p>
            <w:pPr>
              <w:jc w:val="right"/>
              <w:rPr>
                <w:rFonts w:ascii="宋体" w:hAnsi="宋体" w:eastAsia="宋体" w:cs="Times New Roman"/>
                <w:sz w:val="18"/>
                <w:szCs w:val="18"/>
              </w:rPr>
            </w:pPr>
          </w:p>
        </w:tc>
      </w:tr>
    </w:tbl>
    <w:p>
      <w:pPr>
        <w:keepNext/>
        <w:keepLines/>
        <w:spacing w:before="100" w:after="100"/>
        <w:outlineLvl w:val="2"/>
        <w:rPr>
          <w:rFonts w:ascii="Times New Roman" w:hAnsi="Times New Roman" w:eastAsia="宋体" w:cs="Times New Roman"/>
          <w:b/>
          <w:bCs/>
          <w:szCs w:val="32"/>
          <w:lang w:val="zh-CN"/>
        </w:rPr>
      </w:pPr>
      <w:bookmarkStart w:id="74" w:name="_Toc29470"/>
      <w:bookmarkStart w:id="75" w:name="_Toc16179"/>
      <w:r>
        <w:rPr>
          <w:rFonts w:hint="eastAsia" w:ascii="Times New Roman" w:hAnsi="Times New Roman" w:eastAsia="宋体" w:cs="Times New Roman"/>
          <w:b/>
          <w:bCs/>
          <w:szCs w:val="32"/>
          <w:lang w:val="zh-CN"/>
        </w:rPr>
        <w:t>（三）合并利润表</w:t>
      </w:r>
      <w:bookmarkEnd w:id="74"/>
      <w:bookmarkEnd w:id="75"/>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60"/>
        <w:gridCol w:w="1279"/>
        <w:gridCol w:w="2042"/>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6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030"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176"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left="0" w:leftChars="0" w:firstLine="900" w:firstLineChars="5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1.持续经营净利润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2.终止经营净利润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1.少数股东损益</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2.归属于母公司所有者的净利润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1）重新计量设定受益计划变动额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2）权益法下不能转损益的其他综合收益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）其他权益工具投资公允价值变动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）企业自身信用风险公允价值变动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5</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将重分类进损益的其他综合收益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1）权益法下可转损益的其他综合收益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2）其他债权投资公允价值变动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（二）归属于少数股东的其他综合收益的税后净额</w:t>
            </w:r>
            <w:r>
              <w:rPr>
                <w:rFonts w:ascii="宋体" w:hAnsi="宋体" w:eastAsia="宋体" w:cs="Times New Roman"/>
                <w:color w:val="000000"/>
                <w:sz w:val="18"/>
                <w:szCs w:val="18"/>
              </w:rPr>
              <w:t xml:space="preserve"> </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76" w:name="_Toc2570"/>
      <w:bookmarkStart w:id="77" w:name="_Toc16853"/>
      <w:r>
        <w:rPr>
          <w:rFonts w:hint="eastAsia" w:ascii="Times New Roman" w:hAnsi="Times New Roman" w:eastAsia="宋体" w:cs="Times New Roman"/>
          <w:b/>
          <w:bCs/>
          <w:szCs w:val="32"/>
          <w:lang w:val="zh-CN"/>
        </w:rPr>
        <w:t>（四）母公司利润表</w:t>
      </w:r>
      <w:bookmarkEnd w:id="76"/>
      <w:bookmarkEnd w:id="77"/>
    </w:p>
    <w:p>
      <w:pPr>
        <w:ind w:left="672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520"/>
        <w:gridCol w:w="1455"/>
        <w:gridCol w:w="1895"/>
        <w:gridCol w:w="20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73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956"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30"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税金及附加</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销售费用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管理费用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研发费用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财务费用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900" w:firstLineChars="500"/>
              <w:rPr>
                <w:rFonts w:ascii="宋体" w:hAnsi="宋体" w:eastAsia="宋体" w:cs="Times New Roman"/>
                <w:sz w:val="18"/>
                <w:szCs w:val="18"/>
              </w:rPr>
            </w:pPr>
            <w:r>
              <w:rPr>
                <w:rFonts w:hint="eastAsia" w:ascii="宋体" w:hAnsi="宋体" w:eastAsia="宋体" w:cs="Times New Roman"/>
                <w:sz w:val="18"/>
                <w:szCs w:val="18"/>
              </w:rPr>
              <w:t>利息收入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left="0" w:leftChars="0" w:firstLine="900" w:firstLineChars="5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．其他权益工具投资公允价值变动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．企业自身信用风险公允价值变动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2. </w:t>
            </w:r>
            <w:r>
              <w:rPr>
                <w:rFonts w:hint="eastAsia" w:ascii="宋体" w:hAnsi="宋体" w:eastAsia="宋体" w:cs="Times New Roman"/>
                <w:sz w:val="18"/>
                <w:szCs w:val="18"/>
              </w:rPr>
              <w:t>其他债权投资公允价值变动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3. </w:t>
            </w:r>
            <w:r>
              <w:rPr>
                <w:rFonts w:hint="eastAsia" w:ascii="宋体" w:hAnsi="宋体" w:eastAsia="宋体" w:cs="Times New Roman"/>
                <w:sz w:val="18"/>
                <w:szCs w:val="18"/>
              </w:rPr>
              <w:t>金融资产重分类计入其他综合收益的金额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4. </w:t>
            </w:r>
            <w:r>
              <w:rPr>
                <w:rFonts w:hint="eastAsia" w:ascii="宋体" w:hAnsi="宋体" w:eastAsia="宋体" w:cs="Times New Roman"/>
                <w:sz w:val="18"/>
                <w:szCs w:val="18"/>
              </w:rPr>
              <w:t>其他债权投资信用减值准备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5. </w:t>
            </w:r>
            <w:r>
              <w:rPr>
                <w:rFonts w:hint="eastAsia" w:ascii="宋体" w:hAnsi="宋体" w:eastAsia="宋体" w:cs="Times New Roman"/>
                <w:sz w:val="18"/>
                <w:szCs w:val="18"/>
              </w:rPr>
              <w:t>现金流量套期储备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外币财务报表折算差额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7.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bl>
    <w:p>
      <w:pPr>
        <w:rPr>
          <w:rFonts w:ascii="宋体" w:hAnsi="宋体" w:eastAsia="宋体" w:cs="Times New Roman"/>
          <w:sz w:val="18"/>
          <w:szCs w:val="18"/>
        </w:rPr>
      </w:pPr>
    </w:p>
    <w:p>
      <w:pPr>
        <w:keepNext/>
        <w:keepLines/>
        <w:spacing w:before="100" w:after="100"/>
        <w:outlineLvl w:val="2"/>
        <w:rPr>
          <w:rFonts w:ascii="Times New Roman" w:hAnsi="Times New Roman" w:eastAsia="宋体" w:cs="Times New Roman"/>
          <w:b/>
          <w:bCs/>
          <w:szCs w:val="32"/>
          <w:lang w:val="zh-CN"/>
        </w:rPr>
      </w:pPr>
      <w:bookmarkStart w:id="78" w:name="_Toc17421"/>
      <w:bookmarkStart w:id="79" w:name="_Toc2251"/>
      <w:r>
        <w:rPr>
          <w:rFonts w:hint="eastAsia" w:ascii="Times New Roman" w:hAnsi="Times New Roman" w:eastAsia="宋体" w:cs="Times New Roman"/>
          <w:b/>
          <w:bCs/>
          <w:szCs w:val="32"/>
          <w:lang w:val="zh-CN"/>
        </w:rPr>
        <w:t>（五）合并现金流量表</w:t>
      </w:r>
      <w:bookmarkEnd w:id="78"/>
      <w:bookmarkEnd w:id="79"/>
    </w:p>
    <w:p>
      <w:pPr>
        <w:ind w:left="714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2"/>
        <w:gridCol w:w="1786"/>
        <w:gridCol w:w="1713"/>
        <w:gridCol w:w="17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0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86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87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客户存款和同业存放款项净增加额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存放中央银行和同业款项净增加额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0" w:name="_Toc16771"/>
      <w:bookmarkStart w:id="81" w:name="_Toc2143"/>
      <w:r>
        <w:rPr>
          <w:rFonts w:hint="eastAsia" w:ascii="Times New Roman" w:hAnsi="Times New Roman" w:eastAsia="宋体" w:cs="Times New Roman"/>
          <w:b/>
          <w:bCs/>
          <w:szCs w:val="32"/>
          <w:lang w:val="zh-CN"/>
        </w:rPr>
        <w:t>（六）母公司现金流量表</w:t>
      </w:r>
      <w:bookmarkEnd w:id="80"/>
      <w:bookmarkEnd w:id="81"/>
    </w:p>
    <w:p>
      <w:pPr>
        <w:ind w:left="6720" w:firstLine="420"/>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90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附注</w:t>
            </w:r>
          </w:p>
        </w:tc>
        <w:tc>
          <w:tcPr>
            <w:tcW w:w="80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1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发行债券收到的现金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bl>
    <w:p>
      <w:pPr>
        <w:widowControl/>
        <w:ind w:right="272"/>
        <w:jc w:val="left"/>
        <w:rPr>
          <w:rFonts w:ascii="宋体" w:hAnsi="宋体" w:eastAsia="宋体" w:cs="Times New Roman"/>
          <w:b/>
          <w:bCs/>
          <w:color w:val="000000"/>
          <w:szCs w:val="18"/>
        </w:rPr>
        <w:sectPr>
          <w:footerReference r:id="rId4" w:type="default"/>
          <w:pgSz w:w="11907" w:h="16839"/>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2" w:name="_Toc24206"/>
      <w:bookmarkStart w:id="83" w:name="_Toc14783"/>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2"/>
      <w:bookmarkEnd w:id="83"/>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宋体" w:cs="Times New Roman"/>
                <w:b/>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D9D9D9"/>
            <w:vAlign w:val="center"/>
          </w:tcPr>
          <w:p>
            <w:pPr>
              <w:jc w:val="center"/>
              <w:rPr>
                <w:rFonts w:ascii="宋体" w:hAnsi="宋体" w:eastAsia="宋体" w:cs="Times New Roman"/>
                <w:b/>
                <w:color w:val="000000"/>
                <w:sz w:val="18"/>
                <w:szCs w:val="18"/>
              </w:rPr>
            </w:pPr>
          </w:p>
        </w:tc>
        <w:tc>
          <w:tcPr>
            <w:tcW w:w="9146"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992"/>
        <w:gridCol w:w="709"/>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123"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D9D9D9"/>
            <w:vAlign w:val="center"/>
          </w:tcPr>
          <w:p>
            <w:pPr>
              <w:jc w:val="center"/>
              <w:rPr>
                <w:rFonts w:ascii="宋体" w:hAnsi="宋体" w:eastAsia="宋体" w:cs="Times New Roman"/>
                <w:b/>
                <w:color w:val="000000"/>
                <w:sz w:val="18"/>
                <w:szCs w:val="18"/>
              </w:rPr>
            </w:pPr>
          </w:p>
        </w:tc>
        <w:tc>
          <w:tcPr>
            <w:tcW w:w="9214"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917"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10"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709"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8"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continue"/>
            <w:shd w:val="clear" w:color="auto" w:fill="D9D9D9"/>
          </w:tcPr>
          <w:p>
            <w:pPr>
              <w:jc w:val="center"/>
              <w:rPr>
                <w:rFonts w:ascii="Calibri" w:hAnsi="Calibri" w:eastAsia="宋体" w:cs="Times New Roman"/>
                <w:b/>
                <w:color w:val="000000"/>
                <w:sz w:val="18"/>
                <w:szCs w:val="18"/>
              </w:rPr>
            </w:pPr>
          </w:p>
        </w:tc>
        <w:tc>
          <w:tcPr>
            <w:tcW w:w="992"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709"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09"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709"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4" w:name="_Toc17406"/>
      <w:bookmarkStart w:id="85" w:name="_Toc18508"/>
      <w:r>
        <w:rPr>
          <w:rFonts w:hint="eastAsia" w:ascii="Times New Roman" w:hAnsi="Times New Roman" w:eastAsia="宋体" w:cs="Times New Roman"/>
          <w:b/>
          <w:bCs/>
          <w:szCs w:val="32"/>
          <w:lang w:val="zh-CN"/>
        </w:rPr>
        <w:t>（八）母公司股东权益变动表</w:t>
      </w:r>
      <w:bookmarkEnd w:id="84"/>
      <w:bookmarkEnd w:id="85"/>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D7D7D7" w:themeFill="background1" w:themeFillShade="D8"/>
          </w:tcPr>
          <w:p>
            <w:pPr>
              <w:ind w:firstLine="440"/>
              <w:jc w:val="center"/>
              <w:rPr>
                <w:rFonts w:ascii="宋体" w:hAnsi="宋体" w:eastAsia="宋体" w:cs="Times New Roman"/>
                <w:b/>
                <w:color w:val="000000"/>
                <w:sz w:val="18"/>
                <w:szCs w:val="18"/>
              </w:rPr>
            </w:pPr>
            <w:r>
              <w:rPr>
                <w:rFonts w:hint="eastAsia" w:ascii="Times New Roman" w:hAnsi="Times New Roman" w:eastAsia="宋体" w:cs="Times New Roman"/>
                <w:b/>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D7D7D7" w:themeFill="background1" w:themeFillShade="D8"/>
            <w:vAlign w:val="center"/>
          </w:tcPr>
          <w:p>
            <w:pPr>
              <w:ind w:firstLine="440"/>
              <w:jc w:val="center"/>
              <w:rPr>
                <w:rFonts w:ascii="宋体" w:hAnsi="宋体" w:eastAsia="宋体" w:cs="宋体"/>
                <w:b/>
                <w:color w:val="000000"/>
                <w:sz w:val="18"/>
                <w:szCs w:val="18"/>
              </w:rPr>
            </w:pPr>
          </w:p>
        </w:tc>
        <w:tc>
          <w:tcPr>
            <w:tcW w:w="921"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D7D7D7" w:themeFill="background1" w:themeFillShade="D8"/>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D7D7D7" w:themeFill="background1" w:themeFillShade="D8"/>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D7D7D7" w:themeFill="background1" w:themeFillShade="D8"/>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D7D7D7" w:themeFill="background1" w:themeFillShade="D8"/>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D7D7D7" w:themeFill="background1" w:themeFillShade="D8"/>
          </w:tcPr>
          <w:p>
            <w:pPr>
              <w:ind w:firstLine="440"/>
              <w:jc w:val="center"/>
              <w:rPr>
                <w:rFonts w:ascii="宋体" w:hAnsi="宋体" w:eastAsia="宋体" w:cs="Times New Roman"/>
                <w:b/>
                <w:color w:val="000000"/>
                <w:sz w:val="18"/>
                <w:szCs w:val="18"/>
              </w:rPr>
            </w:pPr>
            <w:bookmarkStart w:id="90" w:name="_GoBack"/>
            <w:r>
              <w:rPr>
                <w:rFonts w:hint="default" w:ascii="Times New Roman" w:hAnsi="Times New Roman" w:eastAsia="宋体" w:cs="Times New Roman"/>
                <w:b/>
                <w:color w:val="000000"/>
                <w:sz w:val="18"/>
                <w:szCs w:val="18"/>
              </w:rPr>
              <w:t>2023</w:t>
            </w:r>
            <w:bookmarkEnd w:id="90"/>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D7D7D7" w:themeFill="background1" w:themeFillShade="D8"/>
            <w:vAlign w:val="center"/>
          </w:tcPr>
          <w:p>
            <w:pPr>
              <w:ind w:firstLine="440"/>
              <w:jc w:val="center"/>
              <w:rPr>
                <w:rFonts w:ascii="宋体" w:hAnsi="宋体" w:eastAsia="宋体" w:cs="宋体"/>
                <w:b/>
                <w:color w:val="000000"/>
                <w:sz w:val="18"/>
                <w:szCs w:val="18"/>
              </w:rPr>
            </w:pPr>
          </w:p>
        </w:tc>
        <w:tc>
          <w:tcPr>
            <w:tcW w:w="921"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D7D7D7" w:themeFill="background1" w:themeFillShade="D8"/>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D7D7D7" w:themeFill="background1" w:themeFillShade="D8"/>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D7D7D7" w:themeFill="background1" w:themeFillShade="D8"/>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D7D7D7" w:themeFill="background1" w:themeFillShade="D8"/>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D7D7D7" w:themeFill="background1" w:themeFillShade="D8"/>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D9D9D9"/>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pgSz w:w="21633" w:h="11906" w:orient="landscape"/>
          <w:pgMar w:top="1797" w:right="6235" w:bottom="1797" w:left="1440" w:header="851" w:footer="992" w:gutter="0"/>
          <w:cols w:space="425" w:num="1"/>
          <w:docGrid w:type="linesAndChars" w:linePitch="312" w:charSpace="0"/>
        </w:sectPr>
      </w:pPr>
    </w:p>
    <w:bookmarkEnd w:id="66"/>
    <w:bookmarkEnd w:id="67"/>
    <w:bookmarkEnd w:id="68"/>
    <w:bookmarkEnd w:id="69"/>
    <w:p>
      <w:pPr>
        <w:tabs>
          <w:tab w:val="left" w:pos="5140"/>
        </w:tabs>
        <w:rPr>
          <w:rFonts w:ascii="宋体" w:hAnsi="宋体" w:eastAsia="宋体" w:cs="Times New Roman"/>
          <w:b/>
          <w:color w:val="FF0000"/>
          <w:sz w:val="24"/>
          <w:szCs w:val="21"/>
        </w:rPr>
      </w:pPr>
      <w:bookmarkStart w:id="86" w:name="_Toc10081"/>
      <w:bookmarkStart w:id="87" w:name="_Toc2344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86"/>
      <w:bookmarkEnd w:id="87"/>
    </w:p>
    <w:p>
      <w:pPr>
        <w:keepNext/>
        <w:keepLines/>
        <w:spacing w:before="100" w:after="100"/>
        <w:outlineLvl w:val="1"/>
        <w:rPr>
          <w:rFonts w:ascii="Calibri Light" w:hAnsi="Calibri Light" w:eastAsia="微软雅黑" w:cs="Times New Roman"/>
          <w:b/>
          <w:bCs/>
          <w:sz w:val="22"/>
          <w:szCs w:val="32"/>
        </w:rPr>
      </w:pPr>
      <w:bookmarkStart w:id="88" w:name="_Toc3016"/>
      <w:bookmarkStart w:id="89" w:name="_Toc23833"/>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16</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22</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4883"/>
    <w:rsid w:val="000569D0"/>
    <w:rsid w:val="00064DCD"/>
    <w:rsid w:val="00077348"/>
    <w:rsid w:val="000907EF"/>
    <w:rsid w:val="00091D4B"/>
    <w:rsid w:val="00096D23"/>
    <w:rsid w:val="000F78A5"/>
    <w:rsid w:val="00194E96"/>
    <w:rsid w:val="001B2B6B"/>
    <w:rsid w:val="001C3D27"/>
    <w:rsid w:val="001C6B30"/>
    <w:rsid w:val="001D457E"/>
    <w:rsid w:val="001E568E"/>
    <w:rsid w:val="00233D01"/>
    <w:rsid w:val="00241328"/>
    <w:rsid w:val="00252F1E"/>
    <w:rsid w:val="00271BDC"/>
    <w:rsid w:val="00272B19"/>
    <w:rsid w:val="00276F3D"/>
    <w:rsid w:val="00296596"/>
    <w:rsid w:val="002B0B66"/>
    <w:rsid w:val="002D0FAF"/>
    <w:rsid w:val="003245FE"/>
    <w:rsid w:val="00346154"/>
    <w:rsid w:val="003562AB"/>
    <w:rsid w:val="003661DA"/>
    <w:rsid w:val="0037123F"/>
    <w:rsid w:val="00376347"/>
    <w:rsid w:val="003A0744"/>
    <w:rsid w:val="003A1B16"/>
    <w:rsid w:val="003B5684"/>
    <w:rsid w:val="003C500F"/>
    <w:rsid w:val="003D3FCD"/>
    <w:rsid w:val="003F234D"/>
    <w:rsid w:val="00412A75"/>
    <w:rsid w:val="0042165B"/>
    <w:rsid w:val="004764D0"/>
    <w:rsid w:val="004B1BCE"/>
    <w:rsid w:val="004D13F1"/>
    <w:rsid w:val="004F3506"/>
    <w:rsid w:val="00506480"/>
    <w:rsid w:val="00506875"/>
    <w:rsid w:val="005141A7"/>
    <w:rsid w:val="00541500"/>
    <w:rsid w:val="005A5826"/>
    <w:rsid w:val="005C1BB7"/>
    <w:rsid w:val="005E417C"/>
    <w:rsid w:val="005F6466"/>
    <w:rsid w:val="0060663A"/>
    <w:rsid w:val="00645834"/>
    <w:rsid w:val="00674CBE"/>
    <w:rsid w:val="0067672F"/>
    <w:rsid w:val="00681962"/>
    <w:rsid w:val="00690756"/>
    <w:rsid w:val="00695932"/>
    <w:rsid w:val="006B78C5"/>
    <w:rsid w:val="006C1562"/>
    <w:rsid w:val="006C5002"/>
    <w:rsid w:val="006D6F3A"/>
    <w:rsid w:val="006E7C10"/>
    <w:rsid w:val="006F0092"/>
    <w:rsid w:val="007112C2"/>
    <w:rsid w:val="007329DA"/>
    <w:rsid w:val="0075546D"/>
    <w:rsid w:val="00755BA5"/>
    <w:rsid w:val="00782E31"/>
    <w:rsid w:val="0079347F"/>
    <w:rsid w:val="007B7D00"/>
    <w:rsid w:val="007D07A7"/>
    <w:rsid w:val="007E0DFC"/>
    <w:rsid w:val="0082424C"/>
    <w:rsid w:val="0083638B"/>
    <w:rsid w:val="00837BA9"/>
    <w:rsid w:val="00846AA5"/>
    <w:rsid w:val="0085287A"/>
    <w:rsid w:val="00896507"/>
    <w:rsid w:val="008E5B5E"/>
    <w:rsid w:val="0090753C"/>
    <w:rsid w:val="00920AFE"/>
    <w:rsid w:val="00981982"/>
    <w:rsid w:val="009A5B79"/>
    <w:rsid w:val="009E303B"/>
    <w:rsid w:val="00A14725"/>
    <w:rsid w:val="00A36191"/>
    <w:rsid w:val="00A44024"/>
    <w:rsid w:val="00A70E43"/>
    <w:rsid w:val="00A83B1A"/>
    <w:rsid w:val="00AB3142"/>
    <w:rsid w:val="00AD79DE"/>
    <w:rsid w:val="00AE0002"/>
    <w:rsid w:val="00AF27C0"/>
    <w:rsid w:val="00B03D8F"/>
    <w:rsid w:val="00BA18E8"/>
    <w:rsid w:val="00BB2713"/>
    <w:rsid w:val="00BB3026"/>
    <w:rsid w:val="00BE098F"/>
    <w:rsid w:val="00BF544C"/>
    <w:rsid w:val="00C35663"/>
    <w:rsid w:val="00C52B10"/>
    <w:rsid w:val="00C83150"/>
    <w:rsid w:val="00CA1118"/>
    <w:rsid w:val="00CA7076"/>
    <w:rsid w:val="00CC61AD"/>
    <w:rsid w:val="00D224CB"/>
    <w:rsid w:val="00D54C2A"/>
    <w:rsid w:val="00D75D32"/>
    <w:rsid w:val="00D87781"/>
    <w:rsid w:val="00DA7FD5"/>
    <w:rsid w:val="00DB4315"/>
    <w:rsid w:val="00E16580"/>
    <w:rsid w:val="00E273AA"/>
    <w:rsid w:val="00E71FDD"/>
    <w:rsid w:val="00E7475C"/>
    <w:rsid w:val="00E84A74"/>
    <w:rsid w:val="00E92F9A"/>
    <w:rsid w:val="00EA2B40"/>
    <w:rsid w:val="00EC48ED"/>
    <w:rsid w:val="00ED28ED"/>
    <w:rsid w:val="00EE7195"/>
    <w:rsid w:val="00F10843"/>
    <w:rsid w:val="00F51E7E"/>
    <w:rsid w:val="00F55814"/>
    <w:rsid w:val="00F96C11"/>
    <w:rsid w:val="00FA41FD"/>
    <w:rsid w:val="00FE5D8B"/>
    <w:rsid w:val="00FF2B61"/>
    <w:rsid w:val="4D7FED99"/>
    <w:rsid w:val="5E3D1949"/>
    <w:rsid w:val="7FFD0571"/>
    <w:rsid w:val="97F798D4"/>
    <w:rsid w:val="989E6787"/>
    <w:rsid w:val="BFDDA835"/>
    <w:rsid w:val="DB167520"/>
    <w:rsid w:val="FCFBE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4">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0">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修订2"/>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3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5068</Words>
  <Characters>28889</Characters>
  <Lines>240</Lines>
  <Paragraphs>67</Paragraphs>
  <TotalTime>37</TotalTime>
  <ScaleCrop>false</ScaleCrop>
  <LinksUpToDate>false</LinksUpToDate>
  <CharactersWithSpaces>33890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2023-11-04T19:44:00Z</dcterms:created>
  <dc:creator>黄伊晨hyc</dc:creator>
  <cp:lastModifiedBy>cuiyq</cp:lastModifiedBy>
  <dcterms:modified xsi:type="dcterms:W3CDTF">2024-12-24T15:33:07Z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6F59667DCB35D10078B136675FCE235F_42</vt:lpwstr>
  </property>
</Properties>
</file>