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保险公司</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保险公司</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747"/>
      <w:bookmarkStart w:id="1" w:name="_Toc2219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26929"/>
      <w:bookmarkStart w:id="3" w:name="_Toc3325"/>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外部精算机构</w:t>
            </w:r>
          </w:p>
        </w:tc>
        <w:tc>
          <w:tcPr>
            <w:tcW w:w="2693"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p>
        </w:tc>
        <w:tc>
          <w:tcPr>
            <w:tcW w:w="2127"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Theme="minorEastAsia" w:hAnsiTheme="minorEastAsia"/>
                <w:color w:val="000000" w:themeColor="text1"/>
                <w:kern w:val="0"/>
                <w:sz w:val="22"/>
                <w14:textFill>
                  <w14:solidFill>
                    <w14:schemeClr w14:val="tx1"/>
                  </w14:solidFill>
                </w14:textFill>
              </w:rPr>
              <w:t>签字精算师</w:t>
            </w:r>
          </w:p>
        </w:tc>
        <w:tc>
          <w:tcPr>
            <w:tcW w:w="3118"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精算机构办公地址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Times New Roman" w:hAnsi="Times New Roman"/>
                <w:color w:val="000000" w:themeColor="text1"/>
                <w:kern w:val="0"/>
                <w:sz w:val="22"/>
                <w14:textFill>
                  <w14:solidFill>
                    <w14:schemeClr w14:val="tx1"/>
                  </w14:solidFill>
                </w14:textFill>
              </w:rPr>
              <w:t>保险公司法人许可证机构编码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（如不适用请删除此行）</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20290"/>
      <w:bookmarkStart w:id="5" w:name="_Toc17493"/>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Times New Roman" w:hAnsi="Times New Roman" w:eastAsia="宋体" w:cs="Times New Roman"/>
          <w:b/>
          <w:bCs/>
          <w:szCs w:val="32"/>
        </w:rPr>
      </w:pPr>
      <w:r>
        <w:rPr>
          <w:rFonts w:hint="eastAsia" w:ascii="Calibri Light" w:hAnsi="Calibri Light" w:eastAsia="微软雅黑" w:cs="Times New Roman"/>
          <w:b/>
          <w:bCs/>
          <w:sz w:val="22"/>
          <w:szCs w:val="32"/>
        </w:rPr>
        <w:t>一、商业模式</w:t>
      </w:r>
      <w:r>
        <w:rPr>
          <w:rFonts w:ascii="Calibri Light" w:hAnsi="Calibri Light" w:eastAsia="微软雅黑" w:cs="Times New Roman"/>
          <w:b/>
          <w:bCs/>
          <w:sz w:val="22"/>
          <w:szCs w:val="32"/>
        </w:rPr>
        <w:t>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业绩指标</w:t>
      </w:r>
    </w:p>
    <w:p>
      <w:pPr>
        <w:tabs>
          <w:tab w:val="left" w:pos="5140"/>
        </w:tabs>
        <w:outlineLvl w:val="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（一）主要</w:t>
      </w:r>
      <w:r>
        <w:rPr>
          <w:rFonts w:ascii="宋体" w:hAnsi="宋体" w:cs="宋体"/>
          <w:b/>
          <w:color w:val="000000" w:themeColor="text1"/>
          <w:szCs w:val="21"/>
          <w14:textFill>
            <w14:solidFill>
              <w14:schemeClr w14:val="tx1"/>
            </w14:solidFill>
          </w14:textFill>
        </w:rPr>
        <w:t>会计数据</w:t>
      </w:r>
      <w:r>
        <w:rPr>
          <w:rFonts w:hint="eastAsia" w:ascii="宋体" w:hAnsi="宋体" w:cs="宋体"/>
          <w:b/>
          <w:color w:val="000000" w:themeColor="text1"/>
          <w:szCs w:val="21"/>
          <w14:textFill>
            <w14:solidFill>
              <w14:schemeClr w14:val="tx1"/>
            </w14:solidFill>
          </w14:textFill>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Layout w:type="autofit"/>
        <w:tblCellMar>
          <w:top w:w="0" w:type="dxa"/>
          <w:left w:w="108" w:type="dxa"/>
          <w:bottom w:w="0" w:type="dxa"/>
          <w:right w:w="108" w:type="dxa"/>
        </w:tblCellMar>
      </w:tblPr>
      <w:tblGrid>
        <w:gridCol w:w="3544"/>
        <w:gridCol w:w="1676"/>
        <w:gridCol w:w="1820"/>
        <w:gridCol w:w="1820"/>
      </w:tblGrid>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bl>
    <w:p>
      <w:pPr>
        <w:tabs>
          <w:tab w:val="left" w:pos="5140"/>
        </w:tabs>
        <w:outlineLvl w:val="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（二）行业主要财务及监管指标</w:t>
      </w:r>
    </w:p>
    <w:p>
      <w:pPr>
        <w:rPr>
          <w:rFonts w:ascii="微软雅黑" w:hAnsi="微软雅黑" w:eastAsia="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微软雅黑" w:hAnsi="微软雅黑" w:eastAsia="微软雅黑"/>
          <w:b/>
          <w:sz w:val="22"/>
          <w:szCs w:val="44"/>
        </w:rPr>
      </w:pPr>
      <w:r>
        <w:rPr>
          <w:rFonts w:hint="eastAsia"/>
        </w:rPr>
        <w:t>单位：元</w:t>
      </w:r>
    </w:p>
    <w:tbl>
      <w:tblPr>
        <w:tblStyle w:val="45"/>
        <w:tblW w:w="9498"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2410"/>
        <w:gridCol w:w="212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403" w:type="dxa"/>
            <w:tcBorders>
              <w:top w:val="single" w:color="5B9BD5" w:themeColor="accent1" w:sz="4" w:space="0"/>
            </w:tcBorders>
            <w:shd w:val="clear" w:color="auto" w:fill="D0CECE" w:themeFill="background2" w:themeFillShade="E6"/>
          </w:tcPr>
          <w:p>
            <w:pPr>
              <w:rPr>
                <w:rFonts w:ascii="Times New Roman" w:hAnsi="Times New Roman"/>
                <w:color w:val="000000" w:themeColor="text1"/>
                <w:kern w:val="0"/>
                <w:sz w:val="22"/>
                <w14:textFill>
                  <w14:solidFill>
                    <w14:schemeClr w14:val="tx1"/>
                  </w14:solidFill>
                </w14:textFill>
              </w:rPr>
            </w:pPr>
          </w:p>
        </w:tc>
        <w:tc>
          <w:tcPr>
            <w:tcW w:w="2410" w:type="dxa"/>
            <w:tcBorders>
              <w:top w:val="single" w:color="5B9BD5" w:themeColor="accent1" w:sz="4" w:space="0"/>
              <w:right w:val="single" w:color="5B9BD5" w:themeColor="accent1" w:sz="4" w:space="0"/>
            </w:tcBorders>
            <w:shd w:val="clear" w:color="auto" w:fill="D0CECE" w:themeFill="background2" w:themeFillShade="E6"/>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本期期末（本期）</w:t>
            </w:r>
          </w:p>
        </w:tc>
        <w:tc>
          <w:tcPr>
            <w:tcW w:w="2126" w:type="dxa"/>
            <w:tcBorders>
              <w:top w:val="single" w:color="5B9BD5" w:themeColor="accent1" w:sz="4" w:space="0"/>
              <w:left w:val="single" w:color="5B9BD5" w:themeColor="accent1" w:sz="4" w:space="0"/>
              <w:right w:val="single" w:color="5B9BD5" w:themeColor="accent1" w:sz="4" w:space="0"/>
            </w:tcBorders>
            <w:shd w:val="clear" w:color="auto" w:fill="D0CECE" w:themeFill="background2" w:themeFillShade="E6"/>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本期期初（上期）</w:t>
            </w:r>
          </w:p>
        </w:tc>
        <w:tc>
          <w:tcPr>
            <w:tcW w:w="1559" w:type="dxa"/>
            <w:tcBorders>
              <w:left w:val="single" w:color="5B9BD5" w:themeColor="accent1" w:sz="4" w:space="0"/>
            </w:tcBorders>
            <w:shd w:val="clear" w:color="auto" w:fill="D0CECE" w:themeFill="background2" w:themeFillShade="E6"/>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增减比例</w:t>
            </w: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已赚保费</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赔付支出</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投资资产</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投资收益率（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核心偿付能力充足率（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综合偿付能力充足率（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风险</w:t>
            </w:r>
            <w:r>
              <w:rPr>
                <w:rFonts w:asciiTheme="minorEastAsia" w:hAnsiTheme="minorEastAsia"/>
                <w:color w:val="000000" w:themeColor="text1"/>
                <w:kern w:val="0"/>
                <w:sz w:val="22"/>
                <w14:textFill>
                  <w14:solidFill>
                    <w14:schemeClr w14:val="tx1"/>
                  </w14:solidFill>
                </w14:textFill>
              </w:rPr>
              <w:t>综合评级</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bl>
    <w:p>
      <w:pPr>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其中</w:t>
      </w:r>
      <w:r>
        <w:rPr>
          <w:rFonts w:ascii="微软雅黑" w:hAnsi="微软雅黑" w:eastAsia="微软雅黑"/>
          <w:b/>
          <w:color w:val="000000" w:themeColor="text1"/>
          <w:sz w:val="22"/>
          <w:szCs w:val="44"/>
          <w14:textFill>
            <w14:solidFill>
              <w14:schemeClr w14:val="tx1"/>
            </w14:solidFill>
          </w14:textFill>
        </w:rPr>
        <w:t>： 寿险业务</w:t>
      </w:r>
    </w:p>
    <w:p>
      <w:pPr>
        <w:rPr>
          <w:rFonts w:ascii="微软雅黑" w:hAnsi="微软雅黑" w:eastAsia="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498"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2410"/>
        <w:gridCol w:w="212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403" w:type="dxa"/>
            <w:tcBorders>
              <w:top w:val="single" w:color="5B9BD5" w:themeColor="accent1" w:sz="4" w:space="0"/>
            </w:tcBorders>
            <w:shd w:val="clear" w:color="auto" w:fill="D0CECE" w:themeFill="background2" w:themeFillShade="E6"/>
          </w:tcPr>
          <w:p>
            <w:pPr>
              <w:rPr>
                <w:rFonts w:asciiTheme="minorEastAsia" w:hAnsiTheme="minorEastAsia"/>
                <w:color w:val="000000" w:themeColor="text1"/>
                <w:kern w:val="0"/>
                <w:sz w:val="22"/>
                <w14:textFill>
                  <w14:solidFill>
                    <w14:schemeClr w14:val="tx1"/>
                  </w14:solidFill>
                </w14:textFill>
              </w:rPr>
            </w:pPr>
          </w:p>
        </w:tc>
        <w:tc>
          <w:tcPr>
            <w:tcW w:w="2410" w:type="dxa"/>
            <w:tcBorders>
              <w:top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本期期末（本期）</w:t>
            </w:r>
          </w:p>
        </w:tc>
        <w:tc>
          <w:tcPr>
            <w:tcW w:w="2126" w:type="dxa"/>
            <w:tcBorders>
              <w:top w:val="single" w:color="5B9BD5" w:themeColor="accent1" w:sz="4" w:space="0"/>
              <w:left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本期期初（上期）</w:t>
            </w:r>
          </w:p>
        </w:tc>
        <w:tc>
          <w:tcPr>
            <w:tcW w:w="1559" w:type="dxa"/>
            <w:tcBorders>
              <w:lef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增减比例</w:t>
            </w: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已</w:t>
            </w:r>
            <w:r>
              <w:rPr>
                <w:rFonts w:asciiTheme="minorEastAsia" w:hAnsiTheme="minorEastAsia"/>
                <w:color w:val="000000" w:themeColor="text1"/>
                <w:kern w:val="0"/>
                <w:sz w:val="22"/>
                <w14:textFill>
                  <w14:solidFill>
                    <w14:schemeClr w14:val="tx1"/>
                  </w14:solidFill>
                </w14:textFill>
              </w:rPr>
              <w:t>赚保费</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赔付支出</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投资</w:t>
            </w:r>
            <w:r>
              <w:rPr>
                <w:rFonts w:asciiTheme="minorEastAsia" w:hAnsiTheme="minorEastAsia"/>
                <w:color w:val="000000" w:themeColor="text1"/>
                <w:kern w:val="0"/>
                <w:sz w:val="22"/>
                <w14:textFill>
                  <w14:solidFill>
                    <w14:schemeClr w14:val="tx1"/>
                  </w14:solidFill>
                </w14:textFill>
              </w:rPr>
              <w:t>资产</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投资收益率（</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r>
              <w:rPr>
                <w:rFonts w:asciiTheme="minorEastAsia" w:hAnsiTheme="minorEastAsia"/>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核心偿付能力充足率（</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综合偿付能力充足率（</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退保率（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自留保费增长率（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bl>
    <w:p>
      <w:pPr>
        <w:rPr>
          <w:rFonts w:ascii="微软雅黑" w:hAnsi="微软雅黑" w:eastAsia="微软雅黑"/>
          <w:b/>
          <w:color w:val="000000" w:themeColor="text1"/>
          <w:sz w:val="22"/>
          <w:szCs w:val="44"/>
          <w14:textFill>
            <w14:solidFill>
              <w14:schemeClr w14:val="tx1"/>
            </w14:solidFill>
          </w14:textFill>
        </w:rPr>
      </w:pPr>
      <w:r>
        <w:rPr>
          <w:rFonts w:ascii="微软雅黑" w:hAnsi="微软雅黑" w:eastAsia="微软雅黑"/>
          <w:b/>
          <w:color w:val="000000" w:themeColor="text1"/>
          <w:sz w:val="22"/>
          <w:szCs w:val="44"/>
          <w14:textFill>
            <w14:solidFill>
              <w14:schemeClr w14:val="tx1"/>
            </w14:solidFill>
          </w14:textFill>
        </w:rPr>
        <w:t xml:space="preserve">       产险业务</w:t>
      </w:r>
    </w:p>
    <w:p>
      <w:pPr>
        <w:rPr>
          <w:rFonts w:ascii="微软雅黑" w:hAnsi="微软雅黑" w:eastAsia="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498"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2268"/>
        <w:gridCol w:w="226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403" w:type="dxa"/>
            <w:tcBorders>
              <w:top w:val="single" w:color="5B9BD5" w:themeColor="accent1" w:sz="4" w:space="0"/>
            </w:tcBorders>
            <w:shd w:val="clear" w:color="auto" w:fill="D0CECE" w:themeFill="background2" w:themeFillShade="E6"/>
          </w:tcPr>
          <w:p>
            <w:pPr>
              <w:rPr>
                <w:rFonts w:asciiTheme="minorEastAsia" w:hAnsi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本期期末（本期）</w:t>
            </w:r>
          </w:p>
        </w:tc>
        <w:tc>
          <w:tcPr>
            <w:tcW w:w="2268" w:type="dxa"/>
            <w:tcBorders>
              <w:top w:val="single" w:color="5B9BD5" w:themeColor="accent1" w:sz="4" w:space="0"/>
              <w:left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本期期初（上期）</w:t>
            </w:r>
          </w:p>
        </w:tc>
        <w:tc>
          <w:tcPr>
            <w:tcW w:w="1559" w:type="dxa"/>
            <w:tcBorders>
              <w:left w:val="single" w:color="5B9BD5" w:themeColor="accent1" w:sz="4" w:space="0"/>
            </w:tcBorders>
            <w:shd w:val="clear" w:color="auto" w:fill="D0CECE" w:themeFill="background2" w:themeFillShade="E6"/>
          </w:tcPr>
          <w:p>
            <w:pPr>
              <w:jc w:val="center"/>
              <w:rPr>
                <w:rFonts w:asciiTheme="minorEastAsia" w:hAnsiTheme="minorEastAsia"/>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增减比例</w:t>
            </w: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已</w:t>
            </w:r>
            <w:r>
              <w:rPr>
                <w:rFonts w:asciiTheme="minorEastAsia" w:hAnsiTheme="minorEastAsia"/>
                <w:color w:val="000000" w:themeColor="text1"/>
                <w:kern w:val="0"/>
                <w:sz w:val="22"/>
                <w14:textFill>
                  <w14:solidFill>
                    <w14:schemeClr w14:val="tx1"/>
                  </w14:solidFill>
                </w14:textFill>
              </w:rPr>
              <w:t>赚保费</w:t>
            </w:r>
          </w:p>
        </w:tc>
        <w:tc>
          <w:tcPr>
            <w:tcW w:w="2268"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赔付支出</w:t>
            </w:r>
          </w:p>
        </w:tc>
        <w:tc>
          <w:tcPr>
            <w:tcW w:w="2268"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投资</w:t>
            </w:r>
            <w:r>
              <w:rPr>
                <w:rFonts w:asciiTheme="minorEastAsia" w:hAnsiTheme="minorEastAsia"/>
                <w:color w:val="000000" w:themeColor="text1"/>
                <w:kern w:val="0"/>
                <w:sz w:val="22"/>
                <w14:textFill>
                  <w14:solidFill>
                    <w14:schemeClr w14:val="tx1"/>
                  </w14:solidFill>
                </w14:textFill>
              </w:rPr>
              <w:t>资产</w:t>
            </w:r>
          </w:p>
        </w:tc>
        <w:tc>
          <w:tcPr>
            <w:tcW w:w="2268"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投资收益率</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r>
              <w:rPr>
                <w:rFonts w:asciiTheme="minorEastAsia" w:hAnsiTheme="minorEastAsia"/>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核心偿付能力充足率（</w:t>
            </w:r>
            <w:r>
              <w:rPr>
                <w:rFonts w:asciiTheme="minorEastAsia" w:hAnsi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heme="minorEastAsia" w:hAnsiTheme="minorEastAsia"/>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综合偿付能力充足率（</w:t>
            </w:r>
            <w:r>
              <w:rPr>
                <w:rFonts w:asciiTheme="minorEastAsia" w:hAnsi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自留保费增长率（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综合成本率（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综合赔付率（</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403" w:type="dxa"/>
          </w:tcPr>
          <w:p>
            <w:pPr>
              <w:jc w:val="left"/>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2268"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559" w:type="dxa"/>
            <w:tcBorders>
              <w:left w:val="single" w:color="5B9BD5" w:themeColor="accent1" w:sz="4" w:space="0"/>
            </w:tcBorders>
          </w:tcPr>
          <w:p>
            <w:pPr>
              <w:jc w:val="center"/>
              <w:rPr>
                <w:rFonts w:ascii="Times New Roman" w:hAnsi="Times New Roman"/>
                <w:b/>
                <w:color w:val="000000" w:themeColor="text1"/>
                <w:kern w:val="0"/>
                <w:sz w:val="22"/>
                <w14:textFill>
                  <w14:solidFill>
                    <w14:schemeClr w14:val="tx1"/>
                  </w14:solidFill>
                </w14:textFill>
              </w:rPr>
            </w:pPr>
          </w:p>
        </w:tc>
      </w:tr>
    </w:tbl>
    <w:p>
      <w:pPr>
        <w:rPr>
          <w:color w:val="FF0000"/>
        </w:rPr>
      </w:pPr>
      <w:r>
        <w:rPr>
          <w:rFonts w:hint="eastAsia" w:ascii="宋体" w:hAnsi="宋体"/>
          <w:i/>
          <w:color w:val="FF0000"/>
          <w:szCs w:val="21"/>
        </w:rPr>
        <w:t>注</w:t>
      </w:r>
      <w:r>
        <w:rPr>
          <w:rFonts w:ascii="宋体" w:hAnsi="宋体"/>
          <w:i/>
          <w:color w:val="FF0000"/>
          <w:szCs w:val="21"/>
        </w:rPr>
        <w:t>:投资资产:</w:t>
      </w:r>
      <w:r>
        <w:rPr>
          <w:color w:val="FF0000"/>
        </w:rPr>
        <w:t xml:space="preserve"> </w:t>
      </w:r>
      <w:r>
        <w:rPr>
          <w:rFonts w:hint="eastAsia" w:ascii="宋体" w:hAnsi="宋体"/>
          <w:i/>
          <w:color w:val="FF0000"/>
          <w:szCs w:val="21"/>
        </w:rPr>
        <w:t>保险公司应结合保险监管部门规定披露公司最近两年投资组合情况及投资收益率，并在本节对投资组合构成进行分析。</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ascii="宋体" w:hAnsi="宋体" w:eastAsia="宋体" w:cs="Times New Roman"/>
                <w:i/>
                <w:color w:val="FF0000"/>
                <w:kern w:val="0"/>
                <w:sz w:val="20"/>
                <w:szCs w:val="44"/>
              </w:rPr>
              <w:t>基础层</w:t>
            </w:r>
            <w:r>
              <w:rPr>
                <w:rFonts w:hint="eastAsia" w:eastAsia="宋体" w:cs="Times New Roman" w:asciiTheme="minorEastAsia" w:hAnsi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836"/>
        <w:gridCol w:w="1134"/>
        <w:gridCol w:w="1417"/>
        <w:gridCol w:w="993"/>
        <w:gridCol w:w="1275"/>
        <w:gridCol w:w="127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Merge w:val="restar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项目</w:t>
            </w:r>
          </w:p>
        </w:tc>
        <w:tc>
          <w:tcPr>
            <w:tcW w:w="2551"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w:t>
            </w:r>
          </w:p>
        </w:tc>
        <w:tc>
          <w:tcPr>
            <w:tcW w:w="2268"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上年同期</w:t>
            </w:r>
          </w:p>
        </w:tc>
        <w:tc>
          <w:tcPr>
            <w:tcW w:w="1276" w:type="dxa"/>
            <w:vMerge w:val="restar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变动比例</w:t>
            </w:r>
            <w:r>
              <w:rPr>
                <w:rFonts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Merge w:val="continue"/>
          </w:tcPr>
          <w:p>
            <w:pPr>
              <w:tabs>
                <w:tab w:val="left" w:pos="5140"/>
              </w:tabs>
              <w:rPr>
                <w:rFonts w:asciiTheme="minorEastAsia" w:hAnsiTheme="minorEastAsia"/>
                <w:color w:val="000000" w:themeColor="text1"/>
                <w:sz w:val="22"/>
                <w14:textFill>
                  <w14:solidFill>
                    <w14:schemeClr w14:val="tx1"/>
                  </w14:solidFill>
                </w14:textFill>
              </w:rPr>
            </w:pPr>
          </w:p>
        </w:tc>
        <w:tc>
          <w:tcPr>
            <w:tcW w:w="11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金额</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占营业收入的</w:t>
            </w:r>
            <w:r>
              <w:rPr>
                <w:rFonts w:asciiTheme="minorEastAsia" w:hAnsiTheme="minorEastAsia"/>
                <w:b/>
                <w:color w:val="000000" w:themeColor="text1"/>
                <w:sz w:val="22"/>
                <w14:textFill>
                  <w14:solidFill>
                    <w14:schemeClr w14:val="tx1"/>
                  </w14:solidFill>
                </w14:textFill>
              </w:rPr>
              <w:t>比重%</w:t>
            </w:r>
          </w:p>
        </w:tc>
        <w:tc>
          <w:tcPr>
            <w:tcW w:w="99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金额</w:t>
            </w:r>
          </w:p>
        </w:tc>
        <w:tc>
          <w:tcPr>
            <w:tcW w:w="1275"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占营业收入的</w:t>
            </w:r>
            <w:r>
              <w:rPr>
                <w:rFonts w:asciiTheme="minorEastAsia" w:hAnsiTheme="minorEastAsia"/>
                <w:b/>
                <w:color w:val="000000" w:themeColor="text1"/>
                <w:sz w:val="22"/>
                <w14:textFill>
                  <w14:solidFill>
                    <w14:schemeClr w14:val="tx1"/>
                  </w14:solidFill>
                </w14:textFill>
              </w:rPr>
              <w:t>比重%</w:t>
            </w:r>
          </w:p>
        </w:tc>
        <w:tc>
          <w:tcPr>
            <w:tcW w:w="1276" w:type="dxa"/>
            <w:vMerge w:val="continue"/>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一、营业收入</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w:t>
            </w: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w:t>
            </w: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已赚保费</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保险业务收入</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其中：分保费收入</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 xml:space="preserve"> 减：分出保费</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 xml:space="preserve"> 提取未到期责任准备金</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手续费及佣金收入</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投资收益</w:t>
            </w:r>
            <w:r>
              <w:rPr>
                <w:rFonts w:asciiTheme="minorEastAsia" w:hAnsiTheme="minorEastAsia"/>
                <w:color w:val="000000" w:themeColor="text1"/>
                <w:sz w:val="22"/>
                <w14:textFill>
                  <w14:solidFill>
                    <w14:schemeClr w14:val="tx1"/>
                  </w14:solidFill>
                </w14:textFill>
              </w:rPr>
              <w:t xml:space="preserve">  </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公允价值变动收益</w:t>
            </w:r>
            <w:r>
              <w:rPr>
                <w:rFonts w:asciiTheme="minorEastAsia" w:hAnsiTheme="minorEastAsia"/>
                <w:color w:val="000000" w:themeColor="text1"/>
                <w:sz w:val="22"/>
                <w14:textFill>
                  <w14:solidFill>
                    <w14:schemeClr w14:val="tx1"/>
                  </w14:solidFill>
                </w14:textFill>
              </w:rPr>
              <w:t xml:space="preserve"> </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汇兑收益</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其他业务收入</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sz w:val="22"/>
              </w:rPr>
              <w:t>资产处置收益</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sz w:val="22"/>
              </w:rPr>
              <w:t>其他收益</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二、营业成本</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退保金</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赔付支出</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减：摊回赔付支出</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提取保险责任准备金</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减：摊回保险责任准备金</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提取</w:t>
            </w:r>
            <w:r>
              <w:rPr>
                <w:rFonts w:asciiTheme="minorEastAsia" w:hAnsiTheme="minorEastAsia"/>
                <w:color w:val="000000" w:themeColor="text1"/>
                <w:sz w:val="22"/>
                <w14:textFill>
                  <w14:solidFill>
                    <w14:schemeClr w14:val="tx1"/>
                  </w14:solidFill>
                </w14:textFill>
              </w:rPr>
              <w:t>保费准备金</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保单红利支出</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分保费用</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税金及附加</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手续费及佣金支出</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利息支出</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业务及管理费</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减：摊回分保费用</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其他业务成本</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资产减值损失</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836" w:type="dxa"/>
            <w:vAlign w:val="center"/>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993" w:type="dxa"/>
          </w:tcPr>
          <w:p>
            <w:pPr>
              <w:tabs>
                <w:tab w:val="left" w:pos="5140"/>
              </w:tabs>
              <w:rPr>
                <w:rFonts w:asciiTheme="minorEastAsia" w:hAnsiTheme="minorEastAsia"/>
                <w:color w:val="000000" w:themeColor="text1"/>
                <w:sz w:val="22"/>
                <w14:textFill>
                  <w14:solidFill>
                    <w14:schemeClr w14:val="tx1"/>
                  </w14:solidFill>
                </w14:textFill>
              </w:rPr>
            </w:pPr>
          </w:p>
        </w:tc>
        <w:tc>
          <w:tcPr>
            <w:tcW w:w="1275" w:type="dxa"/>
          </w:tcPr>
          <w:p>
            <w:pPr>
              <w:tabs>
                <w:tab w:val="left" w:pos="5140"/>
              </w:tabs>
              <w:rPr>
                <w:rFonts w:asciiTheme="minorEastAsia" w:hAnsiTheme="minorEastAsia"/>
                <w:color w:val="000000" w:themeColor="text1"/>
                <w:sz w:val="22"/>
                <w14:textFill>
                  <w14:solidFill>
                    <w14:schemeClr w14:val="tx1"/>
                  </w14:solidFill>
                </w14:textFill>
              </w:rPr>
            </w:pPr>
          </w:p>
        </w:tc>
        <w:tc>
          <w:tcPr>
            <w:tcW w:w="1276" w:type="dxa"/>
          </w:tcPr>
          <w:p>
            <w:pPr>
              <w:tabs>
                <w:tab w:val="left" w:pos="5140"/>
              </w:tabs>
              <w:rPr>
                <w:rFonts w:asciiTheme="minorEastAsia" w:hAnsiTheme="minorEastAsia"/>
                <w:color w:val="000000" w:themeColor="text1"/>
                <w:sz w:val="22"/>
                <w14:textFill>
                  <w14:solidFill>
                    <w14:schemeClr w14:val="tx1"/>
                  </w14:solidFill>
                </w14:textFill>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ascii="宋体" w:hAnsi="宋体" w:eastAsia="宋体" w:cs="Times New Roman"/>
                <w:i/>
                <w:color w:val="FF0000"/>
                <w:kern w:val="0"/>
                <w:sz w:val="20"/>
                <w:szCs w:val="44"/>
              </w:rPr>
              <w:t>基础层</w:t>
            </w:r>
            <w:r>
              <w:rPr>
                <w:rFonts w:hint="eastAsia" w:eastAsia="宋体" w:cs="Times New Roman" w:asciiTheme="minorEastAsia" w:hAnsiTheme="minorEastAsia"/>
                <w:i/>
                <w:color w:val="FF0000"/>
                <w:kern w:val="0"/>
                <w:sz w:val="20"/>
                <w:szCs w:val="44"/>
              </w:rPr>
              <w:t>公司可免于分析金额占营业收入</w:t>
            </w:r>
            <w:r>
              <w:rPr>
                <w:rFonts w:eastAsia="宋体" w:cs="Times New Roman" w:asciiTheme="minorEastAsia" w:hAnsi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1"/>
        <w:gridCol w:w="1384"/>
        <w:gridCol w:w="1385"/>
        <w:gridCol w:w="1200"/>
        <w:gridCol w:w="1275"/>
        <w:gridCol w:w="127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6" w:hRule="atLeast"/>
        </w:trPr>
        <w:tc>
          <w:tcPr>
            <w:tcW w:w="2411"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类别</w:t>
            </w:r>
            <w:r>
              <w:rPr>
                <w:rFonts w:asciiTheme="minorEastAsia" w:hAnsiTheme="minorEastAsia"/>
                <w:b/>
                <w:color w:val="000000" w:themeColor="text1"/>
                <w:kern w:val="0"/>
                <w:sz w:val="22"/>
                <w:szCs w:val="20"/>
                <w14:textFill>
                  <w14:solidFill>
                    <w14:schemeClr w14:val="tx1"/>
                  </w14:solidFill>
                </w14:textFill>
              </w:rPr>
              <w:t>/项目</w:t>
            </w:r>
          </w:p>
        </w:tc>
        <w:tc>
          <w:tcPr>
            <w:tcW w:w="2769"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w:t>
            </w:r>
          </w:p>
        </w:tc>
        <w:tc>
          <w:tcPr>
            <w:tcW w:w="2475"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上年同期</w:t>
            </w:r>
          </w:p>
        </w:tc>
        <w:tc>
          <w:tcPr>
            <w:tcW w:w="1276"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vMerge w:val="continue"/>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c>
          <w:tcPr>
            <w:tcW w:w="138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38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占营业收入比重</w:t>
            </w:r>
            <w:r>
              <w:rPr>
                <w:rFonts w:asciiTheme="minorEastAsia" w:hAnsiTheme="minorEastAsia"/>
                <w:b/>
                <w:color w:val="000000" w:themeColor="text1"/>
                <w:kern w:val="0"/>
                <w:sz w:val="22"/>
                <w:szCs w:val="20"/>
                <w14:textFill>
                  <w14:solidFill>
                    <w14:schemeClr w14:val="tx1"/>
                  </w14:solidFill>
                </w14:textFill>
              </w:rPr>
              <w:t>%</w:t>
            </w:r>
          </w:p>
        </w:tc>
        <w:tc>
          <w:tcPr>
            <w:tcW w:w="120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27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占营业收入比重</w:t>
            </w:r>
            <w:r>
              <w:rPr>
                <w:rFonts w:asciiTheme="minorEastAsia" w:hAnsiTheme="minorEastAsia"/>
                <w:b/>
                <w:color w:val="000000" w:themeColor="text1"/>
                <w:kern w:val="0"/>
                <w:sz w:val="22"/>
                <w:szCs w:val="20"/>
                <w14:textFill>
                  <w14:solidFill>
                    <w14:schemeClr w14:val="tx1"/>
                  </w14:solidFill>
                </w14:textFill>
              </w:rPr>
              <w:t>%</w:t>
            </w:r>
          </w:p>
        </w:tc>
        <w:tc>
          <w:tcPr>
            <w:tcW w:w="1276" w:type="dxa"/>
            <w:vMerge w:val="continue"/>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保险业务收入</w:t>
            </w:r>
          </w:p>
        </w:tc>
        <w:tc>
          <w:tcPr>
            <w:tcW w:w="13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0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手续费及</w:t>
            </w:r>
            <w:r>
              <w:rPr>
                <w:rFonts w:asciiTheme="minorEastAsia" w:hAnsiTheme="minorEastAsia"/>
                <w:color w:val="000000" w:themeColor="text1"/>
                <w:kern w:val="0"/>
                <w:sz w:val="22"/>
                <w:szCs w:val="20"/>
                <w14:textFill>
                  <w14:solidFill>
                    <w14:schemeClr w14:val="tx1"/>
                  </w14:solidFill>
                </w14:textFill>
              </w:rPr>
              <w:t>佣金收入</w:t>
            </w:r>
          </w:p>
        </w:tc>
        <w:tc>
          <w:tcPr>
            <w:tcW w:w="13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0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投资业务收入</w:t>
            </w:r>
          </w:p>
        </w:tc>
        <w:tc>
          <w:tcPr>
            <w:tcW w:w="13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0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其他业务收入</w:t>
            </w:r>
          </w:p>
        </w:tc>
        <w:tc>
          <w:tcPr>
            <w:tcW w:w="13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0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3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0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hint="eastAsia" w:asciiTheme="minorEastAsia" w:hAnsiTheme="minorEastAsia"/>
                <w:i/>
                <w:color w:val="FF0000"/>
                <w:szCs w:val="44"/>
              </w:rPr>
              <w:t>对于主营业务占比、按产品进行分类的收入构成指标的重大变动（达到或超过</w:t>
            </w:r>
            <w:r>
              <w:rPr>
                <w:rFonts w:asciiTheme="minorEastAsia" w:hAnsiTheme="minorEastAsia"/>
                <w:i/>
                <w:color w:val="FF0000"/>
                <w:szCs w:val="44"/>
              </w:rPr>
              <w:t>10%），应充分解释导致变动的原因。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主要客户情况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客户</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销售金额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年度销售</w:t>
            </w:r>
            <w:r>
              <w:rPr>
                <w:rFonts w:ascii="宋体" w:hAnsi="宋体" w:eastAsia="宋体" w:cs="Times New Roman"/>
                <w:b/>
                <w:color w:val="000000"/>
                <w:kern w:val="0"/>
                <w:sz w:val="22"/>
                <w:szCs w:val="20"/>
              </w:rPr>
              <w:t>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rPr>
          <w:rFonts w:ascii="Calibri" w:hAnsi="Calibri" w:eastAsia="宋体" w:cs="Times New Roman"/>
          <w:b/>
          <w:color w:val="000000"/>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属于同一控制人控制的客户视为同一客户合并列示，受同一国有资产管理机构实际控制的除外。</w:t>
      </w:r>
    </w:p>
    <w:p>
      <w:pPr>
        <w:tabs>
          <w:tab w:val="left" w:pos="5140"/>
        </w:tabs>
        <w:rPr>
          <w:rFonts w:ascii="宋体" w:hAnsi="宋体" w:eastAsia="宋体" w:cs="Times New Roman"/>
          <w:i/>
          <w:color w:val="FF0000"/>
          <w:szCs w:val="44"/>
        </w:rPr>
      </w:pPr>
    </w:p>
    <w:p>
      <w:pPr>
        <w:tabs>
          <w:tab w:val="left" w:pos="5140"/>
        </w:tabs>
        <w:outlineLvl w:val="4"/>
        <w:rPr>
          <w:b/>
          <w:color w:val="000000" w:themeColor="text1"/>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 xml:space="preserve">保险业务代理/经纪公司情况   </w:t>
      </w:r>
      <w:r>
        <w:rPr>
          <w:b/>
          <w:color w:val="000000" w:themeColor="text1"/>
          <w14:textFill>
            <w14:solidFill>
              <w14:schemeClr w14:val="tx1"/>
            </w14:solidFill>
          </w14:textFill>
        </w:rPr>
        <w:t xml:space="preserve">                                    </w:t>
      </w:r>
    </w:p>
    <w:p>
      <w:pPr>
        <w:jc w:val="right"/>
        <w:rPr>
          <w:b/>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3119"/>
        <w:gridCol w:w="1795"/>
        <w:gridCol w:w="1607"/>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序号</w:t>
            </w:r>
          </w:p>
        </w:tc>
        <w:tc>
          <w:tcPr>
            <w:tcW w:w="3119"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代理公司</w:t>
            </w:r>
          </w:p>
        </w:tc>
        <w:tc>
          <w:tcPr>
            <w:tcW w:w="179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手续费金额</w:t>
            </w:r>
          </w:p>
        </w:tc>
        <w:tc>
          <w:tcPr>
            <w:tcW w:w="160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年度手续费及佣金占比</w:t>
            </w:r>
            <w:r>
              <w:rPr>
                <w:rFonts w:asciiTheme="minorEastAsia" w:hAnsiTheme="minorEastAsia"/>
                <w:b/>
                <w:color w:val="000000" w:themeColor="text1"/>
                <w:kern w:val="0"/>
                <w:sz w:val="22"/>
                <w:szCs w:val="20"/>
                <w14:textFill>
                  <w14:solidFill>
                    <w14:schemeClr w14:val="tx1"/>
                  </w14:solidFill>
                </w14:textFill>
              </w:rPr>
              <w:t>%</w:t>
            </w:r>
          </w:p>
        </w:tc>
        <w:tc>
          <w:tcPr>
            <w:tcW w:w="1559"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是否存在关联关系</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vAlign w:val="center"/>
          </w:tcPr>
          <w:p>
            <w:pPr>
              <w:tabs>
                <w:tab w:val="left" w:pos="5140"/>
              </w:tabs>
              <w:jc w:val="center"/>
              <w:rPr>
                <w:rFonts w:hint="default" w:ascii="Times New Roman" w:hAnsi="Times New Roman" w:cs="Times New Roman"/>
                <w:color w:val="000000" w:themeColor="text1"/>
                <w:kern w:val="0"/>
                <w:sz w:val="22"/>
                <w:szCs w:val="20"/>
                <w14:textFill>
                  <w14:solidFill>
                    <w14:schemeClr w14:val="tx1"/>
                  </w14:solidFill>
                </w14:textFill>
              </w:rPr>
            </w:pPr>
            <w:r>
              <w:rPr>
                <w:rFonts w:hint="default" w:ascii="Times New Roman" w:hAnsi="Times New Roman" w:cs="Times New Roman"/>
                <w:color w:val="000000" w:themeColor="text1"/>
                <w:kern w:val="0"/>
                <w:sz w:val="22"/>
                <w:szCs w:val="20"/>
                <w14:textFill>
                  <w14:solidFill>
                    <w14:schemeClr w14:val="tx1"/>
                  </w14:solidFill>
                </w14:textFill>
              </w:rPr>
              <w:t>1</w:t>
            </w:r>
          </w:p>
        </w:tc>
        <w:tc>
          <w:tcPr>
            <w:tcW w:w="311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vAlign w:val="center"/>
          </w:tcPr>
          <w:p>
            <w:pPr>
              <w:tabs>
                <w:tab w:val="left" w:pos="5140"/>
              </w:tabs>
              <w:jc w:val="center"/>
              <w:rPr>
                <w:rFonts w:hint="default" w:ascii="Times New Roman" w:hAnsi="Times New Roman" w:cs="Times New Roman"/>
                <w:color w:val="000000" w:themeColor="text1"/>
                <w:kern w:val="0"/>
                <w:sz w:val="22"/>
                <w:szCs w:val="20"/>
                <w14:textFill>
                  <w14:solidFill>
                    <w14:schemeClr w14:val="tx1"/>
                  </w14:solidFill>
                </w14:textFill>
              </w:rPr>
            </w:pPr>
            <w:r>
              <w:rPr>
                <w:rFonts w:hint="default" w:ascii="Times New Roman" w:hAnsi="Times New Roman" w:cs="Times New Roman"/>
                <w:color w:val="000000" w:themeColor="text1"/>
                <w:kern w:val="0"/>
                <w:sz w:val="22"/>
                <w:szCs w:val="20"/>
                <w14:textFill>
                  <w14:solidFill>
                    <w14:schemeClr w14:val="tx1"/>
                  </w14:solidFill>
                </w14:textFill>
              </w:rPr>
              <w:t>2</w:t>
            </w:r>
          </w:p>
        </w:tc>
        <w:tc>
          <w:tcPr>
            <w:tcW w:w="311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vAlign w:val="center"/>
          </w:tcPr>
          <w:p>
            <w:pPr>
              <w:tabs>
                <w:tab w:val="left" w:pos="5140"/>
              </w:tabs>
              <w:jc w:val="center"/>
              <w:rPr>
                <w:rFonts w:hint="default" w:ascii="Times New Roman" w:hAnsi="Times New Roman" w:cs="Times New Roman"/>
                <w:color w:val="000000" w:themeColor="text1"/>
                <w:kern w:val="0"/>
                <w:sz w:val="22"/>
                <w:szCs w:val="20"/>
                <w14:textFill>
                  <w14:solidFill>
                    <w14:schemeClr w14:val="tx1"/>
                  </w14:solidFill>
                </w14:textFill>
              </w:rPr>
            </w:pPr>
            <w:r>
              <w:rPr>
                <w:rFonts w:hint="default" w:ascii="Times New Roman" w:hAnsi="Times New Roman" w:cs="Times New Roman"/>
                <w:color w:val="000000" w:themeColor="text1"/>
                <w:kern w:val="0"/>
                <w:sz w:val="22"/>
                <w:szCs w:val="20"/>
                <w14:textFill>
                  <w14:solidFill>
                    <w14:schemeClr w14:val="tx1"/>
                  </w14:solidFill>
                </w14:textFill>
              </w:rPr>
              <w:t>3</w:t>
            </w:r>
          </w:p>
        </w:tc>
        <w:tc>
          <w:tcPr>
            <w:tcW w:w="311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vAlign w:val="center"/>
          </w:tcPr>
          <w:p>
            <w:pPr>
              <w:tabs>
                <w:tab w:val="left" w:pos="5140"/>
              </w:tabs>
              <w:jc w:val="center"/>
              <w:rPr>
                <w:rFonts w:hint="default" w:ascii="Times New Roman" w:hAnsi="Times New Roman" w:cs="Times New Roman"/>
                <w:color w:val="000000" w:themeColor="text1"/>
                <w:kern w:val="0"/>
                <w:sz w:val="22"/>
                <w:szCs w:val="20"/>
                <w14:textFill>
                  <w14:solidFill>
                    <w14:schemeClr w14:val="tx1"/>
                  </w14:solidFill>
                </w14:textFill>
              </w:rPr>
            </w:pPr>
            <w:r>
              <w:rPr>
                <w:rFonts w:hint="default" w:ascii="Times New Roman" w:hAnsi="Times New Roman" w:cs="Times New Roman"/>
                <w:color w:val="000000" w:themeColor="text1"/>
                <w:kern w:val="0"/>
                <w:sz w:val="22"/>
                <w:szCs w:val="20"/>
                <w14:textFill>
                  <w14:solidFill>
                    <w14:schemeClr w14:val="tx1"/>
                  </w14:solidFill>
                </w14:textFill>
              </w:rPr>
              <w:t>4</w:t>
            </w:r>
          </w:p>
        </w:tc>
        <w:tc>
          <w:tcPr>
            <w:tcW w:w="311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vAlign w:val="center"/>
          </w:tcPr>
          <w:p>
            <w:pPr>
              <w:tabs>
                <w:tab w:val="left" w:pos="5140"/>
              </w:tabs>
              <w:jc w:val="center"/>
              <w:rPr>
                <w:rFonts w:hint="default" w:ascii="Times New Roman" w:hAnsi="Times New Roman" w:cs="Times New Roman"/>
                <w:color w:val="000000" w:themeColor="text1"/>
                <w:kern w:val="0"/>
                <w:sz w:val="22"/>
                <w:szCs w:val="20"/>
                <w14:textFill>
                  <w14:solidFill>
                    <w14:schemeClr w14:val="tx1"/>
                  </w14:solidFill>
                </w14:textFill>
              </w:rPr>
            </w:pPr>
            <w:r>
              <w:rPr>
                <w:rFonts w:hint="default" w:ascii="Times New Roman" w:hAnsi="Times New Roman" w:cs="Times New Roman"/>
                <w:color w:val="000000" w:themeColor="text1"/>
                <w:kern w:val="0"/>
                <w:sz w:val="22"/>
                <w:szCs w:val="20"/>
                <w14:textFill>
                  <w14:solidFill>
                    <w14:schemeClr w14:val="tx1"/>
                  </w14:solidFill>
                </w14:textFill>
              </w:rPr>
              <w:t>5</w:t>
            </w:r>
          </w:p>
        </w:tc>
        <w:tc>
          <w:tcPr>
            <w:tcW w:w="311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970" w:type="dxa"/>
            <w:gridSpan w:val="2"/>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合计</w:t>
            </w: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w:t>
            </w:r>
          </w:p>
        </w:tc>
      </w:tr>
    </w:tbl>
    <w:p>
      <w:pPr>
        <w:tabs>
          <w:tab w:val="left" w:pos="5140"/>
        </w:tabs>
        <w:rPr>
          <w:rFonts w:ascii="宋体" w:hAnsi="宋体" w:eastAsia="宋体" w:cs="Times New Roman"/>
          <w:i/>
          <w:color w:val="FF0000"/>
          <w:szCs w:val="44"/>
        </w:rPr>
      </w:pPr>
      <w:r>
        <w:rPr>
          <w:rFonts w:hint="eastAsia"/>
          <w:i/>
          <w:color w:val="FF0000"/>
        </w:rPr>
        <w:t>注：如存在关联关系，则必须披露业务代理</w:t>
      </w:r>
      <w:r>
        <w:rPr>
          <w:i/>
          <w:color w:val="FF0000"/>
        </w:rPr>
        <w:t>/</w:t>
      </w:r>
      <w:r>
        <w:rPr>
          <w:rFonts w:hint="eastAsia"/>
          <w:i/>
          <w:color w:val="FF0000"/>
        </w:rPr>
        <w:t>经纪公司的具体名称。</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四、经营情况分析</w:t>
      </w:r>
    </w:p>
    <w:p>
      <w:pPr>
        <w:keepNext/>
        <w:keepLines/>
        <w:spacing w:before="100" w:after="100"/>
        <w:outlineLvl w:val="2"/>
        <w:rPr>
          <w:rFonts w:ascii="Times New Roman" w:hAnsi="Times New Roman"/>
          <w:b/>
          <w:bCs/>
          <w:szCs w:val="32"/>
          <w:lang w:val="zh-CN"/>
        </w:rPr>
      </w:pPr>
      <w:r>
        <w:rPr>
          <w:rFonts w:hint="eastAsia" w:ascii="Times New Roman" w:hAnsi="Times New Roman" w:eastAsia="宋体" w:cs="Times New Roman"/>
          <w:b/>
          <w:bCs/>
          <w:szCs w:val="32"/>
          <w:lang w:val="zh-CN"/>
        </w:rPr>
        <w:t>（一）保险业务分析</w:t>
      </w:r>
    </w:p>
    <w:p>
      <w:pPr>
        <w:rPr>
          <w:rFonts w:ascii="Calibri" w:hAnsi="Calibri" w:eastAsia="宋体" w:cs="Times New Roman"/>
          <w:b/>
          <w:color w:val="000000"/>
        </w:rPr>
      </w:pPr>
      <w:r>
        <w:rPr>
          <w:rFonts w:ascii="Calibri" w:hAnsi="Calibri" w:eastAsia="宋体" w:cs="Times New Roman"/>
          <w:b/>
          <w:color w:val="000000"/>
        </w:rPr>
        <w:t>1</w:t>
      </w:r>
      <w:r>
        <w:rPr>
          <w:rFonts w:hint="eastAsia" w:ascii="Calibri" w:hAnsi="Calibri" w:eastAsia="宋体" w:cs="Times New Roman"/>
          <w:b/>
          <w:color w:val="000000"/>
        </w:rPr>
        <w:t>、按保险业务类别分析</w:t>
      </w:r>
      <w:r>
        <w:rPr>
          <w:rFonts w:ascii="Calibri" w:hAnsi="Calibri" w:eastAsia="宋体" w:cs="Times New Roman"/>
          <w:b/>
          <w:color w:val="000000"/>
        </w:rPr>
        <w:t xml:space="preserve">                                                    </w:t>
      </w:r>
    </w:p>
    <w:p>
      <w:pPr>
        <w:jc w:val="right"/>
      </w:pPr>
      <w:r>
        <w:rPr>
          <w:rFonts w:hint="eastAsia"/>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269"/>
        <w:gridCol w:w="1134"/>
        <w:gridCol w:w="1559"/>
        <w:gridCol w:w="1134"/>
        <w:gridCol w:w="1418"/>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保险业务类别</w:t>
            </w:r>
          </w:p>
        </w:tc>
        <w:tc>
          <w:tcPr>
            <w:tcW w:w="2693"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w:t>
            </w:r>
          </w:p>
        </w:tc>
        <w:tc>
          <w:tcPr>
            <w:tcW w:w="2552"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p>
        </w:tc>
        <w:tc>
          <w:tcPr>
            <w:tcW w:w="1417"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vMerge w:val="continue"/>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559"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占保险业务收入比重</w:t>
            </w:r>
            <w:r>
              <w:rPr>
                <w:rFonts w:asciiTheme="minorEastAsia" w:hAnsiTheme="minorEastAsia"/>
                <w:b/>
                <w:color w:val="000000" w:themeColor="text1"/>
                <w:kern w:val="0"/>
                <w:sz w:val="22"/>
                <w:szCs w:val="20"/>
                <w14:textFill>
                  <w14:solidFill>
                    <w14:schemeClr w14:val="tx1"/>
                  </w14:solidFill>
                </w14:textFill>
              </w:rPr>
              <w:t>%</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w:t>
            </w:r>
            <w:r>
              <w:rPr>
                <w:rFonts w:asciiTheme="minorEastAsia" w:hAnsiTheme="minorEastAsia"/>
                <w:b/>
                <w:color w:val="000000" w:themeColor="text1"/>
                <w:kern w:val="0"/>
                <w:sz w:val="22"/>
                <w:szCs w:val="20"/>
                <w14:textFill>
                  <w14:solidFill>
                    <w14:schemeClr w14:val="tx1"/>
                  </w14:solidFill>
                </w14:textFill>
              </w:rPr>
              <w:t>保险</w:t>
            </w:r>
            <w:r>
              <w:rPr>
                <w:rFonts w:hint="eastAsia" w:asciiTheme="minorEastAsia" w:hAnsiTheme="minorEastAsia"/>
                <w:b/>
                <w:color w:val="000000" w:themeColor="text1"/>
                <w:kern w:val="0"/>
                <w:sz w:val="22"/>
                <w:szCs w:val="20"/>
                <w14:textFill>
                  <w14:solidFill>
                    <w14:schemeClr w14:val="tx1"/>
                  </w14:solidFill>
                </w14:textFill>
              </w:rPr>
              <w:t>业务</w:t>
            </w:r>
            <w:r>
              <w:rPr>
                <w:rFonts w:asciiTheme="minorEastAsia" w:hAnsiTheme="minorEastAsia"/>
                <w:b/>
                <w:color w:val="000000" w:themeColor="text1"/>
                <w:kern w:val="0"/>
                <w:sz w:val="22"/>
                <w:szCs w:val="20"/>
                <w14:textFill>
                  <w14:solidFill>
                    <w14:schemeClr w14:val="tx1"/>
                  </w14:solidFill>
                </w14:textFill>
              </w:rPr>
              <w:t>收入比重%</w:t>
            </w:r>
          </w:p>
        </w:tc>
        <w:tc>
          <w:tcPr>
            <w:tcW w:w="1417" w:type="dxa"/>
            <w:vMerge w:val="continue"/>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寿险（个人）</w:t>
            </w: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寿险（团体）</w:t>
            </w: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非寿险</w:t>
            </w: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134"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i/>
          <w:color w:val="FF0000"/>
          <w:szCs w:val="44"/>
        </w:rPr>
      </w:pPr>
      <w:r>
        <w:rPr>
          <w:rFonts w:hint="eastAsia" w:asciiTheme="minorEastAsia" w:hAnsiTheme="minorEastAsia"/>
          <w:i/>
          <w:color w:val="FF0000"/>
          <w:szCs w:val="44"/>
        </w:rPr>
        <w:t>注：保险公司应当区分寿险业务与非寿险业务，分别进行分析收入变动情况，其中寿险业务应区分个人与团体业务，分别进行分析。</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变动的原因</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对于上述分类列示项目的重大变动（该险种收入达到或超过当期保险收入的</w:t>
            </w:r>
            <w:r>
              <w:rPr>
                <w:rFonts w:asciiTheme="minorEastAsia" w:hAnsiTheme="minorEastAsia"/>
                <w:i/>
                <w:color w:val="FF0000"/>
                <w:kern w:val="0"/>
                <w:sz w:val="20"/>
                <w:szCs w:val="44"/>
              </w:rPr>
              <w:t>10%且本期变动达到或超过10%），应充分解释导致变动的原因。</w:t>
            </w:r>
          </w:p>
        </w:tc>
      </w:tr>
    </w:tbl>
    <w:p>
      <w:pPr>
        <w:rPr>
          <w:rFonts w:ascii="Calibri" w:hAnsi="Calibri" w:eastAsia="宋体" w:cs="Times New Roman"/>
          <w:b/>
          <w:color w:val="000000"/>
        </w:rPr>
      </w:pPr>
      <w:r>
        <w:rPr>
          <w:rFonts w:ascii="Calibri" w:hAnsi="Calibri" w:eastAsia="宋体" w:cs="Times New Roman"/>
          <w:b/>
          <w:color w:val="000000"/>
        </w:rPr>
        <w:t>2</w:t>
      </w:r>
      <w:r>
        <w:rPr>
          <w:rFonts w:hint="eastAsia" w:ascii="Calibri" w:hAnsi="Calibri" w:eastAsia="宋体" w:cs="Times New Roman"/>
          <w:b/>
          <w:color w:val="000000"/>
        </w:rPr>
        <w:t>、按险种分析</w:t>
      </w:r>
      <w:r>
        <w:rPr>
          <w:rFonts w:ascii="Calibri" w:hAnsi="Calibri" w:eastAsia="宋体" w:cs="Times New Roman"/>
          <w:b/>
          <w:color w:val="000000"/>
        </w:rPr>
        <w:t xml:space="preserve">                                                            </w:t>
      </w:r>
    </w:p>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269"/>
        <w:gridCol w:w="1134"/>
        <w:gridCol w:w="1559"/>
        <w:gridCol w:w="1134"/>
        <w:gridCol w:w="1418"/>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2693"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w:t>
            </w:r>
          </w:p>
        </w:tc>
        <w:tc>
          <w:tcPr>
            <w:tcW w:w="2552"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p>
        </w:tc>
        <w:tc>
          <w:tcPr>
            <w:tcW w:w="1417" w:type="dxa"/>
            <w:vMerge w:val="restart"/>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vMerge w:val="continue"/>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559"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占保险业务收入比重</w:t>
            </w:r>
            <w:r>
              <w:rPr>
                <w:rFonts w:asciiTheme="minorEastAsia" w:hAnsiTheme="minorEastAsia"/>
                <w:b/>
                <w:color w:val="000000" w:themeColor="text1"/>
                <w:kern w:val="0"/>
                <w:sz w:val="22"/>
                <w:szCs w:val="20"/>
                <w14:textFill>
                  <w14:solidFill>
                    <w14:schemeClr w14:val="tx1"/>
                  </w14:solidFill>
                </w14:textFill>
              </w:rPr>
              <w:t>%</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w:t>
            </w:r>
            <w:r>
              <w:rPr>
                <w:rFonts w:asciiTheme="minorEastAsia" w:hAnsiTheme="minorEastAsia"/>
                <w:b/>
                <w:color w:val="000000" w:themeColor="text1"/>
                <w:kern w:val="0"/>
                <w:sz w:val="22"/>
                <w:szCs w:val="20"/>
                <w14:textFill>
                  <w14:solidFill>
                    <w14:schemeClr w14:val="tx1"/>
                  </w14:solidFill>
                </w14:textFill>
              </w:rPr>
              <w:t>保险</w:t>
            </w:r>
            <w:r>
              <w:rPr>
                <w:rFonts w:hint="eastAsia" w:asciiTheme="minorEastAsia" w:hAnsiTheme="minorEastAsia"/>
                <w:b/>
                <w:color w:val="000000" w:themeColor="text1"/>
                <w:kern w:val="0"/>
                <w:sz w:val="22"/>
                <w:szCs w:val="20"/>
                <w14:textFill>
                  <w14:solidFill>
                    <w14:schemeClr w14:val="tx1"/>
                  </w14:solidFill>
                </w14:textFill>
              </w:rPr>
              <w:t>业务</w:t>
            </w:r>
            <w:r>
              <w:rPr>
                <w:rFonts w:asciiTheme="minorEastAsia" w:hAnsiTheme="minorEastAsia"/>
                <w:b/>
                <w:color w:val="000000" w:themeColor="text1"/>
                <w:kern w:val="0"/>
                <w:sz w:val="22"/>
                <w:szCs w:val="20"/>
                <w14:textFill>
                  <w14:solidFill>
                    <w14:schemeClr w14:val="tx1"/>
                  </w14:solidFill>
                </w14:textFill>
              </w:rPr>
              <w:t>收入比重%</w:t>
            </w:r>
          </w:p>
        </w:tc>
        <w:tc>
          <w:tcPr>
            <w:tcW w:w="1417" w:type="dxa"/>
            <w:vMerge w:val="continue"/>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（自动添行）</w:t>
            </w: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69" w:type="dxa"/>
            <w:shd w:val="clear"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134"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559"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34"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18"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17" w:type="dxa"/>
            <w:shd w:val="clear" w:color="auto" w:fill="auto"/>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i/>
          <w:color w:val="FF0000"/>
          <w:szCs w:val="44"/>
        </w:rPr>
      </w:pPr>
      <w:r>
        <w:rPr>
          <w:rFonts w:hint="eastAsia" w:asciiTheme="minorEastAsia" w:hAnsiTheme="minorEastAsia"/>
          <w:i/>
          <w:color w:val="FF0000"/>
          <w:szCs w:val="44"/>
        </w:rPr>
        <w:t>注：保险公司应当区分寿险业务与非寿险业务，并按主要险种类别分析收入变动情况，其中寿险业务应区分个人与团体业务，分别进行分析。</w:t>
      </w:r>
    </w:p>
    <w:p>
      <w:pPr>
        <w:tabs>
          <w:tab w:val="left" w:pos="5140"/>
        </w:tabs>
        <w:rPr>
          <w:rFonts w:asciiTheme="minorEastAsia" w:hAnsiTheme="minorEastAsia"/>
          <w:b/>
          <w:color w:val="000000" w:themeColor="text1"/>
          <w:szCs w:val="44"/>
          <w14:textFill>
            <w14:solidFill>
              <w14:schemeClr w14:val="tx1"/>
            </w14:solidFill>
          </w14:textFill>
        </w:rPr>
      </w:pPr>
      <w:r>
        <w:rPr>
          <w:rFonts w:asciiTheme="minorEastAsia" w:hAnsiTheme="minorEastAsia"/>
          <w:i/>
          <w:color w:val="FF0000"/>
          <w:szCs w:val="44"/>
        </w:rPr>
        <w:t xml:space="preserve"> </w:t>
      </w:r>
      <w:r>
        <w:rPr>
          <w:rFonts w:hint="eastAsia" w:asciiTheme="minorEastAsia" w:hAnsiTheme="minorEastAsia"/>
          <w:b/>
          <w:color w:val="000000" w:themeColor="text1"/>
          <w:szCs w:val="44"/>
          <w14:textFill>
            <w14:solidFill>
              <w14:schemeClr w14:val="tx1"/>
            </w14:solidFill>
          </w14:textFill>
        </w:rPr>
        <w:t>变动的原因</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对于上述分类列示项目的重大变动（该险种收入达到或</w:t>
            </w:r>
            <w:r>
              <w:rPr>
                <w:rFonts w:asciiTheme="minorEastAsia" w:hAnsiTheme="minorEastAsia"/>
                <w:i/>
                <w:color w:val="FF0000"/>
                <w:kern w:val="0"/>
                <w:sz w:val="20"/>
                <w:szCs w:val="44"/>
              </w:rPr>
              <w:t>超过当期保险收入</w:t>
            </w:r>
            <w:r>
              <w:rPr>
                <w:rFonts w:hint="eastAsia" w:asciiTheme="minorEastAsia" w:hAnsiTheme="minorEastAsia"/>
                <w:i/>
                <w:color w:val="FF0000"/>
                <w:kern w:val="0"/>
                <w:sz w:val="20"/>
                <w:szCs w:val="44"/>
              </w:rPr>
              <w:t>的</w:t>
            </w:r>
            <w:r>
              <w:rPr>
                <w:rFonts w:asciiTheme="minorEastAsia" w:hAnsiTheme="minorEastAsia"/>
                <w:i/>
                <w:color w:val="FF0000"/>
                <w:kern w:val="0"/>
                <w:sz w:val="20"/>
                <w:szCs w:val="44"/>
              </w:rPr>
              <w:t>10%且</w:t>
            </w:r>
            <w:r>
              <w:rPr>
                <w:rFonts w:hint="eastAsia" w:asciiTheme="minorEastAsia" w:hAnsiTheme="minorEastAsia"/>
                <w:i/>
                <w:color w:val="FF0000"/>
                <w:kern w:val="0"/>
                <w:sz w:val="20"/>
                <w:szCs w:val="44"/>
              </w:rPr>
              <w:t>本期</w:t>
            </w:r>
            <w:r>
              <w:rPr>
                <w:rFonts w:asciiTheme="minorEastAsia" w:hAnsiTheme="minorEastAsia"/>
                <w:i/>
                <w:color w:val="FF0000"/>
                <w:kern w:val="0"/>
                <w:sz w:val="20"/>
                <w:szCs w:val="44"/>
              </w:rPr>
              <w:t>变动</w:t>
            </w:r>
            <w:r>
              <w:rPr>
                <w:rFonts w:hint="eastAsia" w:asciiTheme="minorEastAsia" w:hAnsiTheme="minorEastAsia"/>
                <w:i/>
                <w:color w:val="FF0000"/>
                <w:kern w:val="0"/>
                <w:sz w:val="20"/>
                <w:szCs w:val="44"/>
              </w:rPr>
              <w:t>达到或超过</w:t>
            </w:r>
            <w:r>
              <w:rPr>
                <w:rFonts w:asciiTheme="minorEastAsia" w:hAnsiTheme="minorEastAsia"/>
                <w:i/>
                <w:color w:val="FF0000"/>
                <w:kern w:val="0"/>
                <w:sz w:val="20"/>
                <w:szCs w:val="44"/>
              </w:rPr>
              <w:t>10%），应充分解释导致变动的原因。</w:t>
            </w:r>
          </w:p>
        </w:tc>
      </w:tr>
    </w:tbl>
    <w:p>
      <w:pPr>
        <w:rPr>
          <w:rFonts w:ascii="Calibri" w:hAnsi="Calibri" w:eastAsia="宋体" w:cs="Times New Roman"/>
          <w:b/>
          <w:color w:val="000000"/>
        </w:rPr>
      </w:pPr>
      <w:r>
        <w:rPr>
          <w:rFonts w:ascii="Calibri" w:hAnsi="Calibri" w:eastAsia="宋体" w:cs="Times New Roman"/>
          <w:b/>
          <w:color w:val="000000"/>
        </w:rPr>
        <w:t>3</w:t>
      </w:r>
      <w:r>
        <w:rPr>
          <w:rFonts w:hint="eastAsia" w:ascii="Calibri" w:hAnsi="Calibri" w:eastAsia="宋体" w:cs="Times New Roman"/>
          <w:b/>
          <w:color w:val="000000"/>
        </w:rPr>
        <w:t>、</w:t>
      </w:r>
      <w:r>
        <w:rPr>
          <w:rFonts w:ascii="Calibri" w:hAnsi="Calibri" w:eastAsia="宋体" w:cs="Times New Roman"/>
          <w:b/>
          <w:color w:val="000000"/>
        </w:rPr>
        <w:t>分险种经营信息</w:t>
      </w:r>
    </w:p>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人身保险公司</w:t>
      </w:r>
    </w:p>
    <w:p>
      <w:pPr>
        <w:tabs>
          <w:tab w:val="left" w:pos="5140"/>
        </w:tabs>
        <w:jc w:val="right"/>
        <w:rPr>
          <w:color w:val="000000" w:themeColor="text1"/>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8930"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88"/>
        <w:gridCol w:w="2835"/>
        <w:gridCol w:w="2560"/>
        <w:gridCol w:w="25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序号</w:t>
            </w:r>
          </w:p>
        </w:tc>
        <w:tc>
          <w:tcPr>
            <w:tcW w:w="283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险种名称</w:t>
            </w:r>
          </w:p>
        </w:tc>
        <w:tc>
          <w:tcPr>
            <w:tcW w:w="256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保费收入</w:t>
            </w:r>
          </w:p>
        </w:tc>
        <w:tc>
          <w:tcPr>
            <w:tcW w:w="2547"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新单标准保费收入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tcPr>
          <w:p>
            <w:pPr>
              <w:tabs>
                <w:tab w:val="left" w:pos="5140"/>
              </w:tabs>
              <w:jc w:val="center"/>
              <w:rPr>
                <w:rFonts w:asciiTheme="minorEastAsia" w:hAnsiTheme="minorEastAsia"/>
                <w:kern w:val="0"/>
                <w:sz w:val="22"/>
                <w:szCs w:val="20"/>
              </w:rPr>
            </w:pPr>
            <w:r>
              <w:rPr>
                <w:rFonts w:asciiTheme="minorEastAsia" w:hAnsiTheme="minorEastAsia"/>
                <w:kern w:val="0"/>
                <w:sz w:val="22"/>
                <w:szCs w:val="20"/>
              </w:rPr>
              <w:t>1</w:t>
            </w:r>
          </w:p>
        </w:tc>
        <w:tc>
          <w:tcPr>
            <w:tcW w:w="28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kern w:val="0"/>
                <w:sz w:val="22"/>
                <w:szCs w:val="20"/>
              </w:rPr>
              <w:t>XX险业务（列示险种）</w:t>
            </w:r>
          </w:p>
        </w:tc>
        <w:tc>
          <w:tcPr>
            <w:tcW w:w="256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tcPr>
          <w:p>
            <w:pPr>
              <w:tabs>
                <w:tab w:val="left" w:pos="5140"/>
              </w:tabs>
              <w:jc w:val="center"/>
              <w:rPr>
                <w:rFonts w:asciiTheme="minorEastAsia" w:hAnsiTheme="minorEastAsia"/>
                <w:kern w:val="0"/>
                <w:sz w:val="22"/>
                <w:szCs w:val="20"/>
              </w:rPr>
            </w:pPr>
            <w:r>
              <w:rPr>
                <w:rFonts w:asciiTheme="minorEastAsia" w:hAnsiTheme="minorEastAsia"/>
                <w:kern w:val="0"/>
                <w:sz w:val="22"/>
                <w:szCs w:val="20"/>
              </w:rPr>
              <w:t>2</w:t>
            </w:r>
          </w:p>
        </w:tc>
        <w:tc>
          <w:tcPr>
            <w:tcW w:w="2835" w:type="dxa"/>
          </w:tcPr>
          <w:p>
            <w:pPr>
              <w:tabs>
                <w:tab w:val="left" w:pos="5140"/>
              </w:tabs>
              <w:jc w:val="left"/>
              <w:rPr>
                <w:rFonts w:asciiTheme="minorEastAsia" w:hAnsiTheme="minorEastAsia"/>
                <w:kern w:val="0"/>
                <w:sz w:val="22"/>
                <w:szCs w:val="20"/>
              </w:rPr>
            </w:pPr>
          </w:p>
        </w:tc>
        <w:tc>
          <w:tcPr>
            <w:tcW w:w="256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tcPr>
          <w:p>
            <w:pPr>
              <w:tabs>
                <w:tab w:val="left" w:pos="5140"/>
              </w:tabs>
              <w:jc w:val="center"/>
              <w:rPr>
                <w:rFonts w:asciiTheme="minorEastAsia" w:hAnsiTheme="minorEastAsia"/>
                <w:kern w:val="0"/>
                <w:sz w:val="22"/>
                <w:szCs w:val="20"/>
              </w:rPr>
            </w:pPr>
            <w:r>
              <w:rPr>
                <w:rFonts w:asciiTheme="minorEastAsia" w:hAnsiTheme="minorEastAsia"/>
                <w:kern w:val="0"/>
                <w:sz w:val="22"/>
                <w:szCs w:val="20"/>
              </w:rPr>
              <w:t>3</w:t>
            </w:r>
          </w:p>
        </w:tc>
        <w:tc>
          <w:tcPr>
            <w:tcW w:w="2835" w:type="dxa"/>
          </w:tcPr>
          <w:p>
            <w:pPr>
              <w:tabs>
                <w:tab w:val="left" w:pos="5140"/>
              </w:tabs>
              <w:jc w:val="left"/>
              <w:rPr>
                <w:rFonts w:asciiTheme="minorEastAsia" w:hAnsiTheme="minorEastAsia"/>
                <w:kern w:val="0"/>
                <w:sz w:val="22"/>
                <w:szCs w:val="20"/>
              </w:rPr>
            </w:pPr>
          </w:p>
        </w:tc>
        <w:tc>
          <w:tcPr>
            <w:tcW w:w="256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4</w:t>
            </w:r>
          </w:p>
        </w:tc>
        <w:tc>
          <w:tcPr>
            <w:tcW w:w="28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w:t>
            </w:r>
          </w:p>
        </w:tc>
        <w:tc>
          <w:tcPr>
            <w:tcW w:w="256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988"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5</w:t>
            </w:r>
          </w:p>
        </w:tc>
        <w:tc>
          <w:tcPr>
            <w:tcW w:w="28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256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3823" w:type="dxa"/>
            <w:gridSpan w:val="2"/>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2560"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254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i/>
          <w:color w:val="FF0000"/>
          <w:szCs w:val="44"/>
        </w:rPr>
        <w:t>注：人身保险公司应披露报告期内保费收入居前</w:t>
      </w:r>
      <w:r>
        <w:rPr>
          <w:rFonts w:asciiTheme="minorEastAsia" w:hAnsiTheme="minorEastAsia"/>
          <w:i/>
          <w:color w:val="FF0000"/>
          <w:szCs w:val="44"/>
        </w:rPr>
        <w:t>5位的保险产品经营情况，包括产品的保费收入和新单标准保费收入</w:t>
      </w:r>
      <w:r>
        <w:rPr>
          <w:rFonts w:hint="eastAsia" w:asciiTheme="minorEastAsia" w:hAnsiTheme="minorEastAsia"/>
          <w:i/>
          <w:color w:val="FF0000"/>
          <w:szCs w:val="44"/>
        </w:rPr>
        <w:t>。</w:t>
      </w:r>
    </w:p>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财产保险公司</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710"/>
        <w:gridCol w:w="1701"/>
        <w:gridCol w:w="1134"/>
        <w:gridCol w:w="1134"/>
        <w:gridCol w:w="1134"/>
        <w:gridCol w:w="1134"/>
        <w:gridCol w:w="992"/>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序号</w:t>
            </w:r>
          </w:p>
        </w:tc>
        <w:tc>
          <w:tcPr>
            <w:tcW w:w="1701"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险种名称</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保费收入</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保险金额</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赔付支出</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保险合同准备金</w:t>
            </w:r>
          </w:p>
        </w:tc>
        <w:tc>
          <w:tcPr>
            <w:tcW w:w="992"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承保利润</w:t>
            </w:r>
          </w:p>
        </w:tc>
        <w:tc>
          <w:tcPr>
            <w:tcW w:w="992"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综合成本率</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tcPr>
          <w:p>
            <w:pPr>
              <w:tabs>
                <w:tab w:val="left" w:pos="5140"/>
              </w:tabs>
              <w:jc w:val="center"/>
              <w:rPr>
                <w:rFonts w:asciiTheme="minorEastAsia" w:hAnsiTheme="minorEastAsia"/>
                <w:kern w:val="0"/>
                <w:sz w:val="22"/>
              </w:rPr>
            </w:pPr>
            <w:r>
              <w:rPr>
                <w:rFonts w:asciiTheme="minorEastAsia" w:hAnsiTheme="minorEastAsia"/>
                <w:kern w:val="0"/>
                <w:sz w:val="22"/>
              </w:rPr>
              <w:t>1</w:t>
            </w:r>
          </w:p>
        </w:tc>
        <w:tc>
          <w:tcPr>
            <w:tcW w:w="1701" w:type="dxa"/>
          </w:tcPr>
          <w:p>
            <w:pPr>
              <w:tabs>
                <w:tab w:val="left" w:pos="5140"/>
              </w:tabs>
              <w:jc w:val="left"/>
              <w:rPr>
                <w:rFonts w:asciiTheme="minorEastAsia" w:hAnsiTheme="minorEastAsia"/>
                <w:color w:val="000000" w:themeColor="text1"/>
                <w:kern w:val="0"/>
                <w:sz w:val="22"/>
                <w14:textFill>
                  <w14:solidFill>
                    <w14:schemeClr w14:val="tx1"/>
                  </w14:solidFill>
                </w14:textFill>
              </w:rPr>
            </w:pPr>
            <w:r>
              <w:rPr>
                <w:rFonts w:asciiTheme="minorEastAsia" w:hAnsiTheme="minorEastAsia"/>
                <w:kern w:val="0"/>
                <w:sz w:val="22"/>
              </w:rPr>
              <w:t>XX险业务（列示险种）</w:t>
            </w: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tcPr>
          <w:p>
            <w:pPr>
              <w:tabs>
                <w:tab w:val="left" w:pos="5140"/>
              </w:tabs>
              <w:jc w:val="center"/>
              <w:rPr>
                <w:rFonts w:asciiTheme="minorEastAsia" w:hAnsiTheme="minorEastAsia"/>
                <w:kern w:val="0"/>
                <w:sz w:val="22"/>
              </w:rPr>
            </w:pPr>
            <w:r>
              <w:rPr>
                <w:rFonts w:asciiTheme="minorEastAsia" w:hAnsiTheme="minorEastAsia"/>
                <w:kern w:val="0"/>
                <w:sz w:val="22"/>
              </w:rPr>
              <w:t>2</w:t>
            </w:r>
          </w:p>
        </w:tc>
        <w:tc>
          <w:tcPr>
            <w:tcW w:w="1701" w:type="dxa"/>
          </w:tcPr>
          <w:p>
            <w:pPr>
              <w:tabs>
                <w:tab w:val="left" w:pos="5140"/>
              </w:tabs>
              <w:jc w:val="left"/>
              <w:rPr>
                <w:rFonts w:asciiTheme="minorEastAsia" w:hAnsiTheme="minorEastAsia"/>
                <w:kern w:val="0"/>
                <w:sz w:val="22"/>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tcPr>
          <w:p>
            <w:pPr>
              <w:tabs>
                <w:tab w:val="left" w:pos="5140"/>
              </w:tabs>
              <w:jc w:val="center"/>
              <w:rPr>
                <w:rFonts w:asciiTheme="minorEastAsia" w:hAnsiTheme="minorEastAsia"/>
                <w:kern w:val="0"/>
                <w:sz w:val="22"/>
              </w:rPr>
            </w:pPr>
            <w:r>
              <w:rPr>
                <w:rFonts w:asciiTheme="minorEastAsia" w:hAnsiTheme="minorEastAsia"/>
                <w:kern w:val="0"/>
                <w:sz w:val="22"/>
              </w:rPr>
              <w:t>3</w:t>
            </w:r>
          </w:p>
        </w:tc>
        <w:tc>
          <w:tcPr>
            <w:tcW w:w="1701" w:type="dxa"/>
          </w:tcPr>
          <w:p>
            <w:pPr>
              <w:tabs>
                <w:tab w:val="left" w:pos="5140"/>
              </w:tabs>
              <w:jc w:val="left"/>
              <w:rPr>
                <w:rFonts w:asciiTheme="minorEastAsia" w:hAnsiTheme="minorEastAsia"/>
                <w:kern w:val="0"/>
                <w:sz w:val="22"/>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tcPr>
          <w:p>
            <w:pPr>
              <w:tabs>
                <w:tab w:val="left" w:pos="5140"/>
              </w:tabs>
              <w:jc w:val="center"/>
              <w:rPr>
                <w:rFonts w:asciiTheme="minorEastAsia" w:hAnsiTheme="minorEastAsia"/>
                <w:kern w:val="0"/>
                <w:sz w:val="22"/>
              </w:rPr>
            </w:pPr>
            <w:r>
              <w:rPr>
                <w:rFonts w:asciiTheme="minorEastAsia" w:hAnsiTheme="minorEastAsia"/>
                <w:kern w:val="0"/>
                <w:sz w:val="22"/>
              </w:rPr>
              <w:t>4</w:t>
            </w:r>
          </w:p>
        </w:tc>
        <w:tc>
          <w:tcPr>
            <w:tcW w:w="1701" w:type="dxa"/>
          </w:tcPr>
          <w:p>
            <w:pPr>
              <w:tabs>
                <w:tab w:val="left" w:pos="5140"/>
              </w:tabs>
              <w:jc w:val="left"/>
              <w:rPr>
                <w:rFonts w:asciiTheme="minorEastAsia" w:hAnsiTheme="minorEastAsia"/>
                <w:kern w:val="0"/>
                <w:sz w:val="22"/>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10" w:type="dxa"/>
          </w:tcPr>
          <w:p>
            <w:pPr>
              <w:tabs>
                <w:tab w:val="left" w:pos="5140"/>
              </w:tabs>
              <w:jc w:val="center"/>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5</w:t>
            </w:r>
          </w:p>
        </w:tc>
        <w:tc>
          <w:tcPr>
            <w:tcW w:w="1701" w:type="dxa"/>
          </w:tcPr>
          <w:p>
            <w:pPr>
              <w:tabs>
                <w:tab w:val="left" w:pos="5140"/>
              </w:tabs>
              <w:jc w:val="left"/>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 xml:space="preserve">    </w:t>
            </w: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1" w:type="dxa"/>
            <w:gridSpan w:val="2"/>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合计</w:t>
            </w:r>
          </w:p>
        </w:tc>
        <w:tc>
          <w:tcPr>
            <w:tcW w:w="1134" w:type="dxa"/>
          </w:tcPr>
          <w:p>
            <w:pPr>
              <w:tabs>
                <w:tab w:val="left" w:pos="5140"/>
              </w:tabs>
              <w:rPr>
                <w:rFonts w:asciiTheme="minorEastAsia" w:hAnsiTheme="minorEastAsia"/>
                <w:b/>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b/>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b/>
                <w:color w:val="000000" w:themeColor="text1"/>
                <w:kern w:val="0"/>
                <w:sz w:val="22"/>
                <w14:textFill>
                  <w14:solidFill>
                    <w14:schemeClr w14:val="tx1"/>
                  </w14:solidFill>
                </w14:textFill>
              </w:rPr>
            </w:pPr>
          </w:p>
        </w:tc>
        <w:tc>
          <w:tcPr>
            <w:tcW w:w="1134" w:type="dxa"/>
          </w:tcPr>
          <w:p>
            <w:pPr>
              <w:tabs>
                <w:tab w:val="left" w:pos="5140"/>
              </w:tabs>
              <w:rPr>
                <w:rFonts w:asciiTheme="minorEastAsia" w:hAnsiTheme="minorEastAsia"/>
                <w:b/>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b/>
                <w:color w:val="000000" w:themeColor="text1"/>
                <w:kern w:val="0"/>
                <w:sz w:val="22"/>
                <w14:textFill>
                  <w14:solidFill>
                    <w14:schemeClr w14:val="tx1"/>
                  </w14:solidFill>
                </w14:textFill>
              </w:rPr>
            </w:pPr>
          </w:p>
        </w:tc>
        <w:tc>
          <w:tcPr>
            <w:tcW w:w="992" w:type="dxa"/>
          </w:tcPr>
          <w:p>
            <w:pPr>
              <w:tabs>
                <w:tab w:val="left" w:pos="5140"/>
              </w:tabs>
              <w:rPr>
                <w:rFonts w:asciiTheme="minorEastAsia" w:hAnsiTheme="minorEastAsia"/>
                <w:b/>
                <w:color w:val="000000" w:themeColor="text1"/>
                <w:kern w:val="0"/>
                <w:sz w:val="22"/>
                <w14:textFill>
                  <w14:solidFill>
                    <w14:schemeClr w14:val="tx1"/>
                  </w14:solidFill>
                </w14:textFill>
              </w:rPr>
            </w:pPr>
          </w:p>
        </w:tc>
      </w:tr>
    </w:tbl>
    <w:p>
      <w:pPr>
        <w:tabs>
          <w:tab w:val="left" w:pos="5140"/>
        </w:tabs>
        <w:rPr>
          <w:rFonts w:asciiTheme="minorEastAsia" w:hAnsiTheme="minorEastAsia"/>
          <w:i/>
          <w:color w:val="FF0000"/>
          <w:szCs w:val="44"/>
        </w:rPr>
      </w:pPr>
      <w:r>
        <w:rPr>
          <w:rFonts w:hint="eastAsia" w:asciiTheme="minorEastAsia" w:hAnsiTheme="minorEastAsia"/>
          <w:i/>
          <w:color w:val="FF0000"/>
          <w:szCs w:val="44"/>
        </w:rPr>
        <w:t>注：财产保险公司应披露报告期内保费收入居前</w:t>
      </w:r>
      <w:r>
        <w:rPr>
          <w:rFonts w:asciiTheme="minorEastAsia" w:hAnsiTheme="minorEastAsia"/>
          <w:i/>
          <w:color w:val="FF0000"/>
          <w:szCs w:val="44"/>
        </w:rPr>
        <w:t>5位的商业保险险种经营情况，包括险种名称、保险金额、保费收入、赔款支出、准备金、承保利润、综合成本率</w:t>
      </w:r>
      <w:r>
        <w:rPr>
          <w:rFonts w:hint="eastAsia" w:asciiTheme="minorEastAsia" w:hAnsiTheme="minorEastAsia"/>
          <w:i/>
          <w:color w:val="FF0000"/>
          <w:szCs w:val="44"/>
        </w:rPr>
        <w:t>。</w:t>
      </w:r>
    </w:p>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个人</w:t>
      </w:r>
      <w:r>
        <w:rPr>
          <w:rFonts w:asciiTheme="minorEastAsia" w:hAnsiTheme="minorEastAsia"/>
          <w:b/>
          <w:color w:val="000000" w:themeColor="text1"/>
          <w:szCs w:val="44"/>
          <w14:textFill>
            <w14:solidFill>
              <w14:schemeClr w14:val="tx1"/>
            </w14:solidFill>
          </w14:textFill>
        </w:rPr>
        <w:t>意外伤害</w:t>
      </w:r>
      <w:r>
        <w:rPr>
          <w:rFonts w:hint="eastAsia" w:asciiTheme="minorEastAsia" w:hAnsiTheme="minorEastAsia"/>
          <w:b/>
          <w:color w:val="000000" w:themeColor="text1"/>
          <w:szCs w:val="44"/>
          <w14:textFill>
            <w14:solidFill>
              <w14:schemeClr w14:val="tx1"/>
            </w14:solidFill>
          </w14:textFill>
        </w:rPr>
        <w:t>保险</w:t>
      </w:r>
      <w:r>
        <w:rPr>
          <w:rFonts w:asciiTheme="minorEastAsia" w:hAnsiTheme="minorEastAsia"/>
          <w:b/>
          <w:color w:val="000000" w:themeColor="text1"/>
          <w:szCs w:val="44"/>
          <w14:textFill>
            <w14:solidFill>
              <w14:schemeClr w14:val="tx1"/>
            </w14:solidFill>
          </w14:textFill>
        </w:rPr>
        <w:t>业务</w:t>
      </w:r>
      <w:r>
        <w:rPr>
          <w:rFonts w:hint="eastAsia" w:asciiTheme="minorEastAsia" w:hAnsiTheme="minorEastAsia"/>
          <w:b/>
          <w:color w:val="000000" w:themeColor="text1"/>
          <w:szCs w:val="44"/>
          <w14:textFill>
            <w14:solidFill>
              <w14:schemeClr w14:val="tx1"/>
            </w14:solidFill>
          </w14:textFill>
        </w:rPr>
        <w:t>年度</w:t>
      </w:r>
      <w:r>
        <w:rPr>
          <w:rFonts w:asciiTheme="minorEastAsia" w:hAnsiTheme="minorEastAsia"/>
          <w:b/>
          <w:color w:val="000000" w:themeColor="text1"/>
          <w:szCs w:val="44"/>
          <w14:textFill>
            <w14:solidFill>
              <w14:schemeClr w14:val="tx1"/>
            </w14:solidFill>
          </w14:textFill>
        </w:rPr>
        <w:t>经营数据</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单位：元或件</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6"/>
        <w:gridCol w:w="2683"/>
        <w:gridCol w:w="1134"/>
        <w:gridCol w:w="1843"/>
        <w:gridCol w:w="1986"/>
        <w:gridCol w:w="84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119" w:type="dxa"/>
            <w:gridSpan w:val="2"/>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项目</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保单件数</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原</w:t>
            </w:r>
            <w:r>
              <w:rPr>
                <w:rFonts w:asciiTheme="minorEastAsia" w:hAnsiTheme="minorEastAsia"/>
                <w:b/>
                <w:color w:val="000000" w:themeColor="text1"/>
                <w:kern w:val="0"/>
                <w:sz w:val="22"/>
                <w14:textFill>
                  <w14:solidFill>
                    <w14:schemeClr w14:val="tx1"/>
                  </w14:solidFill>
                </w14:textFill>
              </w:rPr>
              <w:t>保险保费收入</w:t>
            </w:r>
          </w:p>
        </w:tc>
        <w:tc>
          <w:tcPr>
            <w:tcW w:w="1986"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期末</w:t>
            </w:r>
            <w:r>
              <w:rPr>
                <w:rFonts w:asciiTheme="minorEastAsia" w:hAnsiTheme="minorEastAsia"/>
                <w:b/>
                <w:color w:val="000000" w:themeColor="text1"/>
                <w:kern w:val="0"/>
                <w:sz w:val="22"/>
                <w14:textFill>
                  <w14:solidFill>
                    <w14:schemeClr w14:val="tx1"/>
                  </w14:solidFill>
                </w14:textFill>
              </w:rPr>
              <w:t>有效保险金额</w:t>
            </w:r>
          </w:p>
        </w:tc>
        <w:tc>
          <w:tcPr>
            <w:tcW w:w="849" w:type="dxa"/>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赔款支出</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119" w:type="dxa"/>
            <w:gridSpan w:val="2"/>
          </w:tcPr>
          <w:p>
            <w:pPr>
              <w:tabs>
                <w:tab w:val="left" w:pos="5140"/>
              </w:tabs>
              <w:jc w:val="center"/>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合计</w:t>
            </w: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6" w:type="dxa"/>
            <w:vMerge w:val="restart"/>
          </w:tcPr>
          <w:p>
            <w:pPr>
              <w:tabs>
                <w:tab w:val="left" w:pos="5140"/>
              </w:tabs>
              <w:jc w:val="center"/>
              <w:rPr>
                <w:rFonts w:asciiTheme="minorEastAsia" w:hAnsiTheme="minorEastAsia"/>
                <w:kern w:val="0"/>
                <w:sz w:val="22"/>
              </w:rPr>
            </w:pPr>
            <w:r>
              <w:rPr>
                <w:rFonts w:hint="eastAsia" w:asciiTheme="minorEastAsia" w:hAnsiTheme="minorEastAsia"/>
                <w:kern w:val="0"/>
                <w:sz w:val="22"/>
              </w:rPr>
              <w:t>销售渠道</w:t>
            </w:r>
          </w:p>
        </w:tc>
        <w:tc>
          <w:tcPr>
            <w:tcW w:w="2683" w:type="dxa"/>
          </w:tcPr>
          <w:p>
            <w:pPr>
              <w:tabs>
                <w:tab w:val="left" w:pos="5140"/>
              </w:tabs>
              <w:jc w:val="left"/>
              <w:rPr>
                <w:rFonts w:asciiTheme="minorEastAsia" w:hAnsiTheme="minorEastAsia"/>
                <w:kern w:val="0"/>
                <w:sz w:val="22"/>
              </w:rPr>
            </w:pPr>
            <w:r>
              <w:rPr>
                <w:rFonts w:hint="eastAsia" w:asciiTheme="minorEastAsia" w:hAnsiTheme="minorEastAsia"/>
                <w:kern w:val="0"/>
                <w:sz w:val="22"/>
              </w:rPr>
              <w:t>一</w:t>
            </w:r>
            <w:r>
              <w:rPr>
                <w:rFonts w:asciiTheme="minorEastAsia" w:hAnsiTheme="minorEastAsia"/>
                <w:kern w:val="0"/>
                <w:sz w:val="22"/>
              </w:rPr>
              <w:t>、公司直销</w:t>
            </w: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36" w:type="dxa"/>
            <w:vMerge w:val="continue"/>
          </w:tcPr>
          <w:p>
            <w:pPr>
              <w:tabs>
                <w:tab w:val="left" w:pos="5140"/>
              </w:tabs>
              <w:jc w:val="center"/>
              <w:rPr>
                <w:rFonts w:asciiTheme="minorEastAsia" w:hAnsiTheme="minorEastAsia"/>
                <w:kern w:val="0"/>
                <w:sz w:val="22"/>
                <w:szCs w:val="20"/>
              </w:rPr>
            </w:pPr>
          </w:p>
        </w:tc>
        <w:tc>
          <w:tcPr>
            <w:tcW w:w="2683" w:type="dxa"/>
          </w:tcPr>
          <w:p>
            <w:pPr>
              <w:tabs>
                <w:tab w:val="left" w:pos="5140"/>
              </w:tabs>
              <w:jc w:val="left"/>
              <w:rPr>
                <w:rFonts w:asciiTheme="minorEastAsia" w:hAnsiTheme="minorEastAsia"/>
                <w:kern w:val="0"/>
                <w:sz w:val="22"/>
                <w:szCs w:val="20"/>
              </w:rPr>
            </w:pPr>
            <w:r>
              <w:rPr>
                <w:rFonts w:hint="eastAsia" w:asciiTheme="minorEastAsia" w:hAnsiTheme="minorEastAsia"/>
                <w:kern w:val="0"/>
                <w:sz w:val="22"/>
                <w:szCs w:val="20"/>
              </w:rPr>
              <w:t>二</w:t>
            </w:r>
            <w:r>
              <w:rPr>
                <w:rFonts w:asciiTheme="minorEastAsia" w:hAnsiTheme="minorEastAsia"/>
                <w:kern w:val="0"/>
                <w:sz w:val="22"/>
                <w:szCs w:val="20"/>
              </w:rPr>
              <w:t>、</w:t>
            </w:r>
            <w:r>
              <w:rPr>
                <w:rFonts w:hint="eastAsia" w:asciiTheme="minorEastAsia" w:hAnsiTheme="minorEastAsia"/>
                <w:kern w:val="0"/>
                <w:sz w:val="22"/>
                <w:szCs w:val="20"/>
              </w:rPr>
              <w:t>保险</w:t>
            </w:r>
            <w:r>
              <w:rPr>
                <w:rFonts w:asciiTheme="minorEastAsia" w:hAnsiTheme="minorEastAsia"/>
                <w:kern w:val="0"/>
                <w:sz w:val="22"/>
                <w:szCs w:val="20"/>
              </w:rPr>
              <w:t>专业代理</w:t>
            </w: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6" w:type="dxa"/>
            <w:vMerge w:val="continue"/>
          </w:tcPr>
          <w:p>
            <w:pPr>
              <w:tabs>
                <w:tab w:val="left" w:pos="5140"/>
              </w:tabs>
              <w:jc w:val="center"/>
              <w:rPr>
                <w:rFonts w:asciiTheme="minorEastAsia" w:hAnsiTheme="minorEastAsia"/>
                <w:kern w:val="0"/>
                <w:sz w:val="22"/>
                <w:szCs w:val="20"/>
              </w:rPr>
            </w:pPr>
          </w:p>
        </w:tc>
        <w:tc>
          <w:tcPr>
            <w:tcW w:w="2683" w:type="dxa"/>
          </w:tcPr>
          <w:p>
            <w:pPr>
              <w:tabs>
                <w:tab w:val="left" w:pos="5140"/>
              </w:tabs>
              <w:jc w:val="left"/>
              <w:rPr>
                <w:rFonts w:asciiTheme="minorEastAsia" w:hAnsiTheme="minorEastAsia"/>
                <w:kern w:val="0"/>
                <w:sz w:val="22"/>
                <w:szCs w:val="20"/>
              </w:rPr>
            </w:pPr>
            <w:r>
              <w:rPr>
                <w:rFonts w:hint="eastAsia" w:asciiTheme="minorEastAsia" w:hAnsiTheme="minorEastAsia"/>
                <w:kern w:val="0"/>
                <w:sz w:val="22"/>
                <w:szCs w:val="20"/>
              </w:rPr>
              <w:t>三</w:t>
            </w:r>
            <w:r>
              <w:rPr>
                <w:rFonts w:asciiTheme="minorEastAsia" w:hAnsiTheme="minorEastAsia"/>
                <w:kern w:val="0"/>
                <w:sz w:val="22"/>
                <w:szCs w:val="20"/>
              </w:rPr>
              <w:t>、保险经纪</w:t>
            </w: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6" w:type="dxa"/>
            <w:vMerge w:val="continue"/>
          </w:tcPr>
          <w:p>
            <w:pPr>
              <w:tabs>
                <w:tab w:val="left" w:pos="5140"/>
              </w:tabs>
              <w:jc w:val="center"/>
              <w:rPr>
                <w:rFonts w:asciiTheme="minorEastAsia" w:hAnsiTheme="minorEastAsia"/>
                <w:kern w:val="0"/>
                <w:sz w:val="22"/>
                <w:szCs w:val="20"/>
              </w:rPr>
            </w:pPr>
          </w:p>
        </w:tc>
        <w:tc>
          <w:tcPr>
            <w:tcW w:w="2683" w:type="dxa"/>
          </w:tcPr>
          <w:p>
            <w:pPr>
              <w:tabs>
                <w:tab w:val="left" w:pos="5140"/>
              </w:tabs>
              <w:jc w:val="left"/>
              <w:rPr>
                <w:rFonts w:asciiTheme="minorEastAsia" w:hAnsiTheme="minorEastAsia"/>
                <w:kern w:val="0"/>
                <w:sz w:val="22"/>
                <w:szCs w:val="20"/>
              </w:rPr>
            </w:pPr>
            <w:r>
              <w:rPr>
                <w:rFonts w:hint="eastAsia" w:asciiTheme="minorEastAsia" w:hAnsiTheme="minorEastAsia"/>
                <w:kern w:val="0"/>
                <w:sz w:val="22"/>
                <w:szCs w:val="20"/>
              </w:rPr>
              <w:t>四</w:t>
            </w:r>
            <w:r>
              <w:rPr>
                <w:rFonts w:asciiTheme="minorEastAsia" w:hAnsiTheme="minorEastAsia"/>
                <w:kern w:val="0"/>
                <w:sz w:val="22"/>
                <w:szCs w:val="20"/>
              </w:rPr>
              <w:t>、银行类保险兼业代理</w:t>
            </w: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6" w:type="dxa"/>
            <w:vMerge w:val="continue"/>
          </w:tcPr>
          <w:p>
            <w:pPr>
              <w:tabs>
                <w:tab w:val="left" w:pos="5140"/>
              </w:tabs>
              <w:jc w:val="center"/>
              <w:rPr>
                <w:rFonts w:asciiTheme="minorEastAsia" w:hAnsiTheme="minorEastAsia"/>
                <w:kern w:val="0"/>
                <w:sz w:val="22"/>
                <w:szCs w:val="20"/>
              </w:rPr>
            </w:pPr>
          </w:p>
        </w:tc>
        <w:tc>
          <w:tcPr>
            <w:tcW w:w="2683" w:type="dxa"/>
          </w:tcPr>
          <w:p>
            <w:pPr>
              <w:tabs>
                <w:tab w:val="left" w:pos="5140"/>
              </w:tabs>
              <w:jc w:val="left"/>
              <w:rPr>
                <w:rFonts w:asciiTheme="minorEastAsia" w:hAnsiTheme="minorEastAsia"/>
                <w:kern w:val="0"/>
                <w:sz w:val="22"/>
                <w:szCs w:val="20"/>
              </w:rPr>
            </w:pPr>
            <w:r>
              <w:rPr>
                <w:rFonts w:hint="eastAsia" w:asciiTheme="minorEastAsia" w:hAnsiTheme="minorEastAsia"/>
                <w:kern w:val="0"/>
                <w:sz w:val="22"/>
                <w:szCs w:val="20"/>
              </w:rPr>
              <w:t>五</w:t>
            </w:r>
            <w:r>
              <w:rPr>
                <w:rFonts w:asciiTheme="minorEastAsia" w:hAnsiTheme="minorEastAsia"/>
                <w:kern w:val="0"/>
                <w:sz w:val="22"/>
                <w:szCs w:val="20"/>
              </w:rPr>
              <w:t>、互联网企业代理渠道</w:t>
            </w: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36" w:type="dxa"/>
            <w:vMerge w:val="continue"/>
          </w:tcPr>
          <w:p>
            <w:pPr>
              <w:tabs>
                <w:tab w:val="left" w:pos="5140"/>
              </w:tabs>
              <w:jc w:val="center"/>
              <w:rPr>
                <w:rFonts w:asciiTheme="minorEastAsia" w:hAnsiTheme="minorEastAsia"/>
                <w:kern w:val="0"/>
                <w:sz w:val="22"/>
                <w:szCs w:val="20"/>
              </w:rPr>
            </w:pPr>
          </w:p>
        </w:tc>
        <w:tc>
          <w:tcPr>
            <w:tcW w:w="2683" w:type="dxa"/>
          </w:tcPr>
          <w:p>
            <w:pPr>
              <w:tabs>
                <w:tab w:val="left" w:pos="5140"/>
              </w:tabs>
              <w:jc w:val="left"/>
              <w:rPr>
                <w:rFonts w:asciiTheme="minorEastAsia" w:hAnsiTheme="minorEastAsia"/>
                <w:kern w:val="0"/>
                <w:sz w:val="22"/>
                <w:szCs w:val="20"/>
              </w:rPr>
            </w:pPr>
            <w:r>
              <w:rPr>
                <w:rFonts w:hint="eastAsia" w:asciiTheme="minorEastAsia" w:hAnsiTheme="minorEastAsia"/>
                <w:kern w:val="0"/>
                <w:sz w:val="22"/>
                <w:szCs w:val="20"/>
              </w:rPr>
              <w:t>六</w:t>
            </w:r>
            <w:r>
              <w:rPr>
                <w:rFonts w:asciiTheme="minorEastAsia" w:hAnsiTheme="minorEastAsia"/>
                <w:kern w:val="0"/>
                <w:sz w:val="22"/>
                <w:szCs w:val="20"/>
              </w:rPr>
              <w:t>、其他兼业代理渠道</w:t>
            </w: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6" w:type="dxa"/>
            <w:vMerge w:val="continue"/>
          </w:tcPr>
          <w:p>
            <w:pPr>
              <w:tabs>
                <w:tab w:val="left" w:pos="5140"/>
              </w:tabs>
              <w:jc w:val="center"/>
              <w:rPr>
                <w:rFonts w:asciiTheme="minorEastAsia" w:hAnsiTheme="minorEastAsia"/>
                <w:kern w:val="0"/>
                <w:sz w:val="22"/>
              </w:rPr>
            </w:pPr>
          </w:p>
        </w:tc>
        <w:tc>
          <w:tcPr>
            <w:tcW w:w="2683" w:type="dxa"/>
          </w:tcPr>
          <w:p>
            <w:pPr>
              <w:tabs>
                <w:tab w:val="left" w:pos="5140"/>
              </w:tabs>
              <w:jc w:val="left"/>
              <w:rPr>
                <w:rFonts w:asciiTheme="minorEastAsia" w:hAnsiTheme="minorEastAsia"/>
                <w:kern w:val="0"/>
                <w:sz w:val="22"/>
              </w:rPr>
            </w:pPr>
            <w:r>
              <w:rPr>
                <w:rFonts w:hint="eastAsia" w:asciiTheme="minorEastAsia" w:hAnsiTheme="minorEastAsia"/>
                <w:kern w:val="0"/>
                <w:sz w:val="22"/>
              </w:rPr>
              <w:t>七</w:t>
            </w:r>
            <w:r>
              <w:rPr>
                <w:rFonts w:asciiTheme="minorEastAsia" w:hAnsiTheme="minorEastAsia"/>
                <w:kern w:val="0"/>
                <w:sz w:val="22"/>
              </w:rPr>
              <w:t>、其他渠道</w:t>
            </w:r>
          </w:p>
        </w:tc>
        <w:tc>
          <w:tcPr>
            <w:tcW w:w="1134"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1986" w:type="dxa"/>
          </w:tcPr>
          <w:p>
            <w:pPr>
              <w:tabs>
                <w:tab w:val="left" w:pos="5140"/>
              </w:tabs>
              <w:rPr>
                <w:rFonts w:asciiTheme="minorEastAsia" w:hAnsiTheme="minorEastAsia"/>
                <w:color w:val="000000" w:themeColor="text1"/>
                <w:kern w:val="0"/>
                <w:sz w:val="22"/>
                <w14:textFill>
                  <w14:solidFill>
                    <w14:schemeClr w14:val="tx1"/>
                  </w14:solidFill>
                </w14:textFill>
              </w:rPr>
            </w:pPr>
          </w:p>
        </w:tc>
        <w:tc>
          <w:tcPr>
            <w:tcW w:w="849" w:type="dxa"/>
          </w:tcPr>
          <w:p>
            <w:pPr>
              <w:tabs>
                <w:tab w:val="left" w:pos="5140"/>
              </w:tabs>
              <w:rPr>
                <w:rFonts w:asciiTheme="minorEastAsia" w:hAnsiTheme="minorEastAsia"/>
                <w:color w:val="000000" w:themeColor="text1"/>
                <w:kern w:val="0"/>
                <w:sz w:val="22"/>
                <w14:textFill>
                  <w14:solidFill>
                    <w14:schemeClr w14:val="tx1"/>
                  </w14:solidFill>
                </w14:textFill>
              </w:rPr>
            </w:pPr>
          </w:p>
        </w:tc>
      </w:tr>
    </w:tbl>
    <w:p>
      <w:pPr>
        <w:tabs>
          <w:tab w:val="left" w:pos="5140"/>
        </w:tabs>
        <w:jc w:val="left"/>
        <w:rPr>
          <w:rFonts w:asciiTheme="minorEastAsia" w:hAnsiTheme="minorEastAsia"/>
          <w:b/>
          <w:color w:val="000000" w:themeColor="text1"/>
          <w:szCs w:val="44"/>
          <w14:textFill>
            <w14:solidFill>
              <w14:schemeClr w14:val="tx1"/>
            </w14:solidFill>
          </w14:textFill>
        </w:rPr>
      </w:pPr>
    </w:p>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个人</w:t>
      </w:r>
      <w:r>
        <w:rPr>
          <w:rFonts w:asciiTheme="minorEastAsia" w:hAnsiTheme="minorEastAsia"/>
          <w:b/>
          <w:color w:val="000000" w:themeColor="text1"/>
          <w:szCs w:val="44"/>
          <w14:textFill>
            <w14:solidFill>
              <w14:schemeClr w14:val="tx1"/>
            </w14:solidFill>
          </w14:textFill>
        </w:rPr>
        <w:t>意外伤害</w:t>
      </w:r>
      <w:r>
        <w:rPr>
          <w:rFonts w:hint="eastAsia" w:asciiTheme="minorEastAsia" w:hAnsiTheme="minorEastAsia"/>
          <w:b/>
          <w:color w:val="000000" w:themeColor="text1"/>
          <w:szCs w:val="44"/>
          <w14:textFill>
            <w14:solidFill>
              <w14:schemeClr w14:val="tx1"/>
            </w14:solidFill>
          </w14:textFill>
        </w:rPr>
        <w:t>保险产品年度</w:t>
      </w:r>
      <w:r>
        <w:rPr>
          <w:rFonts w:asciiTheme="minorEastAsia" w:hAnsiTheme="minorEastAsia"/>
          <w:b/>
          <w:color w:val="000000" w:themeColor="text1"/>
          <w:szCs w:val="44"/>
          <w14:textFill>
            <w14:solidFill>
              <w14:schemeClr w14:val="tx1"/>
            </w14:solidFill>
          </w14:textFill>
        </w:rPr>
        <w:t>经营数据</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单位：元或件</w:t>
      </w:r>
    </w:p>
    <w:p>
      <w:pPr>
        <w:tabs>
          <w:tab w:val="left" w:pos="5140"/>
        </w:tabs>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5378" w:type="pct"/>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728"/>
        <w:gridCol w:w="727"/>
        <w:gridCol w:w="729"/>
        <w:gridCol w:w="1021"/>
        <w:gridCol w:w="1311"/>
        <w:gridCol w:w="727"/>
        <w:gridCol w:w="1019"/>
        <w:gridCol w:w="1000"/>
        <w:gridCol w:w="776"/>
        <w:gridCol w:w="11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97"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序号</w:t>
            </w:r>
          </w:p>
        </w:tc>
        <w:tc>
          <w:tcPr>
            <w:tcW w:w="396"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产品名称</w:t>
            </w:r>
          </w:p>
        </w:tc>
        <w:tc>
          <w:tcPr>
            <w:tcW w:w="397"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销售渠道</w:t>
            </w:r>
          </w:p>
        </w:tc>
        <w:tc>
          <w:tcPr>
            <w:tcW w:w="556"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合作机构</w:t>
            </w:r>
            <w:r>
              <w:rPr>
                <w:rFonts w:asciiTheme="minorEastAsia" w:hAnsiTheme="minorEastAsia"/>
                <w:b/>
                <w:color w:val="000000" w:themeColor="text1"/>
                <w:kern w:val="0"/>
                <w:sz w:val="22"/>
                <w14:textFill>
                  <w14:solidFill>
                    <w14:schemeClr w14:val="tx1"/>
                  </w14:solidFill>
                </w14:textFill>
              </w:rPr>
              <w:t>名称</w:t>
            </w:r>
          </w:p>
        </w:tc>
        <w:tc>
          <w:tcPr>
            <w:tcW w:w="714"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销售状态</w:t>
            </w:r>
          </w:p>
        </w:tc>
        <w:tc>
          <w:tcPr>
            <w:tcW w:w="396"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保单件数</w:t>
            </w:r>
          </w:p>
        </w:tc>
        <w:tc>
          <w:tcPr>
            <w:tcW w:w="555" w:type="pct"/>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原保险</w:t>
            </w:r>
            <w:r>
              <w:rPr>
                <w:rFonts w:asciiTheme="minorEastAsia" w:hAnsiTheme="minorEastAsia"/>
                <w:b/>
                <w:color w:val="000000" w:themeColor="text1"/>
                <w:kern w:val="0"/>
                <w:sz w:val="22"/>
                <w:szCs w:val="20"/>
                <w14:textFill>
                  <w14:solidFill>
                    <w14:schemeClr w14:val="tx1"/>
                  </w14:solidFill>
                </w14:textFill>
              </w:rPr>
              <w:t>保费收入</w:t>
            </w:r>
          </w:p>
        </w:tc>
        <w:tc>
          <w:tcPr>
            <w:tcW w:w="545" w:type="pct"/>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期末</w:t>
            </w:r>
            <w:r>
              <w:rPr>
                <w:rFonts w:asciiTheme="minorEastAsia" w:hAnsiTheme="minorEastAsia"/>
                <w:b/>
                <w:color w:val="000000" w:themeColor="text1"/>
                <w:kern w:val="0"/>
                <w:sz w:val="22"/>
                <w:szCs w:val="20"/>
                <w14:textFill>
                  <w14:solidFill>
                    <w14:schemeClr w14:val="tx1"/>
                  </w14:solidFill>
                </w14:textFill>
              </w:rPr>
              <w:t>有效保险金额</w:t>
            </w:r>
          </w:p>
        </w:tc>
        <w:tc>
          <w:tcPr>
            <w:tcW w:w="423"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赔款支出</w:t>
            </w:r>
          </w:p>
        </w:tc>
        <w:tc>
          <w:tcPr>
            <w:tcW w:w="619" w:type="pct"/>
            <w:shd w:val="pct10" w:color="auto" w:fill="auto"/>
            <w:vAlign w:val="center"/>
          </w:tcPr>
          <w:p>
            <w:pPr>
              <w:tabs>
                <w:tab w:val="left" w:pos="5140"/>
              </w:tabs>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综合赔付率</w:t>
            </w:r>
            <w:r>
              <w:rPr>
                <w:rFonts w:asciiTheme="minorEastAsia" w:hAnsiTheme="minorEastAsia"/>
                <w:b/>
                <w:color w:val="000000" w:themeColor="text1"/>
                <w:kern w:val="0"/>
                <w:sz w:val="22"/>
                <w14:textFill>
                  <w14:solidFill>
                    <w14:schemeClr w14:val="tx1"/>
                  </w14:solidFill>
                </w14:textFill>
              </w:rPr>
              <w:t>（</w:t>
            </w:r>
            <w:r>
              <w:rPr>
                <w:rFonts w:hint="eastAsia" w:asciiTheme="minorEastAsia" w:hAnsiTheme="minorEastAsia"/>
                <w:b/>
                <w:color w:val="000000" w:themeColor="text1"/>
                <w:kern w:val="0"/>
                <w:sz w:val="22"/>
                <w14:textFill>
                  <w14:solidFill>
                    <w14:schemeClr w14:val="tx1"/>
                  </w14:solidFill>
                </w14:textFill>
              </w:rPr>
              <w:t>%</w:t>
            </w:r>
            <w:r>
              <w:rPr>
                <w:rFonts w:asciiTheme="minorEastAsia" w:hAnsi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97" w:type="pct"/>
          </w:tcPr>
          <w:p>
            <w:pPr>
              <w:tabs>
                <w:tab w:val="left" w:pos="5140"/>
              </w:tabs>
              <w:jc w:val="center"/>
              <w:rPr>
                <w:rFonts w:asciiTheme="minorEastAsia" w:hAnsiTheme="minorEastAsia"/>
                <w:kern w:val="0"/>
                <w:sz w:val="22"/>
              </w:rPr>
            </w:pPr>
          </w:p>
        </w:tc>
        <w:tc>
          <w:tcPr>
            <w:tcW w:w="396" w:type="pct"/>
          </w:tcPr>
          <w:p>
            <w:pPr>
              <w:tabs>
                <w:tab w:val="left" w:pos="5140"/>
              </w:tabs>
              <w:jc w:val="left"/>
              <w:rPr>
                <w:rFonts w:asciiTheme="minorEastAsia" w:hAnsiTheme="minorEastAsia"/>
                <w:color w:val="000000" w:themeColor="text1"/>
                <w:kern w:val="0"/>
                <w:sz w:val="22"/>
                <w14:textFill>
                  <w14:solidFill>
                    <w14:schemeClr w14:val="tx1"/>
                  </w14:solidFill>
                </w14:textFill>
              </w:rPr>
            </w:pPr>
          </w:p>
        </w:tc>
        <w:tc>
          <w:tcPr>
            <w:tcW w:w="397"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714" w:type="pct"/>
          </w:tcPr>
          <w:p>
            <w:pPr>
              <w:tabs>
                <w:tab w:val="left" w:pos="5140"/>
              </w:tabs>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在售/停售</w:t>
            </w:r>
          </w:p>
        </w:tc>
        <w:tc>
          <w:tcPr>
            <w:tcW w:w="39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54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423"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619" w:type="pct"/>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97" w:type="pct"/>
          </w:tcPr>
          <w:p>
            <w:pPr>
              <w:tabs>
                <w:tab w:val="left" w:pos="5140"/>
              </w:tabs>
              <w:jc w:val="center"/>
              <w:rPr>
                <w:rFonts w:asciiTheme="minorEastAsia" w:hAnsiTheme="minorEastAsia"/>
                <w:kern w:val="0"/>
                <w:sz w:val="22"/>
              </w:rPr>
            </w:pPr>
          </w:p>
        </w:tc>
        <w:tc>
          <w:tcPr>
            <w:tcW w:w="396" w:type="pct"/>
          </w:tcPr>
          <w:p>
            <w:pPr>
              <w:tabs>
                <w:tab w:val="left" w:pos="5140"/>
              </w:tabs>
              <w:jc w:val="left"/>
              <w:rPr>
                <w:rFonts w:asciiTheme="minorEastAsia" w:hAnsiTheme="minorEastAsia"/>
                <w:kern w:val="0"/>
                <w:sz w:val="22"/>
              </w:rPr>
            </w:pPr>
          </w:p>
        </w:tc>
        <w:tc>
          <w:tcPr>
            <w:tcW w:w="397"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714"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39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54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423"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619" w:type="pct"/>
          </w:tcPr>
          <w:p>
            <w:pPr>
              <w:tabs>
                <w:tab w:val="left" w:pos="5140"/>
              </w:tabs>
              <w:rPr>
                <w:rFonts w:asciiTheme="minorEastAsia" w:hAnsi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97" w:type="pct"/>
          </w:tcPr>
          <w:p>
            <w:pPr>
              <w:tabs>
                <w:tab w:val="left" w:pos="5140"/>
              </w:tabs>
              <w:jc w:val="center"/>
              <w:rPr>
                <w:rFonts w:asciiTheme="minorEastAsia" w:hAnsiTheme="minorEastAsia"/>
                <w:kern w:val="0"/>
                <w:sz w:val="22"/>
              </w:rPr>
            </w:pPr>
          </w:p>
        </w:tc>
        <w:tc>
          <w:tcPr>
            <w:tcW w:w="396" w:type="pct"/>
          </w:tcPr>
          <w:p>
            <w:pPr>
              <w:tabs>
                <w:tab w:val="left" w:pos="5140"/>
              </w:tabs>
              <w:jc w:val="left"/>
              <w:rPr>
                <w:rFonts w:asciiTheme="minorEastAsia" w:hAnsiTheme="minorEastAsia"/>
                <w:kern w:val="0"/>
                <w:sz w:val="22"/>
              </w:rPr>
            </w:pPr>
          </w:p>
        </w:tc>
        <w:tc>
          <w:tcPr>
            <w:tcW w:w="397"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714"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396"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55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545" w:type="pct"/>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423" w:type="pct"/>
          </w:tcPr>
          <w:p>
            <w:pPr>
              <w:tabs>
                <w:tab w:val="left" w:pos="5140"/>
              </w:tabs>
              <w:rPr>
                <w:rFonts w:asciiTheme="minorEastAsia" w:hAnsiTheme="minorEastAsia"/>
                <w:color w:val="000000" w:themeColor="text1"/>
                <w:kern w:val="0"/>
                <w:sz w:val="22"/>
                <w14:textFill>
                  <w14:solidFill>
                    <w14:schemeClr w14:val="tx1"/>
                  </w14:solidFill>
                </w14:textFill>
              </w:rPr>
            </w:pPr>
          </w:p>
        </w:tc>
        <w:tc>
          <w:tcPr>
            <w:tcW w:w="619" w:type="pct"/>
          </w:tcPr>
          <w:p>
            <w:pPr>
              <w:tabs>
                <w:tab w:val="left" w:pos="5140"/>
              </w:tabs>
              <w:rPr>
                <w:rFonts w:asciiTheme="minorEastAsia" w:hAnsiTheme="minorEastAsia"/>
                <w:color w:val="000000" w:themeColor="text1"/>
                <w:kern w:val="0"/>
                <w:sz w:val="22"/>
                <w14:textFill>
                  <w14:solidFill>
                    <w14:schemeClr w14:val="tx1"/>
                  </w14:solidFill>
                </w14:textFill>
              </w:rPr>
            </w:pPr>
          </w:p>
        </w:tc>
      </w:tr>
    </w:tbl>
    <w:p>
      <w:pPr>
        <w:rPr>
          <w:rFonts w:ascii="Calibri" w:hAnsi="Calibri" w:eastAsia="宋体" w:cs="Times New Roman"/>
          <w:b/>
          <w:color w:val="000000"/>
        </w:rPr>
      </w:pPr>
      <w:r>
        <w:rPr>
          <w:rFonts w:ascii="Calibri" w:hAnsi="Calibri" w:eastAsia="宋体" w:cs="Times New Roman"/>
          <w:b/>
          <w:color w:val="000000"/>
        </w:rPr>
        <w:t>4</w:t>
      </w:r>
      <w:r>
        <w:rPr>
          <w:rFonts w:hint="eastAsia" w:ascii="Calibri" w:hAnsi="Calibri" w:eastAsia="宋体" w:cs="Times New Roman"/>
          <w:b/>
          <w:color w:val="000000"/>
        </w:rPr>
        <w:t>、准备金计提情况分析</w:t>
      </w:r>
      <w:r>
        <w:rPr>
          <w:rFonts w:ascii="Calibri" w:hAnsi="Calibri" w:eastAsia="宋体" w:cs="Times New Roman"/>
          <w:b/>
          <w:color w:val="000000"/>
        </w:rPr>
        <w:t xml:space="preserve">                                                 </w:t>
      </w:r>
    </w:p>
    <w:p>
      <w:pPr>
        <w:jc w:val="right"/>
      </w:pPr>
      <w:r>
        <w:rPr>
          <w:rFonts w:hint="eastAsia"/>
        </w:rPr>
        <w:t>单位：元</w:t>
      </w:r>
    </w:p>
    <w:tbl>
      <w:tblPr>
        <w:tblStyle w:val="45"/>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227"/>
        <w:gridCol w:w="2593"/>
        <w:gridCol w:w="2694"/>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项目</w:t>
            </w:r>
          </w:p>
        </w:tc>
        <w:tc>
          <w:tcPr>
            <w:tcW w:w="2593" w:type="dxa"/>
            <w:tcBorders>
              <w:bottom w:val="single" w:color="5B9BD5" w:themeColor="accent1" w:sz="4" w:space="0"/>
            </w:tcBorders>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本期期末</w:t>
            </w:r>
          </w:p>
        </w:tc>
        <w:tc>
          <w:tcPr>
            <w:tcW w:w="2694" w:type="dxa"/>
            <w:tcBorders>
              <w:bottom w:val="single" w:color="5B9BD5" w:themeColor="accent1" w:sz="4" w:space="0"/>
            </w:tcBorders>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本期期初</w:t>
            </w:r>
            <w:r>
              <w:rPr>
                <w:rFonts w:asciiTheme="minorEastAsia" w:hAnsiTheme="minorEastAsia"/>
                <w:b/>
                <w:color w:val="000000" w:themeColor="text1"/>
                <w:sz w:val="22"/>
                <w14:textFill>
                  <w14:solidFill>
                    <w14:schemeClr w14:val="tx1"/>
                  </w14:solidFill>
                </w14:textFill>
              </w:rPr>
              <w:t>/上年期末</w:t>
            </w:r>
          </w:p>
        </w:tc>
        <w:tc>
          <w:tcPr>
            <w:tcW w:w="1417"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变动比例</w:t>
            </w:r>
            <w:r>
              <w:rPr>
                <w:rFonts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未到期责任准备金</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w:t>
            </w:r>
            <w:r>
              <w:rPr>
                <w:rFonts w:asciiTheme="minorEastAsia" w:hAnsiTheme="minorEastAsia"/>
                <w:sz w:val="22"/>
              </w:rPr>
              <w:t>XX险业务（列示险种）</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jc w:val="left"/>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 xml:space="preserve">     （自动添行）</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未决赔款准备金</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w:t>
            </w:r>
            <w:r>
              <w:rPr>
                <w:rFonts w:asciiTheme="minorEastAsia" w:hAnsiTheme="minorEastAsia"/>
                <w:sz w:val="22"/>
              </w:rPr>
              <w:t>XX险业务（列示险种）</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jc w:val="left"/>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 xml:space="preserve">     （自动添行）</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寿险责任准备金</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长期健康险责任准备金</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ind w:right="44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w:t>
            </w:r>
            <w:r>
              <w:rPr>
                <w:rFonts w:asciiTheme="minorEastAsia" w:hAnsiTheme="minorEastAsia"/>
                <w:color w:val="000000" w:themeColor="text1"/>
                <w:sz w:val="22"/>
                <w14:textFill>
                  <w14:solidFill>
                    <w14:schemeClr w14:val="tx1"/>
                  </w14:solidFill>
                </w14:textFill>
              </w:rPr>
              <w:t>自动添行）</w:t>
            </w:r>
          </w:p>
        </w:tc>
        <w:tc>
          <w:tcPr>
            <w:tcW w:w="2593" w:type="dxa"/>
          </w:tcPr>
          <w:p>
            <w:pPr>
              <w:tabs>
                <w:tab w:val="left" w:pos="5140"/>
              </w:tabs>
              <w:rPr>
                <w:rFonts w:asciiTheme="minorEastAsia" w:hAnsiTheme="minorEastAsia"/>
                <w:color w:val="000000" w:themeColor="text1"/>
                <w:sz w:val="22"/>
                <w14:textFill>
                  <w14:solidFill>
                    <w14:schemeClr w14:val="tx1"/>
                  </w14:solidFill>
                </w14:textFill>
              </w:rPr>
            </w:pPr>
          </w:p>
        </w:tc>
        <w:tc>
          <w:tcPr>
            <w:tcW w:w="2694"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r>
    </w:tbl>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准备金余额重大变动原因及准备金充足性测试情况</w:t>
      </w:r>
      <w:r>
        <w:rPr>
          <w:rFonts w:asciiTheme="minorEastAsia" w:hAnsiTheme="minorEastAsia"/>
          <w:b/>
          <w:color w:val="000000" w:themeColor="text1"/>
          <w:szCs w:val="44"/>
          <w14:textFill>
            <w14:solidFill>
              <w14:schemeClr w14:val="tx1"/>
            </w14:solidFill>
          </w14:textFill>
        </w:rPr>
        <w:t>：</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注：保险公司按主要险种类别披露各项准备金余额，分析其变动情况及原因，并披露准备金充足性测试情况。</w:t>
            </w:r>
          </w:p>
        </w:tc>
      </w:tr>
    </w:tbl>
    <w:p>
      <w:pPr>
        <w:rPr>
          <w:rFonts w:ascii="Calibri" w:hAnsi="Calibri" w:eastAsia="宋体" w:cs="Times New Roman"/>
          <w:b/>
          <w:color w:val="000000"/>
        </w:rPr>
      </w:pPr>
      <w:r>
        <w:rPr>
          <w:rFonts w:ascii="Calibri" w:hAnsi="Calibri" w:eastAsia="宋体" w:cs="Times New Roman"/>
          <w:b/>
          <w:color w:val="000000"/>
        </w:rPr>
        <w:t>5</w:t>
      </w:r>
      <w:r>
        <w:rPr>
          <w:rFonts w:hint="eastAsia" w:ascii="Calibri" w:hAnsi="Calibri" w:eastAsia="宋体" w:cs="Times New Roman"/>
          <w:b/>
          <w:color w:val="000000"/>
        </w:rPr>
        <w:t>、</w:t>
      </w:r>
      <w:r>
        <w:rPr>
          <w:rFonts w:ascii="Calibri" w:hAnsi="Calibri" w:eastAsia="宋体" w:cs="Times New Roman"/>
          <w:b/>
          <w:color w:val="000000"/>
        </w:rPr>
        <w:t>赔付支出、手续费及佣金支出分析</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1842"/>
        <w:gridCol w:w="1718"/>
        <w:gridCol w:w="18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184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本期金额</w:t>
            </w:r>
          </w:p>
        </w:tc>
        <w:tc>
          <w:tcPr>
            <w:tcW w:w="17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金额</w:t>
            </w:r>
          </w:p>
        </w:tc>
        <w:tc>
          <w:tcPr>
            <w:tcW w:w="1826"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赔付支出</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其中：</w:t>
            </w:r>
            <w:r>
              <w:rPr>
                <w:rFonts w:asciiTheme="minorEastAsia" w:hAnsiTheme="minorEastAsia"/>
                <w:kern w:val="0"/>
                <w:sz w:val="22"/>
                <w:szCs w:val="20"/>
              </w:rPr>
              <w:t>XX险业务（列示险种）</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（自动添行）</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手续费及佣金支出</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其中：</w:t>
            </w:r>
            <w:r>
              <w:rPr>
                <w:rFonts w:asciiTheme="minorEastAsia" w:hAnsiTheme="minorEastAsia"/>
                <w:kern w:val="0"/>
                <w:sz w:val="22"/>
                <w:szCs w:val="20"/>
              </w:rPr>
              <w:t>XX险业务（列示险种）</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（自动添行）</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其他支出</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545"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842"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826"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支出构成重大变动的原因：</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注：保险公司按主要险种类别披露赔付支出、手续费及佣金支出的构成，构成指标的重大变动（达到或超过上期营业成本</w:t>
            </w:r>
            <w:r>
              <w:rPr>
                <w:rFonts w:asciiTheme="minorEastAsia" w:hAnsiTheme="minorEastAsia"/>
                <w:i/>
                <w:color w:val="FF0000"/>
                <w:kern w:val="0"/>
                <w:sz w:val="20"/>
                <w:szCs w:val="44"/>
              </w:rPr>
              <w:t>10%），应充分分析其增减变动情况及原因。</w:t>
            </w:r>
          </w:p>
        </w:tc>
      </w:tr>
    </w:tbl>
    <w:p>
      <w:pPr>
        <w:keepNext/>
        <w:keepLines/>
        <w:spacing w:before="100" w:after="100"/>
        <w:outlineLvl w:val="2"/>
        <w:rPr>
          <w:rFonts w:ascii="Times New Roman" w:hAnsi="Times New Roman"/>
          <w:b/>
          <w:bCs/>
          <w:szCs w:val="32"/>
          <w:lang w:val="zh-CN"/>
        </w:rPr>
      </w:pPr>
      <w:r>
        <w:rPr>
          <w:rFonts w:hint="eastAsia" w:ascii="Times New Roman" w:hAnsi="Times New Roman" w:eastAsia="宋体" w:cs="Times New Roman"/>
          <w:b/>
          <w:bCs/>
          <w:szCs w:val="32"/>
          <w:lang w:val="zh-CN"/>
        </w:rPr>
        <w:t>（二）投资业务分析</w:t>
      </w:r>
      <w:r>
        <w:rPr>
          <w:rFonts w:ascii="Times New Roman" w:hAnsi="Times New Roman" w:eastAsia="宋体" w:cs="Times New Roman"/>
          <w:b/>
          <w:bCs/>
          <w:szCs w:val="32"/>
          <w:lang w:val="zh-CN"/>
        </w:rPr>
        <w:t xml:space="preserve">                                                   </w:t>
      </w:r>
    </w:p>
    <w:p>
      <w:pPr>
        <w:rPr>
          <w:rFonts w:ascii="Calibri" w:hAnsi="Calibri" w:eastAsia="宋体" w:cs="Times New Roman"/>
          <w:b/>
          <w:color w:val="000000"/>
        </w:rPr>
      </w:pPr>
      <w:r>
        <w:rPr>
          <w:rFonts w:ascii="Calibri" w:hAnsi="Calibri" w:eastAsia="宋体" w:cs="Times New Roman"/>
          <w:b/>
          <w:color w:val="000000"/>
        </w:rPr>
        <w:t>1</w:t>
      </w:r>
      <w:r>
        <w:rPr>
          <w:rFonts w:hint="eastAsia" w:ascii="Calibri" w:hAnsi="Calibri" w:eastAsia="宋体" w:cs="Times New Roman"/>
          <w:b/>
          <w:color w:val="000000"/>
        </w:rPr>
        <w:t>、投资资产情况分析</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按投资对象分类</w:t>
      </w:r>
    </w:p>
    <w:p>
      <w:pPr>
        <w:jc w:val="right"/>
      </w:pPr>
      <w:r>
        <w:rPr>
          <w:rFonts w:hint="eastAsia"/>
        </w:rPr>
        <w:t>单位：元</w:t>
      </w:r>
    </w:p>
    <w:tbl>
      <w:tblPr>
        <w:tblStyle w:val="45"/>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227"/>
        <w:gridCol w:w="2168"/>
        <w:gridCol w:w="2552"/>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35" w:hRule="atLeast"/>
        </w:trPr>
        <w:tc>
          <w:tcPr>
            <w:tcW w:w="222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项目</w:t>
            </w:r>
          </w:p>
        </w:tc>
        <w:tc>
          <w:tcPr>
            <w:tcW w:w="216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本期期末</w:t>
            </w:r>
          </w:p>
        </w:tc>
        <w:tc>
          <w:tcPr>
            <w:tcW w:w="2552"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asciiTheme="minorEastAsia" w:hAnsiTheme="minorEastAsia"/>
                <w:b/>
                <w:color w:val="000000" w:themeColor="text1"/>
                <w:sz w:val="22"/>
                <w14:textFill>
                  <w14:solidFill>
                    <w14:schemeClr w14:val="tx1"/>
                  </w14:solidFill>
                </w14:textFill>
              </w:rPr>
              <w:t>上年期末</w:t>
            </w:r>
          </w:p>
        </w:tc>
        <w:tc>
          <w:tcPr>
            <w:tcW w:w="198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变动比例</w:t>
            </w:r>
            <w:r>
              <w:rPr>
                <w:rFonts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b/>
                <w:color w:val="000000" w:themeColor="text1"/>
                <w:sz w:val="22"/>
                <w14:textFill>
                  <w14:solidFill>
                    <w14:schemeClr w14:val="tx1"/>
                  </w14:solidFill>
                </w14:textFill>
              </w:rPr>
              <w:t>投资资产：</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现金及现金等价物</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定期存款</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债券</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基金</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股票</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基础设施投资</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sz w:val="22"/>
              </w:rPr>
            </w:pPr>
            <w:r>
              <w:rPr>
                <w:rFonts w:hint="eastAsia" w:asciiTheme="minorEastAsia" w:hAnsiTheme="minorEastAsia"/>
                <w:sz w:val="22"/>
              </w:rPr>
              <w:t>贷款</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sz w:val="22"/>
              </w:rPr>
              <w:t>其他</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b/>
                <w:color w:val="000000" w:themeColor="text1"/>
                <w:sz w:val="22"/>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自动添行）</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投资资产</w:t>
            </w:r>
            <w:r>
              <w:rPr>
                <w:rFonts w:asciiTheme="minorEastAsia" w:hAnsiTheme="minorEastAsia"/>
                <w:b/>
                <w:color w:val="000000" w:themeColor="text1"/>
                <w:sz w:val="22"/>
                <w14:textFill>
                  <w14:solidFill>
                    <w14:schemeClr w14:val="tx1"/>
                  </w14:solidFill>
                </w14:textFill>
              </w:rPr>
              <w:t>总计</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bl>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按持有目的分类</w:t>
      </w:r>
    </w:p>
    <w:p>
      <w:pPr>
        <w:jc w:val="right"/>
      </w:pPr>
      <w:r>
        <w:rPr>
          <w:rFonts w:hint="eastAsia"/>
        </w:rPr>
        <w:t>单位：元</w:t>
      </w:r>
    </w:p>
    <w:tbl>
      <w:tblPr>
        <w:tblStyle w:val="45"/>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227"/>
        <w:gridCol w:w="2168"/>
        <w:gridCol w:w="2552"/>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7" w:hRule="atLeast"/>
        </w:trPr>
        <w:tc>
          <w:tcPr>
            <w:tcW w:w="222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项目</w:t>
            </w:r>
          </w:p>
        </w:tc>
        <w:tc>
          <w:tcPr>
            <w:tcW w:w="216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本期期末</w:t>
            </w:r>
          </w:p>
        </w:tc>
        <w:tc>
          <w:tcPr>
            <w:tcW w:w="2552"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asciiTheme="minorEastAsia" w:hAnsiTheme="minorEastAsia"/>
                <w:b/>
                <w:color w:val="000000" w:themeColor="text1"/>
                <w:sz w:val="22"/>
                <w14:textFill>
                  <w14:solidFill>
                    <w14:schemeClr w14:val="tx1"/>
                  </w14:solidFill>
                </w14:textFill>
              </w:rPr>
              <w:t>上年期末</w:t>
            </w:r>
          </w:p>
        </w:tc>
        <w:tc>
          <w:tcPr>
            <w:tcW w:w="198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变动比例</w:t>
            </w:r>
            <w:r>
              <w:rPr>
                <w:rFonts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投资资产：</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以公允价值计量且其变动计入当期损益的金融资产</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持有至到期投资</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可供出售金融资产</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长期股权投资</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贷款</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其他</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自动添行）</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27" w:type="dxa"/>
          </w:tcPr>
          <w:p>
            <w:pPr>
              <w:tabs>
                <w:tab w:val="left" w:pos="5140"/>
              </w:tabs>
              <w:rPr>
                <w:rFonts w:asciiTheme="minorEastAsia" w:hAnsiTheme="minorEastAsia"/>
                <w:bCs/>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投资资产</w:t>
            </w:r>
            <w:r>
              <w:rPr>
                <w:rFonts w:asciiTheme="minorEastAsia" w:hAnsiTheme="minorEastAsia"/>
                <w:b/>
                <w:color w:val="000000" w:themeColor="text1"/>
                <w:sz w:val="22"/>
                <w14:textFill>
                  <w14:solidFill>
                    <w14:schemeClr w14:val="tx1"/>
                  </w14:solidFill>
                </w14:textFill>
              </w:rPr>
              <w:t>总计</w:t>
            </w:r>
          </w:p>
        </w:tc>
        <w:tc>
          <w:tcPr>
            <w:tcW w:w="2168" w:type="dxa"/>
          </w:tcPr>
          <w:p>
            <w:pPr>
              <w:tabs>
                <w:tab w:val="left" w:pos="5140"/>
              </w:tabs>
              <w:rPr>
                <w:rFonts w:asciiTheme="minorEastAsia" w:hAnsi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color w:val="000000" w:themeColor="text1"/>
                <w:sz w:val="22"/>
                <w14:textFill>
                  <w14:solidFill>
                    <w14:schemeClr w14:val="tx1"/>
                  </w14:solidFill>
                </w14:textFill>
              </w:rPr>
            </w:pPr>
          </w:p>
        </w:tc>
        <w:tc>
          <w:tcPr>
            <w:tcW w:w="1984" w:type="dxa"/>
          </w:tcPr>
          <w:p>
            <w:pPr>
              <w:tabs>
                <w:tab w:val="left" w:pos="5140"/>
              </w:tabs>
              <w:rPr>
                <w:rFonts w:asciiTheme="minorEastAsia" w:hAnsiTheme="minorEastAsia"/>
                <w:color w:val="000000" w:themeColor="text1"/>
                <w:sz w:val="22"/>
                <w14:textFill>
                  <w14:solidFill>
                    <w14:schemeClr w14:val="tx1"/>
                  </w14:solidFill>
                </w14:textFill>
              </w:rPr>
            </w:pPr>
          </w:p>
        </w:tc>
      </w:tr>
    </w:tbl>
    <w:p>
      <w:pPr>
        <w:rPr>
          <w:i/>
          <w:color w:val="FF0000"/>
        </w:rPr>
      </w:pPr>
      <w:r>
        <w:rPr>
          <w:rFonts w:hint="eastAsia"/>
          <w:i/>
          <w:color w:val="FF0000"/>
        </w:rPr>
        <w:t>注：保险公司应结合保险监管部门规定披露投资资产构成，并分析其变动情况及原因。</w:t>
      </w:r>
    </w:p>
    <w:p>
      <w:pPr>
        <w:tabs>
          <w:tab w:val="left" w:pos="5140"/>
        </w:tabs>
        <w:jc w:val="left"/>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投资资产重大变动原因</w:t>
      </w:r>
      <w:r>
        <w:rPr>
          <w:rFonts w:asciiTheme="minorEastAsia" w:hAnsiTheme="minorEastAsia"/>
          <w:b/>
          <w:color w:val="000000" w:themeColor="text1"/>
          <w:szCs w:val="44"/>
          <w14:textFill>
            <w14:solidFill>
              <w14:schemeClr w14:val="tx1"/>
            </w14:solidFill>
          </w14:textFill>
        </w:rPr>
        <w:t>：</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注：对与上一年度相比变动达到或超过</w:t>
            </w:r>
            <w:r>
              <w:rPr>
                <w:rFonts w:asciiTheme="minorEastAsia" w:hAnsiTheme="minorEastAsia"/>
                <w:i/>
                <w:color w:val="FF0000"/>
                <w:kern w:val="0"/>
                <w:sz w:val="20"/>
                <w:szCs w:val="44"/>
              </w:rPr>
              <w:t>30%的数据，应充分解释导致变动的原因。</w:t>
            </w:r>
          </w:p>
        </w:tc>
      </w:tr>
    </w:tbl>
    <w:p>
      <w:pPr>
        <w:rPr>
          <w:rFonts w:ascii="Calibri" w:hAnsi="Calibri" w:eastAsia="宋体" w:cs="Times New Roman"/>
          <w:b/>
          <w:color w:val="000000"/>
        </w:rPr>
      </w:pPr>
      <w:r>
        <w:rPr>
          <w:rFonts w:ascii="Calibri" w:hAnsi="Calibri" w:eastAsia="宋体" w:cs="Times New Roman"/>
          <w:b/>
          <w:color w:val="000000"/>
        </w:rPr>
        <w:t>2</w:t>
      </w:r>
      <w:r>
        <w:rPr>
          <w:rFonts w:hint="eastAsia" w:ascii="Calibri" w:hAnsi="Calibri" w:eastAsia="宋体" w:cs="Times New Roman"/>
          <w:b/>
          <w:color w:val="000000"/>
        </w:rPr>
        <w:t>、投资业务分析</w:t>
      </w:r>
    </w:p>
    <w:p>
      <w:pPr>
        <w:rPr>
          <w:rFonts w:asciiTheme="minorEastAsia" w:hAnsiTheme="minorEastAsia"/>
          <w:b/>
          <w:color w:val="000000" w:themeColor="text1"/>
          <w:szCs w:val="44"/>
          <w14:textFill>
            <w14:solidFill>
              <w14:schemeClr w14:val="tx1"/>
            </w14:solidFill>
          </w14:textFill>
        </w:rPr>
      </w:pPr>
      <w:r>
        <w:rPr>
          <w:rFonts w:hint="eastAsia"/>
          <w:b/>
          <w:color w:val="000000" w:themeColor="text1"/>
          <w14:textFill>
            <w14:solidFill>
              <w14:schemeClr w14:val="tx1"/>
            </w14:solidFill>
          </w14:textFill>
        </w:rPr>
        <w:t>按投资对象分类</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52"/>
        <w:gridCol w:w="1985"/>
        <w:gridCol w:w="2410"/>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198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本期收入金额</w:t>
            </w:r>
          </w:p>
        </w:tc>
        <w:tc>
          <w:tcPr>
            <w:tcW w:w="241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收入金额</w:t>
            </w:r>
          </w:p>
        </w:tc>
        <w:tc>
          <w:tcPr>
            <w:tcW w:w="1984"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（自动添行）</w:t>
            </w: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98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rPr>
          <w:rFonts w:asciiTheme="minorEastAsia" w:hAnsiTheme="minorEastAsia"/>
          <w:b/>
          <w:color w:val="000000" w:themeColor="text1"/>
          <w:szCs w:val="44"/>
          <w14:textFill>
            <w14:solidFill>
              <w14:schemeClr w14:val="tx1"/>
            </w14:solidFill>
          </w14:textFill>
        </w:rPr>
      </w:pPr>
      <w:r>
        <w:rPr>
          <w:rFonts w:hint="eastAsia"/>
          <w:b/>
          <w:color w:val="000000" w:themeColor="text1"/>
          <w14:textFill>
            <w14:solidFill>
              <w14:schemeClr w14:val="tx1"/>
            </w14:solidFill>
          </w14:textFill>
        </w:rPr>
        <w:t>按持有目的分类：</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52"/>
        <w:gridCol w:w="1985"/>
        <w:gridCol w:w="2410"/>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198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本期收入金额</w:t>
            </w:r>
          </w:p>
        </w:tc>
        <w:tc>
          <w:tcPr>
            <w:tcW w:w="241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收入金额</w:t>
            </w:r>
          </w:p>
        </w:tc>
        <w:tc>
          <w:tcPr>
            <w:tcW w:w="1984"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 xml:space="preserve">     （自动添行）</w:t>
            </w:r>
          </w:p>
        </w:tc>
        <w:tc>
          <w:tcPr>
            <w:tcW w:w="198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552"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98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2410"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投资业务重大变动原因：</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请根据投资对象和持有目的分类披露投资业务情况，对于上述分类列示项目的重大变动（达到或超过</w:t>
            </w:r>
            <w:r>
              <w:rPr>
                <w:rFonts w:asciiTheme="minorEastAsia" w:hAnsiTheme="minorEastAsia"/>
                <w:i/>
                <w:color w:val="FF0000"/>
                <w:kern w:val="0"/>
                <w:sz w:val="20"/>
                <w:szCs w:val="44"/>
              </w:rPr>
              <w:t>10%），应充分解释导致变动的原因。</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（三）再保险业务分析</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注：保险公司应按主要分保公司分类披露分出保费、分入保费</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手续费</w:t>
            </w:r>
            <w:r>
              <w:rPr>
                <w:rFonts w:asciiTheme="minorEastAsia" w:hAnsiTheme="minorEastAsia"/>
                <w:i/>
                <w:color w:val="FF0000"/>
                <w:kern w:val="0"/>
                <w:sz w:val="20"/>
                <w:szCs w:val="44"/>
              </w:rPr>
              <w:t>以及摊回</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赔款以及摊回</w:t>
            </w:r>
            <w:r>
              <w:rPr>
                <w:rFonts w:hint="eastAsia" w:asciiTheme="minorEastAsia" w:hAnsiTheme="minorEastAsia"/>
                <w:i/>
                <w:color w:val="FF0000"/>
                <w:kern w:val="0"/>
                <w:sz w:val="20"/>
                <w:szCs w:val="44"/>
              </w:rPr>
              <w:t>、分保准备金的计提情况，并披露尚处有效期的重大分保事项的有关情况。对存在超额赔款再保险等非比例再保险合同的，应单独披露。</w:t>
            </w:r>
          </w:p>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再保险公司还应按主要保险业务类别披露分保费收入、转分保分出保费。</w:t>
            </w:r>
          </w:p>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财产保险公司应披露报告期末承担重大保险责任的保单情况及其分保安排。</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五、偿付能力分析</w:t>
      </w:r>
    </w:p>
    <w:tbl>
      <w:tblPr>
        <w:tblStyle w:val="46"/>
        <w:tblW w:w="8931" w:type="dxa"/>
        <w:tblInd w:w="-28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3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保险公司应分析报告期期末偿付能力情况，包括但不限于下列内容：</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1、核心资本、实际资本、最低资本；</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2、核心偿付能力充足率；</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3、核心偿付能力溢额；</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4、综合偿付能力充足率；</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5、综合偿付能力溢额；</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6、最近一期的风险综合评级；</w:t>
            </w:r>
          </w:p>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最近一期风险综合评级结果为</w:t>
            </w:r>
            <w:r>
              <w:rPr>
                <w:rFonts w:asciiTheme="minorEastAsia" w:hAnsiTheme="minorEastAsia"/>
                <w:i/>
                <w:color w:val="FF0000"/>
                <w:kern w:val="0"/>
                <w:sz w:val="20"/>
                <w:szCs w:val="44"/>
              </w:rPr>
              <w:t>C类或D类的，应当披露公司的主要风险点以及报告期末相关监管部门正在采取的监管措施，公司已采取或者拟采取的改进措施。</w:t>
            </w:r>
          </w:p>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在《中国风险导向的偿付能力体系》（简称“偿二代”）实施之前，偿付能力信息应披露以下内容：</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1、公司的实际资本和最低资本；</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2、偿付能力溢额或者缺口；</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3、偿付能力充足率状况。</w:t>
            </w:r>
          </w:p>
          <w:p>
            <w:pPr>
              <w:tabs>
                <w:tab w:val="left" w:pos="5140"/>
              </w:tabs>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偿付能力额度和监管指标低于正常范围，保险监管部门提出过异议的，保险公司应予披露并做出相应说明，并披露改善措施。</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60"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七、公司面临的重大风险分析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i/>
                <w:color w:val="FF0000"/>
                <w:szCs w:val="44"/>
              </w:rPr>
            </w:pPr>
            <w:r>
              <w:rPr>
                <w:rFonts w:hint="eastAsia" w:ascii="宋体" w:hAnsi="宋体" w:eastAsia="宋体" w:cs="Times New Roman"/>
                <w:i/>
                <w:color w:val="FF0000"/>
                <w:szCs w:val="44"/>
              </w:rPr>
              <w:t>注3：公司应分类列示公司相关及行业相关风险，精准、清晰、充分、具体地披露风险信息。</w:t>
            </w:r>
          </w:p>
          <w:p>
            <w:pPr>
              <w:rPr>
                <w:rFonts w:ascii="宋体" w:hAnsi="宋体" w:eastAsia="宋体" w:cs="Times New Roman"/>
                <w:i/>
                <w:color w:val="FF0000"/>
                <w:szCs w:val="44"/>
              </w:rPr>
            </w:pPr>
          </w:p>
          <w:p>
            <w:pPr>
              <w:tabs>
                <w:tab w:val="left" w:pos="5140"/>
              </w:tabs>
              <w:rPr>
                <w:rFonts w:asciiTheme="minorEastAsia" w:hAnsiTheme="minorEastAsia"/>
                <w:i/>
                <w:color w:val="FF0000"/>
                <w:szCs w:val="44"/>
              </w:rPr>
            </w:pPr>
            <w:r>
              <w:rPr>
                <w:rFonts w:hint="eastAsia" w:asciiTheme="minorEastAsia" w:hAnsiTheme="minorEastAsia"/>
                <w:i/>
                <w:color w:val="FF0000"/>
                <w:szCs w:val="44"/>
              </w:rPr>
              <w:t>保险公司应充分揭示和披露与行业及业务特点相关的各种风险因素。包括但不限于：</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（一）固有</w:t>
            </w:r>
            <w:r>
              <w:rPr>
                <w:rFonts w:asciiTheme="minorEastAsia" w:hAnsiTheme="minorEastAsia"/>
                <w:i/>
                <w:color w:val="FF0000"/>
                <w:szCs w:val="44"/>
              </w:rPr>
              <w:t>风险，包括</w:t>
            </w:r>
            <w:r>
              <w:rPr>
                <w:rFonts w:hint="eastAsia" w:asciiTheme="minorEastAsia" w:hAnsiTheme="minorEastAsia"/>
                <w:i/>
                <w:color w:val="FF0000"/>
                <w:szCs w:val="44"/>
              </w:rPr>
              <w:t>保险风险、市场风险、信用风险、操作风险、</w:t>
            </w:r>
            <w:r>
              <w:rPr>
                <w:rFonts w:asciiTheme="minorEastAsia" w:hAnsiTheme="minorEastAsia"/>
                <w:i/>
                <w:color w:val="FF0000"/>
                <w:szCs w:val="44"/>
              </w:rPr>
              <w:t>战略风险</w:t>
            </w:r>
            <w:r>
              <w:rPr>
                <w:rFonts w:hint="eastAsia" w:asciiTheme="minorEastAsia" w:hAnsiTheme="minorEastAsia"/>
                <w:i/>
                <w:color w:val="FF0000"/>
                <w:szCs w:val="44"/>
              </w:rPr>
              <w:t>、</w:t>
            </w:r>
            <w:r>
              <w:rPr>
                <w:rFonts w:asciiTheme="minorEastAsia" w:hAnsiTheme="minorEastAsia"/>
                <w:i/>
                <w:color w:val="FF0000"/>
                <w:szCs w:val="44"/>
              </w:rPr>
              <w:t>声誉风险和流动性风险</w:t>
            </w:r>
            <w:r>
              <w:rPr>
                <w:rFonts w:hint="eastAsia" w:asciiTheme="minorEastAsia" w:hAnsiTheme="minorEastAsia"/>
                <w:i/>
                <w:color w:val="FF0000"/>
                <w:szCs w:val="44"/>
              </w:rPr>
              <w:t>；</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（二）控制风险，即</w:t>
            </w:r>
            <w:r>
              <w:rPr>
                <w:rFonts w:asciiTheme="minorEastAsia" w:hAnsiTheme="minorEastAsia"/>
                <w:i/>
                <w:color w:val="FF0000"/>
                <w:szCs w:val="44"/>
              </w:rPr>
              <w:t>因保险公司内部</w:t>
            </w:r>
            <w:r>
              <w:rPr>
                <w:rFonts w:hint="eastAsia" w:asciiTheme="minorEastAsia" w:hAnsiTheme="minorEastAsia"/>
                <w:i/>
                <w:color w:val="FF0000"/>
                <w:szCs w:val="44"/>
              </w:rPr>
              <w:t>管理</w:t>
            </w:r>
            <w:r>
              <w:rPr>
                <w:rFonts w:asciiTheme="minorEastAsia" w:hAnsiTheme="minorEastAsia"/>
                <w:i/>
                <w:color w:val="FF0000"/>
                <w:szCs w:val="44"/>
              </w:rPr>
              <w:t>和控制</w:t>
            </w:r>
            <w:r>
              <w:rPr>
                <w:rFonts w:hint="eastAsia" w:asciiTheme="minorEastAsia" w:hAnsiTheme="minorEastAsia"/>
                <w:i/>
                <w:color w:val="FF0000"/>
                <w:szCs w:val="44"/>
              </w:rPr>
              <w:t>不完善</w:t>
            </w:r>
            <w:r>
              <w:rPr>
                <w:rFonts w:asciiTheme="minorEastAsia" w:hAnsiTheme="minorEastAsia"/>
                <w:i/>
                <w:color w:val="FF0000"/>
                <w:szCs w:val="44"/>
              </w:rPr>
              <w:t>或无效</w:t>
            </w:r>
            <w:r>
              <w:rPr>
                <w:rFonts w:hint="eastAsia" w:asciiTheme="minorEastAsia" w:hAnsiTheme="minorEastAsia"/>
                <w:i/>
                <w:color w:val="FF0000"/>
                <w:szCs w:val="44"/>
              </w:rPr>
              <w:t>，</w:t>
            </w:r>
            <w:r>
              <w:rPr>
                <w:rFonts w:asciiTheme="minorEastAsia" w:hAnsiTheme="minorEastAsia"/>
                <w:i/>
                <w:color w:val="FF0000"/>
                <w:szCs w:val="44"/>
              </w:rPr>
              <w:t>导致固有风险未被及时识别</w:t>
            </w:r>
            <w:r>
              <w:rPr>
                <w:rFonts w:hint="eastAsia" w:asciiTheme="minorEastAsia" w:hAnsiTheme="minorEastAsia"/>
                <w:i/>
                <w:color w:val="FF0000"/>
                <w:szCs w:val="44"/>
              </w:rPr>
              <w:t>和</w:t>
            </w:r>
            <w:r>
              <w:rPr>
                <w:rFonts w:asciiTheme="minorEastAsia" w:hAnsiTheme="minorEastAsia"/>
                <w:i/>
                <w:color w:val="FF0000"/>
                <w:szCs w:val="44"/>
              </w:rPr>
              <w:t>控制的</w:t>
            </w:r>
            <w:r>
              <w:rPr>
                <w:rFonts w:hint="eastAsia" w:asciiTheme="minorEastAsia" w:hAnsiTheme="minorEastAsia"/>
                <w:i/>
                <w:color w:val="FF0000"/>
                <w:szCs w:val="44"/>
              </w:rPr>
              <w:t>偿付</w:t>
            </w:r>
            <w:r>
              <w:rPr>
                <w:rFonts w:asciiTheme="minorEastAsia" w:hAnsiTheme="minorEastAsia"/>
                <w:i/>
                <w:color w:val="FF0000"/>
                <w:szCs w:val="44"/>
              </w:rPr>
              <w:t>能力相关风险；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（三）保险公司确定保险产品的保险费率及计提各项准备金时采用的预定利率、预定赔付率、预定附加费率、预定投资回报率等假设可能导致的定价不充分、准备金计提不足等风险；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（四）保险欺诈风险，即投保人、被保险人、保险代理人、保险经纪人、保险公估人不遵循最大诚信原则，违反法定义务，向保险公司虚假陈述或隐瞒重要事实等的风险；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（五）投资风险，即保险公司投资组合面临的资产价值下降或未产生预期盈利的风险；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（六）资产与负债不匹配的风险，即保险公司资产与负债在结构上不相匹配，对偿付能力造成不利影响的风险；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（七）信息系统风险，即因信息系统不能正常运行、不完善等因素造成无法正常进行业务处理、数据丢失，而可能给公司造成的损失或对经营业绩产生的不利影响；</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（八）政策性风险，即因国家政策、法律法规变化而产生的风险，如因税收、政府监管等方面政策的变化而产生的风险；</w:t>
            </w:r>
          </w:p>
          <w:p>
            <w:pPr>
              <w:tabs>
                <w:tab w:val="left" w:pos="5140"/>
              </w:tabs>
              <w:rPr>
                <w:rFonts w:asciiTheme="minorEastAsia" w:hAnsiTheme="minorEastAsia"/>
                <w:i/>
                <w:color w:val="FF0000"/>
                <w:szCs w:val="44"/>
              </w:rPr>
            </w:pPr>
            <w:r>
              <w:rPr>
                <w:rFonts w:hint="eastAsia" w:asciiTheme="minorEastAsia" w:hAnsiTheme="minorEastAsia"/>
                <w:i/>
                <w:color w:val="FF0000"/>
                <w:szCs w:val="44"/>
              </w:rPr>
              <w:t>（九）巨灾风险，即因自然环境和气候的影响，导致保险公司超额赔付，从而对公司经营业绩造成不利影响的风险；</w:t>
            </w:r>
          </w:p>
          <w:p>
            <w:pPr>
              <w:rPr>
                <w:rFonts w:ascii="宋体" w:hAnsi="宋体" w:eastAsia="宋体" w:cs="Times New Roman"/>
                <w:color w:val="000000"/>
                <w:kern w:val="0"/>
                <w:sz w:val="22"/>
              </w:rPr>
            </w:pPr>
            <w:r>
              <w:rPr>
                <w:rFonts w:hint="eastAsia" w:asciiTheme="minorEastAsia" w:hAnsiTheme="minorEastAsia"/>
                <w:i/>
                <w:color w:val="FF0000"/>
                <w:szCs w:val="44"/>
              </w:rPr>
              <w:t>（十）其他风险，即在上述风险因素之外公司面临的风险。</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注：第二节第一到第七项披露的部分内容如与财务报表附注相同的，公司可以建立相关查询索引，避免重复。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23678"/>
      <w:bookmarkStart w:id="7" w:name="_Toc9124"/>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5807"/>
      <w:bookmarkStart w:id="9" w:name="_Toc21538"/>
      <w:r>
        <w:rPr>
          <w:rFonts w:hint="eastAsia" w:ascii="Calibri Light" w:hAnsi="Calibri Light" w:eastAsia="微软雅黑" w:cs="Times New Roman"/>
          <w:b/>
          <w:bCs/>
          <w:sz w:val="22"/>
          <w:szCs w:val="32"/>
        </w:rPr>
        <w:t>一、重大事件索引</w:t>
      </w:r>
      <w:bookmarkEnd w:id="8"/>
      <w:bookmarkEnd w:id="9"/>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3806"/>
      <w:bookmarkStart w:id="11"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10244"/>
      <w:bookmarkStart w:id="13"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14:textFill>
            <w14:solidFill>
              <w14:schemeClr w14:val="tx1"/>
            </w14:solidFill>
          </w14:textFill>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p>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tabs>
          <w:tab w:val="left" w:pos="5140"/>
        </w:tabs>
        <w:jc w:val="right"/>
        <w:rPr>
          <w:rFonts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购买原材料、燃料、动力,</w:t>
            </w:r>
            <w:r>
              <w:rPr>
                <w:rFonts w:ascii="宋体" w:hAnsi="宋体" w:eastAsia="宋体" w:cs="Times New Roman"/>
                <w:color w:val="000000"/>
                <w:sz w:val="22"/>
              </w:rPr>
              <w:t>接</w:t>
            </w:r>
            <w:r>
              <w:rPr>
                <w:rFonts w:hint="eastAsia" w:ascii="宋体" w:hAnsi="宋体" w:eastAsia="宋体" w:cs="Times New Roman"/>
                <w:color w:val="000000"/>
                <w:sz w:val="22"/>
              </w:rPr>
              <w:t>受</w:t>
            </w:r>
            <w:r>
              <w:rPr>
                <w:rFonts w:ascii="宋体" w:hAnsi="宋体" w:eastAsia="宋体" w:cs="Times New Roman"/>
                <w:color w:val="000000"/>
                <w:sz w:val="22"/>
              </w:rPr>
              <w:t>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销售产品</w:t>
            </w:r>
            <w:r>
              <w:rPr>
                <w:rFonts w:ascii="宋体" w:hAnsi="宋体" w:eastAsia="宋体" w:cs="Times New Roman"/>
                <w:color w:val="000000"/>
                <w:sz w:val="22"/>
              </w:rPr>
              <w:t>、商品</w:t>
            </w:r>
            <w:r>
              <w:rPr>
                <w:rFonts w:hint="eastAsia" w:ascii="宋体" w:hAnsi="宋体" w:eastAsia="宋体" w:cs="Times New Roman"/>
                <w:color w:val="000000"/>
                <w:sz w:val="22"/>
              </w:rPr>
              <w:t>，</w:t>
            </w:r>
            <w:r>
              <w:rPr>
                <w:rFonts w:ascii="宋体" w:hAnsi="宋体" w:eastAsia="宋体" w:cs="Times New Roman"/>
                <w:color w:val="000000"/>
                <w:sz w:val="22"/>
              </w:rPr>
              <w:t>提供劳务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公司章程中</w:t>
            </w:r>
            <w:r>
              <w:rPr>
                <w:rFonts w:ascii="宋体" w:hAnsi="宋体" w:eastAsia="宋体" w:cs="Times New Roman"/>
                <w:color w:val="000000"/>
                <w:sz w:val="22"/>
              </w:rPr>
              <w:t>约定适用于本公司的日常关联交易类型</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其他</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jc w:val="center"/>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jc w:val="center"/>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jc w:val="center"/>
              <w:rPr>
                <w:rFonts w:ascii="宋体" w:hAnsi="宋体" w:eastAsia="宋体" w:cs="Times New Roman"/>
                <w:color w:val="000000"/>
                <w:sz w:val="22"/>
              </w:rPr>
            </w:pPr>
          </w:p>
        </w:tc>
        <w:tc>
          <w:tcPr>
            <w:tcW w:w="854" w:type="pct"/>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jc w:val="center"/>
              <w:rPr>
                <w:rFonts w:ascii="宋体" w:hAnsi="宋体" w:eastAsia="宋体" w:cs="Times New Roman"/>
                <w:color w:val="000000"/>
                <w:kern w:val="0"/>
                <w:sz w:val="22"/>
              </w:rPr>
            </w:pPr>
          </w:p>
        </w:tc>
        <w:tc>
          <w:tcPr>
            <w:tcW w:w="958" w:type="pct"/>
            <w:vAlign w:val="center"/>
          </w:tcPr>
          <w:p>
            <w:pPr>
              <w:ind w:left="181" w:leftChars="86"/>
              <w:jc w:val="center"/>
              <w:rPr>
                <w:rFonts w:ascii="宋体" w:hAnsi="宋体" w:eastAsia="宋体" w:cs="Times New Roman"/>
                <w:color w:val="000000"/>
                <w:kern w:val="0"/>
                <w:sz w:val="22"/>
              </w:rPr>
            </w:pPr>
          </w:p>
        </w:tc>
        <w:tc>
          <w:tcPr>
            <w:tcW w:w="735" w:type="pct"/>
            <w:vAlign w:val="center"/>
          </w:tcPr>
          <w:p>
            <w:pPr>
              <w:ind w:left="181" w:leftChars="86"/>
              <w:jc w:val="center"/>
              <w:rPr>
                <w:rFonts w:ascii="宋体" w:hAnsi="宋体" w:eastAsia="宋体" w:cs="Times New Roman"/>
                <w:color w:val="000000"/>
                <w:kern w:val="0"/>
                <w:sz w:val="22"/>
              </w:rPr>
            </w:pPr>
          </w:p>
        </w:tc>
        <w:tc>
          <w:tcPr>
            <w:tcW w:w="808" w:type="pct"/>
            <w:vAlign w:val="center"/>
          </w:tcPr>
          <w:p>
            <w:pPr>
              <w:ind w:left="181" w:leftChars="86"/>
              <w:jc w:val="center"/>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31983"/>
      <w:bookmarkStart w:id="15" w:name="_Toc7804"/>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jc w:val="center"/>
              <w:rPr>
                <w:rFonts w:ascii="宋体" w:hAnsi="宋体" w:eastAsia="宋体" w:cs="Times New Roman"/>
                <w:color w:val="000000"/>
                <w:sz w:val="22"/>
              </w:rPr>
            </w:pPr>
          </w:p>
        </w:tc>
        <w:tc>
          <w:tcPr>
            <w:tcW w:w="1631" w:type="dxa"/>
            <w:vAlign w:val="center"/>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jc w:val="center"/>
              <w:rPr>
                <w:rFonts w:ascii="宋体" w:hAnsi="宋体" w:eastAsia="宋体" w:cs="Times New Roman"/>
                <w:color w:val="000000"/>
                <w:sz w:val="22"/>
              </w:rPr>
            </w:pPr>
          </w:p>
        </w:tc>
        <w:tc>
          <w:tcPr>
            <w:tcW w:w="1334" w:type="dxa"/>
            <w:vAlign w:val="center"/>
          </w:tcPr>
          <w:p>
            <w:pPr>
              <w:ind w:left="181" w:leftChars="86"/>
              <w:jc w:val="center"/>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27292"/>
      <w:bookmarkStart w:id="17" w:name="_Toc16352"/>
      <w:r>
        <w:rPr>
          <w:rFonts w:hint="eastAsia" w:ascii="Times New Roman" w:hAnsi="Times New Roman"/>
          <w:b/>
          <w:bCs/>
          <w:szCs w:val="32"/>
          <w:lang w:val="zh-CN"/>
        </w:rPr>
        <w:t>（十三）破产重整事项</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tabs>
          <w:tab w:val="left" w:pos="5140"/>
        </w:tabs>
        <w:jc w:val="center"/>
        <w:outlineLvl w:val="9"/>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32232"/>
      <w:bookmarkStart w:id="19"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20566"/>
      <w:bookmarkStart w:id="21"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16120"/>
      <w:bookmarkStart w:id="23"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rPr>
          <w:rFonts w:ascii="Calibri" w:hAnsi="Calibri" w:eastAsia="宋体" w:cs="Times New Roman"/>
          <w:b/>
          <w:szCs w:val="21"/>
        </w:rPr>
      </w:pPr>
      <w:r>
        <w:rPr>
          <w:rFonts w:hint="eastAsia" w:asciiTheme="minorEastAsia" w:hAnsiTheme="minorEastAsia"/>
          <w:b/>
          <w:color w:val="000000" w:themeColor="text1"/>
          <w:szCs w:val="44"/>
          <w14:textFill>
            <w14:solidFill>
              <w14:schemeClr w14:val="tx1"/>
            </w14:solidFill>
          </w14:textFill>
        </w:rPr>
        <w:t>普通股前十名股东情况说明</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适用</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Theme="minorEastAsia" w:hAnsiTheme="minorEastAsia"/>
                <w:i/>
                <w:color w:val="FF0000"/>
                <w:szCs w:val="44"/>
              </w:rPr>
              <w:t>如普通股前十名股东之间存在关联关系或属于《上市公司收购管理办法》规定的一致行动人，应当予以说明</w:t>
            </w:r>
            <w:r>
              <w:rPr>
                <w:rFonts w:hint="eastAsia" w:ascii="Calibri" w:hAnsi="Calibri" w:eastAsia="宋体" w:cs="Times New Roman"/>
                <w:i/>
                <w:color w:val="FF0000"/>
              </w:rPr>
              <w:t>。</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4" w:name="_Toc21810"/>
      <w:bookmarkStart w:id="25"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173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25205"/>
      <w:bookmarkStart w:id="27" w:name="_Toc18252"/>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20245"/>
      <w:bookmarkStart w:id="29" w:name="_Toc8802"/>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23805"/>
      <w:bookmarkStart w:id="31" w:name="_Toc4858"/>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4383"/>
      <w:bookmarkStart w:id="33" w:name="_Toc7866"/>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30085"/>
      <w:bookmarkStart w:id="35" w:name="_Toc8903"/>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债券</w:t>
            </w:r>
            <w:r>
              <w:rPr>
                <w:rFonts w:ascii="宋体" w:hAnsi="宋体" w:eastAsia="宋体" w:cs="Times New Roman"/>
                <w:b/>
                <w:color w:val="000000"/>
                <w:szCs w:val="21"/>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票面利率</w:t>
            </w:r>
            <w:r>
              <w:rPr>
                <w:rFonts w:hint="eastAsia" w:ascii="宋体" w:hAnsi="宋体" w:eastAsia="宋体" w:cs="Times New Roman"/>
                <w:b/>
                <w:color w:val="000000"/>
                <w:szCs w:val="21"/>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Cs w:val="21"/>
              </w:rPr>
            </w:pPr>
          </w:p>
        </w:tc>
        <w:tc>
          <w:tcPr>
            <w:tcW w:w="1010" w:type="dxa"/>
            <w:vMerge w:val="continue"/>
          </w:tcPr>
          <w:p>
            <w:pPr>
              <w:tabs>
                <w:tab w:val="left" w:pos="5140"/>
              </w:tabs>
              <w:rPr>
                <w:rFonts w:ascii="宋体" w:hAnsi="宋体" w:eastAsia="宋体" w:cs="Times New Roman"/>
                <w:color w:val="000000"/>
                <w:szCs w:val="21"/>
              </w:rPr>
            </w:pPr>
          </w:p>
        </w:tc>
        <w:tc>
          <w:tcPr>
            <w:tcW w:w="1485" w:type="dxa"/>
            <w:vMerge w:val="continue"/>
          </w:tcPr>
          <w:p>
            <w:pPr>
              <w:tabs>
                <w:tab w:val="left" w:pos="5140"/>
              </w:tabs>
              <w:rPr>
                <w:rFonts w:ascii="宋体" w:hAnsi="宋体" w:eastAsia="宋体" w:cs="Times New Roman"/>
                <w:color w:val="000000"/>
                <w:szCs w:val="21"/>
              </w:rPr>
            </w:pPr>
          </w:p>
        </w:tc>
        <w:tc>
          <w:tcPr>
            <w:tcW w:w="1545" w:type="dxa"/>
            <w:vMerge w:val="continue"/>
          </w:tcPr>
          <w:p>
            <w:pPr>
              <w:tabs>
                <w:tab w:val="left" w:pos="5140"/>
              </w:tabs>
              <w:rPr>
                <w:rFonts w:ascii="宋体" w:hAnsi="宋体" w:eastAsia="宋体" w:cs="Times New Roman"/>
                <w:color w:val="000000"/>
                <w:szCs w:val="21"/>
              </w:rPr>
            </w:pPr>
          </w:p>
        </w:tc>
        <w:tc>
          <w:tcPr>
            <w:tcW w:w="1206" w:type="dxa"/>
            <w:vMerge w:val="continue"/>
            <w:shd w:val="pct10" w:color="auto" w:fill="auto"/>
          </w:tcPr>
          <w:p>
            <w:pPr>
              <w:tabs>
                <w:tab w:val="left" w:pos="5140"/>
              </w:tabs>
              <w:rPr>
                <w:rFonts w:ascii="宋体" w:hAnsi="宋体" w:eastAsia="宋体" w:cs="Times New Roman"/>
                <w:color w:val="000000"/>
                <w:szCs w:val="21"/>
              </w:rPr>
            </w:pPr>
          </w:p>
        </w:tc>
        <w:tc>
          <w:tcPr>
            <w:tcW w:w="1276"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终止日期</w:t>
            </w:r>
          </w:p>
        </w:tc>
        <w:tc>
          <w:tcPr>
            <w:tcW w:w="850" w:type="dxa"/>
            <w:vMerge w:val="continue"/>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日历控件</w:t>
            </w:r>
          </w:p>
        </w:tc>
        <w:tc>
          <w:tcPr>
            <w:tcW w:w="1134"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w:t>
            </w:r>
            <w:r>
              <w:rPr>
                <w:rFonts w:ascii="宋体" w:hAnsi="宋体" w:eastAsia="宋体" w:cs="Times New Roman"/>
                <w:color w:val="FF0000"/>
                <w:sz w:val="22"/>
              </w:rPr>
              <w:t>控件</w:t>
            </w: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p>
        </w:tc>
        <w:tc>
          <w:tcPr>
            <w:tcW w:w="1134" w:type="dxa"/>
          </w:tcPr>
          <w:p>
            <w:pPr>
              <w:tabs>
                <w:tab w:val="left" w:pos="5140"/>
              </w:tabs>
              <w:rPr>
                <w:rFonts w:ascii="宋体" w:hAnsi="宋体" w:eastAsia="宋体" w:cs="Times New Roman"/>
                <w:color w:val="000000"/>
                <w:szCs w:val="21"/>
              </w:rPr>
            </w:pP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合计</w:t>
            </w:r>
          </w:p>
        </w:tc>
        <w:tc>
          <w:tcPr>
            <w:tcW w:w="101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485"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545" w:type="dxa"/>
          </w:tcPr>
          <w:p>
            <w:pPr>
              <w:tabs>
                <w:tab w:val="left" w:pos="5140"/>
              </w:tabs>
              <w:jc w:val="center"/>
              <w:rPr>
                <w:rFonts w:ascii="宋体" w:hAnsi="宋体" w:eastAsia="宋体" w:cs="Times New Roman"/>
                <w:b/>
                <w:color w:val="000000"/>
                <w:szCs w:val="21"/>
              </w:rPr>
            </w:pPr>
          </w:p>
        </w:tc>
        <w:tc>
          <w:tcPr>
            <w:tcW w:w="120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27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134"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85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18418"/>
      <w:bookmarkStart w:id="39"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7262"/>
      <w:bookmarkStart w:id="41" w:name="_Toc22605"/>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股东会</w:t>
            </w:r>
            <w:r>
              <w:rPr>
                <w:rFonts w:ascii="Times New Roman" w:hAnsi="Times New Roman"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p>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FF0000"/>
                <w:kern w:val="0"/>
                <w:sz w:val="22"/>
                <w:szCs w:val="20"/>
              </w:rPr>
              <w:t>日历控件</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（自行</w:t>
            </w:r>
            <w:r>
              <w:rPr>
                <w:rFonts w:ascii="Times New Roman" w:hAnsi="Times New Roman" w:eastAsia="宋体" w:cs="Times New Roman"/>
                <w:color w:val="000000"/>
                <w:kern w:val="0"/>
                <w:sz w:val="22"/>
                <w:szCs w:val="20"/>
              </w:rPr>
              <w:t>添行）</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合计</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bl>
    <w:p>
      <w:pPr>
        <w:tabs>
          <w:tab w:val="left" w:pos="5140"/>
        </w:tabs>
        <w:rPr>
          <w:rFonts w:ascii="Times New Roman" w:hAnsi="Times New Roman" w:eastAsia="宋体" w:cs="Times New Roman"/>
          <w:b/>
          <w:color w:val="000000"/>
          <w:szCs w:val="44"/>
        </w:rPr>
      </w:pPr>
      <w:r>
        <w:rPr>
          <w:rFonts w:hint="eastAsia" w:ascii="Times New Roman" w:hAnsi="Times New Roman" w:eastAsia="宋体" w:cs="Times New Roman"/>
          <w:b/>
          <w:color w:val="000000"/>
          <w:szCs w:val="44"/>
        </w:rPr>
        <w:t>利润分配与公积金转增股本的执行情况</w:t>
      </w:r>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Times New Roman" w:hAnsi="Times New Roman" w:eastAsia="宋体" w:cs="Times New Roman"/>
                <w:i/>
                <w:color w:val="FF0000"/>
                <w:szCs w:val="44"/>
              </w:rPr>
            </w:pPr>
            <w:r>
              <w:rPr>
                <w:rFonts w:ascii="Times New Roman" w:hAnsi="Times New Roman" w:eastAsia="宋体" w:cs="Times New Roman"/>
                <w:i/>
                <w:color w:val="FF0000"/>
                <w:szCs w:val="44"/>
              </w:rPr>
              <w:t>注</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披露</w:t>
            </w:r>
            <w:r>
              <w:rPr>
                <w:rFonts w:hint="eastAsia" w:ascii="Times New Roman" w:hAnsi="Times New Roman" w:eastAsia="宋体" w:cs="Times New Roman"/>
                <w:i/>
                <w:color w:val="FF0000"/>
                <w:szCs w:val="44"/>
              </w:rPr>
              <w:t>利润分配与公积金转增股本</w:t>
            </w:r>
            <w:r>
              <w:rPr>
                <w:rFonts w:ascii="Times New Roman" w:hAnsi="Times New Roman" w:eastAsia="宋体" w:cs="Times New Roman"/>
                <w:i/>
                <w:color w:val="FF0000"/>
                <w:szCs w:val="44"/>
              </w:rPr>
              <w:t>相关议案审议情况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执行情况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对于</w:t>
            </w:r>
            <w:r>
              <w:rPr>
                <w:rFonts w:hint="eastAsia" w:ascii="Times New Roman" w:hAnsi="Times New Roman"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4775"/>
      <w:bookmarkStart w:id="43" w:name="_Toc30584"/>
      <w:r>
        <w:rPr>
          <w:rFonts w:hint="eastAsia" w:ascii="Times New Roman" w:hAnsi="Times New Roman" w:eastAsia="宋体" w:cs="Times New Roman"/>
          <w:b/>
          <w:bCs/>
          <w:szCs w:val="32"/>
          <w:lang w:val="zh-CN"/>
        </w:rPr>
        <w:t>（二）权益分派预案</w:t>
      </w:r>
      <w:bookmarkEnd w:id="42"/>
      <w:bookmarkEnd w:id="43"/>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p>
      <w:pPr>
        <w:tabs>
          <w:tab w:val="left" w:pos="5140"/>
        </w:tabs>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单位：元或</w:t>
      </w:r>
      <w:r>
        <w:rPr>
          <w:rFonts w:ascii="Times New Roman" w:hAnsi="Times New Roman"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项目</w:t>
            </w:r>
          </w:p>
        </w:tc>
        <w:tc>
          <w:tcPr>
            <w:tcW w:w="2977"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268"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1770"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年度分配预案</w:t>
            </w:r>
          </w:p>
        </w:tc>
        <w:tc>
          <w:tcPr>
            <w:tcW w:w="2977" w:type="dxa"/>
          </w:tcPr>
          <w:p>
            <w:pPr>
              <w:tabs>
                <w:tab w:val="left" w:pos="5140"/>
              </w:tabs>
              <w:rPr>
                <w:rFonts w:ascii="Times New Roman" w:hAnsi="Times New Roman" w:eastAsia="宋体" w:cs="Times New Roman"/>
                <w:color w:val="000000"/>
                <w:kern w:val="0"/>
                <w:sz w:val="22"/>
                <w:szCs w:val="20"/>
              </w:rPr>
            </w:pPr>
          </w:p>
        </w:tc>
        <w:tc>
          <w:tcPr>
            <w:tcW w:w="2268" w:type="dxa"/>
          </w:tcPr>
          <w:p>
            <w:pPr>
              <w:tabs>
                <w:tab w:val="left" w:pos="5140"/>
              </w:tabs>
              <w:rPr>
                <w:rFonts w:ascii="Times New Roman" w:hAnsi="Times New Roman" w:eastAsia="宋体" w:cs="Times New Roman"/>
                <w:color w:val="000000"/>
                <w:kern w:val="0"/>
                <w:sz w:val="22"/>
                <w:szCs w:val="20"/>
              </w:rPr>
            </w:pPr>
          </w:p>
        </w:tc>
        <w:tc>
          <w:tcPr>
            <w:tcW w:w="1770" w:type="dxa"/>
          </w:tcPr>
          <w:p>
            <w:pPr>
              <w:tabs>
                <w:tab w:val="left" w:pos="5140"/>
              </w:tabs>
              <w:rPr>
                <w:rFonts w:ascii="Times New Roman" w:hAnsi="Times New Roman"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8141"/>
      <w:bookmarkStart w:id="45" w:name="_Toc22910"/>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D8D8D8" w:themeFill="background1" w:themeFillShade="D9"/>
            <w:vAlign w:val="center"/>
          </w:tcPr>
          <w:p>
            <w:pPr>
              <w:jc w:val="center"/>
              <w:rPr>
                <w:b/>
                <w:sz w:val="22"/>
              </w:rPr>
            </w:pPr>
            <w:r>
              <w:rPr>
                <w:rFonts w:hint="eastAsia"/>
                <w:b/>
                <w:sz w:val="22"/>
              </w:rPr>
              <w:t>姓名</w:t>
            </w:r>
          </w:p>
        </w:tc>
        <w:tc>
          <w:tcPr>
            <w:tcW w:w="729" w:type="pct"/>
            <w:shd w:val="clear" w:color="auto" w:fill="D8D8D8" w:themeFill="background1" w:themeFillShade="D9"/>
            <w:vAlign w:val="center"/>
          </w:tcPr>
          <w:p>
            <w:pPr>
              <w:jc w:val="center"/>
              <w:rPr>
                <w:b/>
                <w:sz w:val="22"/>
              </w:rPr>
            </w:pPr>
            <w:r>
              <w:rPr>
                <w:rFonts w:hint="eastAsia"/>
                <w:b/>
                <w:sz w:val="22"/>
              </w:rPr>
              <w:t>变动情况</w:t>
            </w:r>
          </w:p>
        </w:tc>
        <w:tc>
          <w:tcPr>
            <w:tcW w:w="441" w:type="pct"/>
            <w:shd w:val="clear" w:color="auto" w:fill="D8D8D8" w:themeFill="background1" w:themeFillShade="D9"/>
            <w:vAlign w:val="center"/>
          </w:tcPr>
          <w:p>
            <w:pPr>
              <w:jc w:val="center"/>
              <w:rPr>
                <w:b/>
                <w:sz w:val="22"/>
              </w:rPr>
            </w:pPr>
            <w:r>
              <w:rPr>
                <w:rFonts w:hint="eastAsia"/>
                <w:b/>
                <w:sz w:val="22"/>
              </w:rPr>
              <w:t>职务</w:t>
            </w:r>
          </w:p>
        </w:tc>
        <w:tc>
          <w:tcPr>
            <w:tcW w:w="1250" w:type="pct"/>
            <w:shd w:val="clear" w:color="auto" w:fill="D8D8D8" w:themeFill="background1" w:themeFillShade="D9"/>
            <w:vAlign w:val="center"/>
          </w:tcPr>
          <w:p>
            <w:pPr>
              <w:widowControl/>
              <w:jc w:val="center"/>
              <w:rPr>
                <w:b/>
                <w:sz w:val="22"/>
              </w:rPr>
            </w:pPr>
            <w:r>
              <w:rPr>
                <w:rFonts w:hint="eastAsia"/>
                <w:b/>
                <w:sz w:val="22"/>
              </w:rPr>
              <w:t>期初持普通股股数</w:t>
            </w:r>
          </w:p>
        </w:tc>
        <w:tc>
          <w:tcPr>
            <w:tcW w:w="809" w:type="pct"/>
            <w:shd w:val="clear" w:color="auto" w:fill="D8D8D8" w:themeFill="background1" w:themeFillShade="D9"/>
            <w:vAlign w:val="center"/>
          </w:tcPr>
          <w:p>
            <w:pPr>
              <w:widowControl/>
              <w:jc w:val="center"/>
              <w:rPr>
                <w:b/>
                <w:sz w:val="22"/>
              </w:rPr>
            </w:pPr>
            <w:r>
              <w:rPr>
                <w:rFonts w:hint="eastAsia"/>
                <w:b/>
                <w:sz w:val="22"/>
              </w:rPr>
              <w:t>持股</w:t>
            </w:r>
            <w:r>
              <w:rPr>
                <w:b/>
                <w:sz w:val="22"/>
              </w:rPr>
              <w:t>数量变动</w:t>
            </w:r>
          </w:p>
        </w:tc>
        <w:tc>
          <w:tcPr>
            <w:tcW w:w="1029" w:type="pct"/>
            <w:shd w:val="clear" w:color="auto" w:fill="D8D8D8" w:themeFill="background1" w:themeFillShade="D9"/>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28124"/>
      <w:bookmarkStart w:id="47" w:name="_Toc11304"/>
      <w:bookmarkStart w:id="48" w:name="_Toc9561"/>
      <w:bookmarkStart w:id="49" w:name="_Toc26572"/>
      <w:bookmarkStart w:id="50" w:name="_Toc3366"/>
      <w:bookmarkStart w:id="51"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2" w:name="_Toc1328"/>
      <w:bookmarkStart w:id="53" w:name="_Toc14513"/>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4118"/>
      <w:bookmarkStart w:id="55" w:name="_Toc1322"/>
      <w:r>
        <w:rPr>
          <w:rFonts w:hint="eastAsia" w:ascii="Times New Roman" w:hAnsi="Times New Roman" w:eastAsia="宋体" w:cs="Times New Roman"/>
          <w:b/>
          <w:bCs/>
          <w:szCs w:val="32"/>
          <w:lang w:val="zh-CN"/>
        </w:rPr>
        <w:t>（二）</w:t>
      </w:r>
      <w:bookmarkStart w:id="56" w:name="_Toc32612"/>
      <w:bookmarkStart w:id="57"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12351"/>
      <w:bookmarkStart w:id="59"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26971"/>
      <w:bookmarkStart w:id="61"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4970"/>
      <w:bookmarkStart w:id="63"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835"/>
        <w:gridCol w:w="1807"/>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805"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805"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宋体" w:hAnsi="宋体" w:eastAsia="宋体" w:cs="Times New Roman"/>
                <w:color w:val="FF0000"/>
                <w:kern w:val="0"/>
                <w:sz w:val="22"/>
                <w:szCs w:val="20"/>
              </w:rPr>
              <w:t>无保留意见、保留意见、否定意见、无法表示意见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805"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805"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805"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805"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805"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835"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807"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835" w:type="dxa"/>
            <w:vMerge w:val="continue"/>
          </w:tcPr>
          <w:p>
            <w:pPr>
              <w:tabs>
                <w:tab w:val="left" w:pos="5140"/>
              </w:tabs>
              <w:rPr>
                <w:rFonts w:ascii="Calibri" w:hAnsi="Calibri" w:eastAsia="宋体" w:cs="Times New Roman"/>
                <w:kern w:val="0"/>
                <w:sz w:val="20"/>
                <w:szCs w:val="20"/>
              </w:rPr>
            </w:pPr>
          </w:p>
        </w:tc>
        <w:tc>
          <w:tcPr>
            <w:tcW w:w="1807"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805"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805"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835"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805"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13862"/>
      <w:bookmarkStart w:id="65" w:name="_Toc29146"/>
      <w:bookmarkStart w:id="66" w:name="_Toc247371786"/>
      <w:bookmarkStart w:id="67" w:name="_Toc241636382"/>
      <w:bookmarkStart w:id="68" w:name="_Toc247094011"/>
      <w:bookmarkStart w:id="69" w:name="_Toc36915947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keepNext/>
        <w:keepLines/>
        <w:spacing w:before="100" w:after="100"/>
        <w:outlineLvl w:val="2"/>
        <w:rPr>
          <w:rFonts w:ascii="Times New Roman" w:hAnsi="Times New Roman" w:eastAsia="宋体" w:cs="Times New Roman"/>
          <w:b/>
          <w:bCs/>
          <w:szCs w:val="32"/>
          <w:lang w:val="zh-CN"/>
        </w:rPr>
      </w:pPr>
      <w:bookmarkStart w:id="70" w:name="_Toc27363"/>
      <w:bookmarkStart w:id="71" w:name="_Toc8339"/>
      <w:r>
        <w:rPr>
          <w:rFonts w:hint="eastAsia" w:ascii="Times New Roman" w:hAnsi="Times New Roman" w:eastAsia="宋体" w:cs="Times New Roman"/>
          <w:b/>
          <w:bCs/>
          <w:szCs w:val="32"/>
          <w:lang w:val="zh-CN"/>
        </w:rPr>
        <w:t>（一）合并资产负债表</w:t>
      </w:r>
      <w:bookmarkEnd w:id="70"/>
      <w:bookmarkEnd w:id="71"/>
    </w:p>
    <w:p>
      <w:pPr>
        <w:ind w:left="6300" w:firstLine="420"/>
        <w:jc w:val="right"/>
        <w:rPr>
          <w:rFonts w:ascii="Times New Roman" w:hAnsi="Times New Roman" w:eastAsia="宋体" w:cs="Times New Roman"/>
        </w:rPr>
      </w:pPr>
      <w:r>
        <w:rPr>
          <w:rFonts w:hint="eastAsia" w:ascii="Times New Roman" w:hAnsi="Times New Roman"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2"/>
        <w:gridCol w:w="23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项目</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附注</w:t>
            </w:r>
          </w:p>
        </w:tc>
        <w:tc>
          <w:tcPr>
            <w:tcW w:w="1323"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2024年12月31日</w:t>
            </w:r>
          </w:p>
        </w:tc>
        <w:tc>
          <w:tcPr>
            <w:tcW w:w="1177"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r>
              <w:rPr>
                <w:rFonts w:ascii="Times New Roman" w:hAnsi="Times New Roman" w:eastAsia="宋体" w:cs="Times New Roman"/>
                <w:b/>
                <w:sz w:val="18"/>
                <w:szCs w:val="18"/>
              </w:rPr>
              <w:t>12</w:t>
            </w:r>
            <w:r>
              <w:rPr>
                <w:rFonts w:hint="eastAsia" w:ascii="Times New Roman" w:hAnsi="Times New Roman" w:eastAsia="宋体" w:cs="Times New Roman"/>
                <w:b/>
                <w:sz w:val="18"/>
                <w:szCs w:val="18"/>
              </w:rPr>
              <w:t>月3</w:t>
            </w:r>
            <w:r>
              <w:rPr>
                <w:rFonts w:ascii="Times New Roman" w:hAnsi="Times New Roman" w:eastAsia="宋体" w:cs="Times New Roman"/>
                <w:b/>
                <w:sz w:val="18"/>
                <w:szCs w:val="18"/>
              </w:rPr>
              <w:t>1</w:t>
            </w:r>
            <w:r>
              <w:rPr>
                <w:rFonts w:hint="eastAsia" w:ascii="Times New Roman" w:hAnsi="Times New Roman" w:eastAsia="宋体" w:cs="Times New Roman"/>
                <w:b/>
                <w:sz w:val="18"/>
                <w:szCs w:val="18"/>
              </w:rPr>
              <w:t>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货币资金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以公允价值计量</w:t>
            </w:r>
            <w:r>
              <w:rPr>
                <w:rFonts w:ascii="Times New Roman" w:hAnsi="Times New Roman" w:eastAsia="宋体" w:cs="Times New Roman"/>
                <w:sz w:val="18"/>
                <w:szCs w:val="18"/>
              </w:rPr>
              <w:t>且其变动计入当期损益的金融资产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衍生金融资产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买入返售金融资产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应收证券清算款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应收利息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应收代位追偿款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应收分保账款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预付手续费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应收分保未到期责任准备金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应收分保未决赔款准备金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应收分保寿险责任准备金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应收分保长期健康险责任准备金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保户质押贷款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债权计划投资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定期存款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存出保证金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代付赔款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其他应收款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预付赔款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sz w:val="18"/>
                <w:szCs w:val="18"/>
              </w:rPr>
              <w:t>其中：</w:t>
            </w:r>
            <w:r>
              <w:rPr>
                <w:rFonts w:ascii="Times New Roman" w:hAnsi="Times New Roman"/>
                <w:sz w:val="18"/>
                <w:szCs w:val="18"/>
              </w:rPr>
              <w:t>数据资源</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可供出售金融资产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持有待售资产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持有至到期投资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归入贷款及应收款的投资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长期股权投资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存出资本保证金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投资性房地产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固定资产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在建工程</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无形资产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sz w:val="18"/>
                <w:szCs w:val="18"/>
              </w:rPr>
              <w:t>其中：</w:t>
            </w:r>
            <w:r>
              <w:rPr>
                <w:rFonts w:ascii="Times New Roman" w:hAnsi="Times New Roman"/>
                <w:sz w:val="18"/>
                <w:szCs w:val="18"/>
              </w:rPr>
              <w:t>数据资源</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商誉</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长期待摊费用</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损余物资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独立账户资产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递延所得税资产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资产总计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短期借款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以公允价值计量</w:t>
            </w:r>
            <w:r>
              <w:rPr>
                <w:rFonts w:ascii="Times New Roman" w:hAnsi="Times New Roman" w:eastAsia="宋体" w:cs="Times New Roman"/>
                <w:sz w:val="18"/>
                <w:szCs w:val="18"/>
              </w:rPr>
              <w:t>且其变动计入当期损益的金融负债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衍生金融负债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卖出回购金融资产款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预收保费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应付手续费及佣金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应付利息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应付分保账款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存入保证金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应付职工薪酬</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应交税费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应付股利</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应付证券清算款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应付赔付款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应付保单红利</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保户储金及投资款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其他应付款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未到期责任准备金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未决赔款准备金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寿险责任准备金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长期健康险责任准备金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保费</w:t>
            </w:r>
            <w:r>
              <w:rPr>
                <w:rFonts w:ascii="Times New Roman" w:hAnsi="Times New Roman" w:eastAsia="宋体" w:cs="Times New Roman"/>
                <w:sz w:val="18"/>
                <w:szCs w:val="18"/>
              </w:rPr>
              <w:t>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长期借款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持有待售负债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应付债券</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保险保障基金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独立账户负债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递延所得税负债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负债合计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所有者权益：</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股本</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其他权益工具</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其中：优先股</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永续债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资本公积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减：库存股</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其他综合收益</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专项储备</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盈余公积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一般风险准备</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未分配利润</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归属于母公司所有者权益合计</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少数股东权益</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所有者权益合计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负债和所有者权益总计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3"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7"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bl>
    <w:p>
      <w:pPr>
        <w:rPr>
          <w:rFonts w:ascii="Times New Roman" w:hAnsi="Times New Roman" w:eastAsia="黑体" w:cs="Times New Roman"/>
          <w:b/>
          <w:bCs/>
          <w:sz w:val="22"/>
          <w:lang w:val="zh-CN"/>
        </w:rPr>
      </w:pPr>
      <w:r>
        <w:rPr>
          <w:rFonts w:hint="eastAsia" w:ascii="Times New Roman" w:hAnsi="Times New Roman" w:eastAsia="宋体" w:cs="Times New Roman"/>
          <w:sz w:val="18"/>
          <w:szCs w:val="18"/>
        </w:rPr>
        <w:t>法定代表人：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主管会计工作负责人：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会计机构负责人：</w:t>
      </w:r>
      <w:r>
        <w:rPr>
          <w:rFonts w:ascii="Times New Roman" w:hAnsi="Times New Roman" w:eastAsia="宋体" w:cs="Times New Roman"/>
          <w:sz w:val="18"/>
          <w:szCs w:val="18"/>
        </w:rPr>
        <w:t>_____________</w:t>
      </w:r>
    </w:p>
    <w:p>
      <w:pPr>
        <w:keepNext/>
        <w:keepLines/>
        <w:spacing w:before="100" w:after="100"/>
        <w:outlineLvl w:val="2"/>
        <w:rPr>
          <w:rFonts w:ascii="Times New Roman" w:hAnsi="Times New Roman" w:eastAsia="宋体" w:cs="Times New Roman"/>
          <w:b/>
          <w:color w:val="000000"/>
          <w:szCs w:val="44"/>
        </w:rPr>
      </w:pPr>
      <w:bookmarkStart w:id="72" w:name="_Toc6348"/>
      <w:bookmarkStart w:id="73" w:name="_Toc20412"/>
      <w:r>
        <w:rPr>
          <w:rFonts w:hint="eastAsia" w:ascii="Times New Roman" w:hAnsi="Times New Roman" w:eastAsia="宋体" w:cs="Times New Roman"/>
          <w:b/>
          <w:bCs/>
          <w:szCs w:val="32"/>
          <w:lang w:val="zh-CN"/>
        </w:rPr>
        <w:t>（二）母公司资产负债表</w:t>
      </w:r>
      <w:bookmarkEnd w:id="72"/>
      <w:bookmarkEnd w:id="73"/>
      <w:r>
        <w:rPr>
          <w:rFonts w:ascii="Times New Roman" w:hAnsi="Times New Roman" w:eastAsia="宋体" w:cs="Times New Roman"/>
          <w:b/>
          <w:bCs/>
          <w:szCs w:val="32"/>
          <w:lang w:val="zh-CN"/>
        </w:rPr>
        <w:t xml:space="preserve"> </w:t>
      </w:r>
    </w:p>
    <w:p>
      <w:pPr>
        <w:ind w:left="6300" w:firstLine="420"/>
        <w:jc w:val="right"/>
        <w:rPr>
          <w:rFonts w:ascii="Times New Roman" w:hAnsi="Times New Roman" w:eastAsia="宋体" w:cs="Times New Roman"/>
        </w:rPr>
      </w:pPr>
      <w:r>
        <w:rPr>
          <w:rFonts w:hint="eastAsia" w:ascii="Times New Roman" w:hAnsi="Times New Roman"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5"/>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项目</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附注</w:t>
            </w:r>
          </w:p>
        </w:tc>
        <w:tc>
          <w:tcPr>
            <w:tcW w:w="132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w:t>
            </w:r>
            <w:r>
              <w:rPr>
                <w:rFonts w:hint="eastAsia" w:ascii="Times New Roman" w:hAnsi="Times New Roman" w:eastAsia="宋体" w:cs="Times New Roman"/>
                <w:b/>
                <w:sz w:val="18"/>
                <w:szCs w:val="18"/>
              </w:rPr>
              <w:t>月3</w:t>
            </w:r>
            <w:r>
              <w:rPr>
                <w:rFonts w:ascii="Times New Roman" w:hAnsi="Times New Roman" w:eastAsia="宋体" w:cs="Times New Roman"/>
                <w:b/>
                <w:sz w:val="18"/>
                <w:szCs w:val="18"/>
              </w:rPr>
              <w:t>1</w:t>
            </w:r>
            <w:r>
              <w:rPr>
                <w:rFonts w:hint="eastAsia" w:ascii="Times New Roman" w:hAnsi="Times New Roman" w:eastAsia="宋体" w:cs="Times New Roman"/>
                <w:b/>
                <w:sz w:val="18"/>
                <w:szCs w:val="18"/>
              </w:rPr>
              <w:t>日</w:t>
            </w:r>
          </w:p>
        </w:tc>
        <w:tc>
          <w:tcPr>
            <w:tcW w:w="117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r>
              <w:rPr>
                <w:rFonts w:ascii="Times New Roman" w:hAnsi="Times New Roman" w:eastAsia="宋体" w:cs="Times New Roman"/>
                <w:b/>
                <w:sz w:val="18"/>
                <w:szCs w:val="18"/>
              </w:rPr>
              <w:t>12</w:t>
            </w:r>
            <w:r>
              <w:rPr>
                <w:rFonts w:hint="eastAsia" w:ascii="Times New Roman" w:hAnsi="Times New Roman" w:eastAsia="宋体" w:cs="Times New Roman"/>
                <w:b/>
                <w:sz w:val="18"/>
                <w:szCs w:val="18"/>
              </w:rPr>
              <w:t>月3</w:t>
            </w:r>
            <w:r>
              <w:rPr>
                <w:rFonts w:ascii="Times New Roman" w:hAnsi="Times New Roman" w:eastAsia="宋体" w:cs="Times New Roman"/>
                <w:b/>
                <w:sz w:val="18"/>
                <w:szCs w:val="18"/>
              </w:rPr>
              <w:t>1</w:t>
            </w:r>
            <w:r>
              <w:rPr>
                <w:rFonts w:hint="eastAsia" w:ascii="Times New Roman" w:hAnsi="Times New Roman" w:eastAsia="宋体" w:cs="Times New Roman"/>
                <w:b/>
                <w:sz w:val="18"/>
                <w:szCs w:val="18"/>
              </w:rPr>
              <w:t>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货币资金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以公允价值计量</w:t>
            </w:r>
            <w:r>
              <w:rPr>
                <w:rFonts w:ascii="Times New Roman" w:hAnsi="Times New Roman" w:eastAsia="宋体" w:cs="Times New Roman"/>
                <w:sz w:val="18"/>
                <w:szCs w:val="18"/>
              </w:rPr>
              <w:t>且其变动计入当期损益的金融资产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衍生金融资产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买入返售金融资产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应收证券清算款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应收利息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应收代位追偿款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应收分保账款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预付手续费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应收分保未到期责任准备金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应收分保未决赔款准备金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应收分保寿险责任准备金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应收分保长期健康险责任准备金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保户质押贷款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债权计划投资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定期存款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存出保证金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代付赔款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其他应收款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预付赔款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sz w:val="18"/>
                <w:szCs w:val="18"/>
              </w:rPr>
              <w:t>其中：</w:t>
            </w:r>
            <w:r>
              <w:rPr>
                <w:rFonts w:ascii="Times New Roman" w:hAnsi="Times New Roman"/>
                <w:sz w:val="18"/>
                <w:szCs w:val="18"/>
              </w:rPr>
              <w:t>数据资源</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可供出售金融资产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持有待售资产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持有至到期投资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归入贷款及应收款的投资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长期股权投资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存出资本保证金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投资性房地产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固定资产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在建工程</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无形资产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sz w:val="18"/>
                <w:szCs w:val="18"/>
              </w:rPr>
              <w:t>其中：</w:t>
            </w:r>
            <w:r>
              <w:rPr>
                <w:rFonts w:ascii="Times New Roman" w:hAnsi="Times New Roman"/>
                <w:sz w:val="18"/>
                <w:szCs w:val="18"/>
              </w:rPr>
              <w:t>数据资源</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长期待摊费用</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损余物资</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独立账户资产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递延所得税资产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其他资产</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资产总计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短期借款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以公允价值计量</w:t>
            </w:r>
            <w:r>
              <w:rPr>
                <w:rFonts w:ascii="Times New Roman" w:hAnsi="Times New Roman" w:eastAsia="宋体" w:cs="Times New Roman"/>
                <w:sz w:val="18"/>
                <w:szCs w:val="18"/>
              </w:rPr>
              <w:t>且其变动计入当期损益的金融负债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衍生金融负债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卖出回购金融资产款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预收保费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应付手续费及佣金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应付保费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应付利息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应付分保账款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存入保证金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应付职工薪酬</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应交税费</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应付股利</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应付证券清算款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应付赔付款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应付保单红利</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保户储金及投资款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其他应付款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未到期责任准备金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未决赔款准备金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寿险责任准备金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长期健康险责任准备金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保费</w:t>
            </w:r>
            <w:r>
              <w:rPr>
                <w:rFonts w:ascii="Times New Roman" w:hAnsi="Times New Roman" w:eastAsia="宋体" w:cs="Times New Roman"/>
                <w:sz w:val="18"/>
                <w:szCs w:val="18"/>
              </w:rPr>
              <w:t>准备金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长期借款</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持有待售负债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应付债券</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保险保障基金</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独立账户负债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递延所得税负债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其他负债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负债合计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所有者权益：</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股本</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其他权益工具</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其中：优先股</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永续债</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资本公积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减：库存股</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其他综合收益</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专项储备</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盈余公积</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一般风险准备</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未分配利润</w:t>
            </w:r>
          </w:p>
        </w:tc>
        <w:tc>
          <w:tcPr>
            <w:tcW w:w="95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所有者权益合计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负债和所有者权益总计</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32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p>
        </w:tc>
      </w:tr>
    </w:tbl>
    <w:p>
      <w:pPr>
        <w:rPr>
          <w:rFonts w:ascii="Times New Roman" w:hAnsi="Times New Roman" w:eastAsia="黑体" w:cs="Times New Roman"/>
          <w:b/>
          <w:bCs/>
          <w:sz w:val="22"/>
          <w:lang w:val="zh-CN"/>
        </w:rPr>
      </w:pPr>
      <w:bookmarkStart w:id="74" w:name="_Toc16179"/>
      <w:bookmarkStart w:id="75" w:name="_Toc29470"/>
      <w:r>
        <w:rPr>
          <w:rFonts w:hint="eastAsia" w:ascii="Times New Roman" w:hAnsi="Times New Roman" w:eastAsia="宋体" w:cs="Times New Roman"/>
          <w:sz w:val="18"/>
          <w:szCs w:val="18"/>
        </w:rPr>
        <w:t>法定代表人：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主管会计工作负责人：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会计机构负责人：</w:t>
      </w:r>
      <w:r>
        <w:rPr>
          <w:rFonts w:ascii="Times New Roman" w:hAnsi="Times New Roman"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（三）合并利润表</w:t>
      </w:r>
      <w:bookmarkEnd w:id="74"/>
      <w:bookmarkEnd w:id="75"/>
      <w:r>
        <w:rPr>
          <w:rFonts w:ascii="Times New Roman" w:hAnsi="Times New Roman" w:eastAsia="宋体" w:cs="Times New Roman"/>
          <w:b/>
          <w:bCs/>
          <w:szCs w:val="32"/>
          <w:lang w:val="zh-CN"/>
        </w:rPr>
        <w:t xml:space="preserve"> </w:t>
      </w:r>
    </w:p>
    <w:p>
      <w:pPr>
        <w:ind w:left="6300" w:firstLine="420"/>
        <w:jc w:val="right"/>
        <w:rPr>
          <w:rFonts w:ascii="Times New Roman" w:hAnsi="Times New Roman" w:eastAsia="宋体" w:cs="Times New Roman"/>
        </w:rPr>
      </w:pPr>
      <w:r>
        <w:rPr>
          <w:rFonts w:hint="eastAsia" w:ascii="Times New Roman" w:hAnsi="Times New Roman"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60"/>
        <w:gridCol w:w="1279"/>
        <w:gridCol w:w="2042"/>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项目</w:t>
            </w:r>
          </w:p>
        </w:tc>
        <w:tc>
          <w:tcPr>
            <w:tcW w:w="645"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附注</w:t>
            </w:r>
          </w:p>
        </w:tc>
        <w:tc>
          <w:tcPr>
            <w:tcW w:w="1030"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1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一、营业收入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利息收入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已赚保费</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ind w:firstLine="180" w:firstLineChars="1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保险业务收入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ind w:firstLine="180" w:firstLineChars="1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其中：分保费收入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减：分出保费</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提取未到期责任准备金</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手续费及佣金收入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投资收益( 损失以“-” 号填列)  </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其中：对联营企业和合营企业的投资收益( 损失以“-” 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公允价值变动收益(损失以“-” 号填列)  </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汇兑收益( 损失以“-” 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其他业务收入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资产处置收益（损失以“-”号填列）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二、营业成本</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利息支出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退保金</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赔付支出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减：摊回赔付支出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提取保险责任准备金</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减：摊回保险责任准备金</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提取保费准备金</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保单红利支出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分保费用</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税金及附加</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手续费及佣金支出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业务及管理费</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减：摊回分保费用</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其他业务成本</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资产减值损失</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三、营业利润（亏损以“－”号填列）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加：营业外收入</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减：营业外支出</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四、利润总额（亏损总额以“－”号填列）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减：所得税费用</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五、净利润（净亏损以“－”号填列）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其中：被合并方在合并前实现的净利润</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（一）按</w:t>
            </w:r>
            <w:r>
              <w:rPr>
                <w:rFonts w:ascii="Times New Roman" w:hAnsi="Times New Roman" w:eastAsia="宋体" w:cs="Times New Roman"/>
                <w:sz w:val="18"/>
                <w:szCs w:val="18"/>
              </w:rPr>
              <w:t>经营持续性分类：</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1.持续</w:t>
            </w:r>
            <w:r>
              <w:rPr>
                <w:rFonts w:ascii="Times New Roman" w:hAnsi="Times New Roman" w:eastAsia="宋体" w:cs="Times New Roman"/>
                <w:sz w:val="18"/>
                <w:szCs w:val="18"/>
              </w:rPr>
              <w:t>经营净利润</w:t>
            </w:r>
            <w:r>
              <w:rPr>
                <w:rFonts w:hint="eastAsia" w:ascii="Times New Roman" w:hAnsi="Times New Roman" w:eastAsia="宋体" w:cs="Times New Roman"/>
                <w:sz w:val="18"/>
                <w:szCs w:val="18"/>
              </w:rPr>
              <w:t>（净亏损以“－”号填列）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2.终止经营</w:t>
            </w:r>
            <w:r>
              <w:rPr>
                <w:rFonts w:ascii="Times New Roman" w:hAnsi="Times New Roman" w:eastAsia="宋体" w:cs="Times New Roman"/>
                <w:sz w:val="18"/>
                <w:szCs w:val="18"/>
              </w:rPr>
              <w:t>净利润</w:t>
            </w:r>
            <w:r>
              <w:rPr>
                <w:rFonts w:hint="eastAsia" w:ascii="Times New Roman" w:hAnsi="Times New Roman" w:eastAsia="宋体" w:cs="Times New Roman"/>
                <w:sz w:val="18"/>
                <w:szCs w:val="18"/>
              </w:rPr>
              <w:t>（净亏损以“－”号填列）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（二）按</w:t>
            </w:r>
            <w:r>
              <w:rPr>
                <w:rFonts w:ascii="Times New Roman" w:hAnsi="Times New Roman" w:eastAsia="宋体" w:cs="Times New Roman"/>
                <w:sz w:val="18"/>
                <w:szCs w:val="18"/>
              </w:rPr>
              <w:t>所有权归属分类</w:t>
            </w:r>
            <w:r>
              <w:rPr>
                <w:rFonts w:hint="eastAsia" w:ascii="Times New Roman" w:hAnsi="Times New Roman" w:eastAsia="宋体" w:cs="Times New Roman"/>
                <w:sz w:val="18"/>
                <w:szCs w:val="18"/>
              </w:rPr>
              <w:t>：</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1.少数股东损益（净亏损以“－”号填列）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2.归属于母公司所有者的净利润（净亏损以“－”号填列）</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六、其他综合收益的</w:t>
            </w:r>
            <w:r>
              <w:rPr>
                <w:rFonts w:ascii="Times New Roman" w:hAnsi="Times New Roman" w:eastAsia="宋体" w:cs="Times New Roman"/>
                <w:b/>
                <w:sz w:val="18"/>
                <w:szCs w:val="18"/>
              </w:rPr>
              <w:t>税后净额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(一)归属母公司所有者的其他综合收益的税后净额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不能</w:t>
            </w:r>
            <w:r>
              <w:rPr>
                <w:rFonts w:ascii="Times New Roman" w:hAnsi="Times New Roman" w:eastAsia="宋体" w:cs="Times New Roman"/>
                <w:sz w:val="18"/>
                <w:szCs w:val="18"/>
              </w:rPr>
              <w:t>重分类进损益的其他综合收益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1</w:t>
            </w:r>
            <w:r>
              <w:rPr>
                <w:rFonts w:hint="eastAsia" w:ascii="Times New Roman" w:hAnsi="Times New Roman" w:eastAsia="宋体" w:cs="Times New Roman"/>
                <w:sz w:val="18"/>
                <w:szCs w:val="18"/>
              </w:rPr>
              <w:t>）重新计量设定受益计划变动额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（2）权益法下不能转损益的其他综合收益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将重分类进损益的其他综合收益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）权益法下可转损益的其他综合收益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2</w:t>
            </w:r>
            <w:r>
              <w:rPr>
                <w:rFonts w:hint="eastAsia" w:ascii="Times New Roman" w:hAnsi="Times New Roman" w:eastAsia="宋体" w:cs="Times New Roman"/>
                <w:sz w:val="18"/>
                <w:szCs w:val="18"/>
              </w:rPr>
              <w:t>）可供出售金融资产公允价值变动损益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（3）持有至到期投资重分类为可供出售金融资产损益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（4）现金流量套期损益的有效部分</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5</w:t>
            </w:r>
            <w:r>
              <w:rPr>
                <w:rFonts w:hint="eastAsia" w:ascii="Times New Roman" w:hAnsi="Times New Roman" w:eastAsia="宋体" w:cs="Times New Roman"/>
                <w:sz w:val="18"/>
                <w:szCs w:val="18"/>
              </w:rPr>
              <w:t>）外币财务报表折算差额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（6）其他</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（二）归属少数股东的其他综合收益的税后净额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七、综合收益总额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(一)归属于母公司所有者的综合收益总额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（二）归属于少数股东的综合收益总额</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八、每股收益：</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（一）基本每股收益（元/股）</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（二）稀释每股收益（元/股）</w:t>
            </w:r>
          </w:p>
        </w:tc>
        <w:tc>
          <w:tcPr>
            <w:tcW w:w="645"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17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bl>
    <w:p>
      <w:pPr>
        <w:widowControl/>
        <w:jc w:val="left"/>
        <w:rPr>
          <w:rFonts w:ascii="Times New Roman" w:hAnsi="Times New Roman" w:eastAsia="宋体" w:cs="宋体"/>
          <w:kern w:val="0"/>
          <w:sz w:val="18"/>
          <w:szCs w:val="18"/>
        </w:rPr>
      </w:pPr>
      <w:r>
        <w:rPr>
          <w:rFonts w:hint="eastAsia" w:ascii="Times New Roman" w:hAnsi="Times New Roman" w:eastAsia="宋体" w:cs="Times New Roman"/>
          <w:sz w:val="18"/>
          <w:szCs w:val="18"/>
        </w:rPr>
        <w:t>　法定代表人：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主管会计工作负责人：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会计机构负责人：</w:t>
      </w:r>
      <w:r>
        <w:rPr>
          <w:rFonts w:ascii="Times New Roman" w:hAnsi="Times New Roman"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76" w:name="_Toc16853"/>
      <w:bookmarkStart w:id="77" w:name="_Toc2570"/>
      <w:r>
        <w:rPr>
          <w:rFonts w:hint="eastAsia" w:ascii="Times New Roman" w:hAnsi="Times New Roman" w:eastAsia="宋体" w:cs="Times New Roman"/>
          <w:b/>
          <w:bCs/>
          <w:szCs w:val="32"/>
          <w:lang w:val="zh-CN"/>
        </w:rPr>
        <w:t>（四）母公司利润表</w:t>
      </w:r>
      <w:bookmarkEnd w:id="76"/>
      <w:bookmarkEnd w:id="77"/>
    </w:p>
    <w:p>
      <w:pPr>
        <w:ind w:left="6720" w:firstLine="420"/>
        <w:jc w:val="right"/>
        <w:rPr>
          <w:rFonts w:ascii="Times New Roman" w:hAnsi="Times New Roman" w:eastAsia="宋体" w:cs="Times New Roman"/>
        </w:rPr>
      </w:pPr>
      <w:r>
        <w:rPr>
          <w:rFonts w:hint="eastAsia" w:ascii="Times New Roman" w:hAnsi="Times New Roman"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520"/>
        <w:gridCol w:w="1455"/>
        <w:gridCol w:w="1895"/>
        <w:gridCol w:w="20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项目</w:t>
            </w:r>
          </w:p>
        </w:tc>
        <w:tc>
          <w:tcPr>
            <w:tcW w:w="734"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附注</w:t>
            </w:r>
          </w:p>
        </w:tc>
        <w:tc>
          <w:tcPr>
            <w:tcW w:w="956"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3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一、营业收入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利息收入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已赚保费</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保险业务收入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其中：分保费收入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减：分出保费</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提取未到期责任准备金</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手续费及佣金收入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投资收益( 损失以“-” 号填列)  </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其中：对联营企业和合营企业的投资收益( 损失以“-” 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公允价值变动收益(损失以“-” 号填列)  </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汇兑收益( 损失以“-” 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其他业务收入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资产处置收益（损失以“-”号填列）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二、营业成本</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利息支出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退保金</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赔付支出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减：摊回赔付支出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提取保险责任准备金</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减：摊回保险责任准备金</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提取保费准备金</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保单红利支出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分保费用</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税金及附加</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手续费及佣金支出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业务及管理费</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减：摊回分保费用</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其他业务成本</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资产减值损失</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三、营业利润（亏损以“－”号填列）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加：营业外收入</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减：营业外支出</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四、利润总额（亏损总额以“－”号填列）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减：所得税费用</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五、净利润（净亏损以“－”号填列）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（一）持续</w:t>
            </w:r>
            <w:r>
              <w:rPr>
                <w:rFonts w:ascii="Times New Roman" w:hAnsi="Times New Roman" w:eastAsia="宋体" w:cs="Times New Roman"/>
                <w:sz w:val="18"/>
                <w:szCs w:val="18"/>
              </w:rPr>
              <w:t>经营净利润</w:t>
            </w:r>
            <w:r>
              <w:rPr>
                <w:rFonts w:hint="eastAsia" w:ascii="Times New Roman" w:hAnsi="Times New Roman" w:eastAsia="宋体" w:cs="Times New Roman"/>
                <w:sz w:val="18"/>
                <w:szCs w:val="18"/>
              </w:rPr>
              <w:t>（净亏损以“－”号填列）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（二）终止经营</w:t>
            </w:r>
            <w:r>
              <w:rPr>
                <w:rFonts w:ascii="Times New Roman" w:hAnsi="Times New Roman" w:eastAsia="宋体" w:cs="Times New Roman"/>
                <w:sz w:val="18"/>
                <w:szCs w:val="18"/>
              </w:rPr>
              <w:t>净利润</w:t>
            </w:r>
            <w:r>
              <w:rPr>
                <w:rFonts w:hint="eastAsia" w:ascii="Times New Roman" w:hAnsi="Times New Roman" w:eastAsia="宋体" w:cs="Times New Roman"/>
                <w:sz w:val="18"/>
                <w:szCs w:val="18"/>
              </w:rPr>
              <w:t>（净亏损以“－”号填列）</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六、其他综合收益的</w:t>
            </w:r>
            <w:r>
              <w:rPr>
                <w:rFonts w:ascii="Times New Roman" w:hAnsi="Times New Roman" w:eastAsia="宋体" w:cs="Times New Roman"/>
                <w:b/>
                <w:sz w:val="18"/>
                <w:szCs w:val="18"/>
              </w:rPr>
              <w:t>税后净额</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(一)不能</w:t>
            </w:r>
            <w:r>
              <w:rPr>
                <w:rFonts w:ascii="Times New Roman" w:hAnsi="Times New Roman" w:eastAsia="宋体" w:cs="Times New Roman"/>
                <w:sz w:val="18"/>
                <w:szCs w:val="18"/>
              </w:rPr>
              <w:t>重分类进损益的其他综合收益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．重新计量设定受益计划变动额</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．权益法下不能转损益的其他综合收益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w:t>
            </w:r>
            <w:r>
              <w:rPr>
                <w:rFonts w:ascii="Times New Roman" w:hAnsi="Times New Roman" w:eastAsia="宋体" w:cs="Times New Roman"/>
                <w:sz w:val="18"/>
                <w:szCs w:val="18"/>
              </w:rPr>
              <w:t>）</w:t>
            </w:r>
            <w:r>
              <w:rPr>
                <w:rFonts w:hint="eastAsia" w:ascii="Times New Roman" w:hAnsi="Times New Roman" w:eastAsia="宋体" w:cs="Times New Roman"/>
                <w:sz w:val="18"/>
                <w:szCs w:val="18"/>
              </w:rPr>
              <w:t>将重分类进损益的其他综合收益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1．权益法下可转损益的其他综合收益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．可供出售金融资产公允价值变动损益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3．持有至到期投资重分类为可供出售金融资产损益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4．现金流量套期损益的有效部分</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．外币财务报表折算差额</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6．其他</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七、综合收益总额</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八、每股收益：</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（一）基本每股收益（元/股）</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（二）稀释每股收益（元/股）</w:t>
            </w:r>
          </w:p>
        </w:tc>
        <w:tc>
          <w:tcPr>
            <w:tcW w:w="73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956"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3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bl>
    <w:p>
      <w:pPr>
        <w:rPr>
          <w:rFonts w:ascii="Times New Roman" w:hAnsi="Times New Roman" w:eastAsia="宋体" w:cs="Times New Roman"/>
          <w:sz w:val="18"/>
          <w:szCs w:val="18"/>
        </w:rPr>
      </w:pPr>
      <w:r>
        <w:rPr>
          <w:rFonts w:ascii="Times New Roman" w:hAnsi="Times New Roman"/>
          <w:sz w:val="18"/>
          <w:szCs w:val="18"/>
        </w:rPr>
        <w:t>法定代表人：_____________ 主管会计工作负责人：_____________ 会计机构负责人：_____________</w:t>
      </w:r>
    </w:p>
    <w:p>
      <w:pPr>
        <w:keepNext/>
        <w:keepLines/>
        <w:spacing w:before="100" w:after="100"/>
        <w:outlineLvl w:val="2"/>
        <w:rPr>
          <w:rFonts w:ascii="Times New Roman" w:hAnsi="Times New Roman" w:eastAsia="宋体" w:cs="Times New Roman"/>
          <w:b/>
          <w:bCs/>
          <w:szCs w:val="32"/>
          <w:lang w:val="zh-CN"/>
        </w:rPr>
      </w:pPr>
      <w:bookmarkStart w:id="78" w:name="_Toc17421"/>
      <w:bookmarkStart w:id="79" w:name="_Toc2251"/>
      <w:r>
        <w:rPr>
          <w:rFonts w:hint="eastAsia" w:ascii="Times New Roman" w:hAnsi="Times New Roman" w:eastAsia="宋体" w:cs="Times New Roman"/>
          <w:b/>
          <w:bCs/>
          <w:szCs w:val="32"/>
          <w:lang w:val="zh-CN"/>
        </w:rPr>
        <w:t>（五）合并现金流量表</w:t>
      </w:r>
      <w:bookmarkEnd w:id="78"/>
      <w:bookmarkEnd w:id="79"/>
    </w:p>
    <w:p>
      <w:pPr>
        <w:ind w:left="7140"/>
        <w:jc w:val="right"/>
        <w:rPr>
          <w:rFonts w:ascii="Times New Roman" w:hAnsi="Times New Roman" w:eastAsia="宋体" w:cs="Times New Roman"/>
        </w:rPr>
      </w:pPr>
      <w:r>
        <w:rPr>
          <w:rFonts w:hint="eastAsia" w:ascii="Times New Roman" w:hAnsi="Times New Roman"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2"/>
        <w:gridCol w:w="1786"/>
        <w:gridCol w:w="1713"/>
        <w:gridCol w:w="17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项目</w:t>
            </w:r>
          </w:p>
        </w:tc>
        <w:tc>
          <w:tcPr>
            <w:tcW w:w="901"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附注</w:t>
            </w:r>
          </w:p>
        </w:tc>
        <w:tc>
          <w:tcPr>
            <w:tcW w:w="86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878"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一、经营活动产生的现金流量：</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收到原保险合同保费取得的现金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收到再保险业务现金净额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保户储金及投资款净增加额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收到以公允价值计量且其变动计入当期损益的金融资产现金净额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收到以公允价值计量且其变动计入当期损益的金融负债现金净额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收取利息、手续费及佣金的现金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收到的税费返还</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收到其他与经营活动有关的现金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经营活动现金流入小计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支付原保险合同赔付款项的现金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支付再保险业务现金净额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保户储金及投资款净减少额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支付保单红利的现金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支付以公允价值计量且其变动计入当期损益的金融资产现金净额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支付以公允价值计量且其变动计入当期损益的金融负债现金净额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支付利息、手续费及佣金的现金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支付给职工以及为职工支付的现金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支付的各项税费</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支付其他与经营活动有关的现金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经营活动现金流出小计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经营活动产生的现金流量净额</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二、投资活动产生的现金流量：</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收回投资收到的现金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取得投资收益收到的现金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处置固定资产、无形资产和其他长期资产收回的现金净额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处置子公司及其他营业单位收到的现金净额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收到其他与投资活动有关的现金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投资活动现金流入小计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投资支付的现金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返售业务资金净增加额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质押贷款净增加额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购建固定资产、无形资产和其他长期资产支付的现金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取得子公司及其他营业单位支付的现金净额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支付其他与投资活动有关的现金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投资活动现金流出小计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投资活动产生的现金流量净额</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三、筹资活动产生的现金流量：</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吸收投资收到的现金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其中：子公司吸收少数股东投资收到的现金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取得借款收到的现金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发行债券收到的现金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回购业务资金净增加额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收到其他与筹资活动有关的现金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筹资活动现金流入小计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偿还债务支付的现金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分配股利、利润或偿付利息支付的现金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其中：子公司支付给少数股东的股利、利润</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支付其他与筹资活动有关的现金</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筹资活动现金流出小计</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筹资活动产生的现金流量净额</w:t>
            </w:r>
          </w:p>
        </w:tc>
        <w:tc>
          <w:tcPr>
            <w:tcW w:w="901"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四、汇率变动对现金及现金等价物的影响</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五、现金及现金等价物净增加额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加：期初现金及现金等价物余额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7"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18"/>
              </w:rPr>
            </w:pPr>
            <w:r>
              <w:rPr>
                <w:rFonts w:hint="eastAsia" w:ascii="Times New Roman" w:hAnsi="Times New Roman" w:eastAsia="宋体" w:cs="Times New Roman"/>
                <w:b/>
                <w:sz w:val="18"/>
                <w:szCs w:val="18"/>
              </w:rPr>
              <w:t>六、期末现金及现金等价物余额</w:t>
            </w:r>
          </w:p>
        </w:tc>
        <w:tc>
          <w:tcPr>
            <w:tcW w:w="90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c>
          <w:tcPr>
            <w:tcW w:w="86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87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bl>
    <w:p>
      <w:pPr>
        <w:widowControl/>
        <w:ind w:right="-382"/>
        <w:jc w:val="left"/>
        <w:rPr>
          <w:rFonts w:ascii="Times New Roman" w:hAnsi="Times New Roman" w:eastAsia="宋体" w:cs="Times New Roman"/>
          <w:bCs/>
          <w:sz w:val="18"/>
          <w:szCs w:val="18"/>
        </w:rPr>
      </w:pPr>
      <w:r>
        <w:rPr>
          <w:rFonts w:hint="eastAsia" w:ascii="Times New Roman" w:hAnsi="Times New Roman" w:eastAsia="宋体" w:cs="Times New Roman"/>
          <w:sz w:val="18"/>
          <w:szCs w:val="18"/>
        </w:rPr>
        <w:t>法定代表人：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主管会计工作负责人：</w:t>
      </w:r>
      <w:r>
        <w:rPr>
          <w:rFonts w:ascii="Times New Roman" w:hAnsi="Times New Roman" w:eastAsia="宋体" w:cs="Times New Roman"/>
          <w:sz w:val="18"/>
          <w:szCs w:val="18"/>
        </w:rPr>
        <w:t xml:space="preserve">_____________ </w:t>
      </w:r>
      <w:r>
        <w:rPr>
          <w:rFonts w:hint="eastAsia" w:ascii="Times New Roman" w:hAnsi="Times New Roman" w:eastAsia="宋体" w:cs="Times New Roman"/>
          <w:sz w:val="18"/>
          <w:szCs w:val="18"/>
        </w:rPr>
        <w:t>会计机构负责人：</w:t>
      </w:r>
      <w:r>
        <w:rPr>
          <w:rFonts w:ascii="Times New Roman" w:hAnsi="Times New Roman" w:eastAsia="宋体" w:cs="Times New Roman"/>
          <w:sz w:val="18"/>
          <w:szCs w:val="18"/>
        </w:rPr>
        <w:t>_____________</w:t>
      </w:r>
    </w:p>
    <w:p>
      <w:pPr>
        <w:widowControl/>
        <w:ind w:right="270"/>
        <w:jc w:val="left"/>
        <w:rPr>
          <w:rFonts w:ascii="Times New Roman" w:hAnsi="Times New Roman"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0" w:name="_Toc2143"/>
      <w:bookmarkStart w:id="81" w:name="_Toc16771"/>
      <w:r>
        <w:rPr>
          <w:rFonts w:hint="eastAsia" w:ascii="Times New Roman" w:hAnsi="Times New Roman" w:eastAsia="宋体" w:cs="Times New Roman"/>
          <w:b/>
          <w:bCs/>
          <w:szCs w:val="32"/>
          <w:lang w:val="zh-CN"/>
        </w:rPr>
        <w:t>（六）母公司现金流量表</w:t>
      </w:r>
      <w:bookmarkEnd w:id="80"/>
      <w:bookmarkEnd w:id="81"/>
    </w:p>
    <w:p>
      <w:pPr>
        <w:ind w:left="6720" w:firstLine="420"/>
        <w:jc w:val="right"/>
        <w:rPr>
          <w:rFonts w:ascii="Times New Roman" w:hAnsi="Times New Roman" w:eastAsia="宋体" w:cs="Times New Roman"/>
        </w:rPr>
      </w:pPr>
      <w:r>
        <w:rPr>
          <w:rFonts w:hint="eastAsia" w:ascii="Times New Roman" w:hAnsi="Times New Roman" w:eastAsia="宋体" w:cs="Times New Roman"/>
        </w:rPr>
        <w:t>单位：元</w:t>
      </w:r>
      <w:r>
        <w:rPr>
          <w:rFonts w:ascii="Times New Roman" w:hAnsi="Times New Roman" w:eastAsia="宋体" w:cs="Times New Roman"/>
        </w:rPr>
        <w:t xml:space="preserve"> </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项目</w:t>
            </w:r>
          </w:p>
        </w:tc>
        <w:tc>
          <w:tcPr>
            <w:tcW w:w="902"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附注</w:t>
            </w:r>
          </w:p>
        </w:tc>
        <w:tc>
          <w:tcPr>
            <w:tcW w:w="804" w:type="pct"/>
            <w:tcBorders>
              <w:top w:val="single" w:color="5B9BD5" w:sz="4" w:space="0"/>
              <w:left w:val="single" w:color="5B9BD5" w:sz="4" w:space="0"/>
              <w:bottom w:val="single" w:color="5B9BD5" w:sz="4" w:space="0"/>
              <w:right w:val="single" w:color="5B9BD5" w:sz="4" w:space="0"/>
            </w:tcBorders>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18"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一、经营活动产生的现金流量：</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收到原保险合同保费取得的现金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收到再保险业务现金净额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保户储金及投资款净增加额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收到以公允价值计量且其变动计入当期损益的金融资产现金净额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收到以公允价值计量且其变动计入当期损益的金融负债现金净额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收取利息、手续费及佣金的现金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收到的税费返还</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收到其他与经营活动有关的现金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经营活动现金流入小计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支付原保险合同赔付款项的现金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支付再保险业务现金净额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保户储金及投资款净减少额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支付保单红利的现金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支付以公允价值计量且其变动计入当期损益的金融资产现金净额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支付以公允价值计量且其变动计入当期损益的金融负债现金净额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支付利息、手续费及佣金的现金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支付给职工以及为职工支付的现金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支付的各项税费</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支付其他与经营活动有关的现金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经营活动现金流出小计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经营活动产生的现金流量净额</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二、投资活动产生的现金流量：</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收回投资收到的现金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取得投资收益收到的现金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处置固定资产、无形资产和其他长期资产收回的现金净额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处置子公司及其他营业单位收到的现金净额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收到其他与投资活动有关的现金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投资活动现金流入小计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投资支付的现金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返售业务资金净增加额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质押贷款净增加额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购建固定资产、无形资产和其他长期资产支付的现金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取得子公司及其他营业单位支付的现金净额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支付其他与投资活动有关的现金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投资活动现金流出小计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投资活动产生的现金流量净额</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三、筹资活动产生的现金流量：</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吸收投资收到的现金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取得借款收到的现金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发行债券收到的现金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回购业务资金净增加额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收到其他与筹资活动有关的现金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筹资活动现金流入小计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偿还债务支付的现金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分配股利、利润或偿付利息支付的现金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其中：子公司支付给少数股东的股利、利润</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支付其他与筹资活动有关的现金</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筹资活动现金流出小计</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center"/>
              <w:rPr>
                <w:rFonts w:ascii="Times New Roman" w:hAnsi="Times New Roman" w:eastAsia="宋体" w:cs="Times New Roman"/>
                <w:b/>
                <w:sz w:val="18"/>
                <w:szCs w:val="21"/>
              </w:rPr>
            </w:pPr>
            <w:r>
              <w:rPr>
                <w:rFonts w:hint="eastAsia" w:ascii="Times New Roman" w:hAnsi="Times New Roman" w:eastAsia="宋体" w:cs="Times New Roman"/>
                <w:b/>
                <w:sz w:val="18"/>
                <w:szCs w:val="21"/>
              </w:rPr>
              <w:t>筹资活动产生的现金流量净额</w:t>
            </w:r>
          </w:p>
        </w:tc>
        <w:tc>
          <w:tcPr>
            <w:tcW w:w="902"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四、汇率变动对现金及现金等价物的影响</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五、现金及现金等价物净增加额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sz w:val="18"/>
                <w:szCs w:val="21"/>
              </w:rPr>
            </w:pPr>
            <w:r>
              <w:rPr>
                <w:rFonts w:hint="eastAsia" w:ascii="Times New Roman" w:hAnsi="Times New Roman" w:eastAsia="宋体" w:cs="Times New Roman"/>
                <w:sz w:val="18"/>
                <w:szCs w:val="21"/>
              </w:rPr>
              <w:t>加：期初现金及现金等价物余额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top w:val="single" w:color="5B9BD5" w:sz="4" w:space="0"/>
              <w:left w:val="single" w:color="5B9BD5" w:sz="4" w:space="0"/>
              <w:bottom w:val="single" w:color="5B9BD5" w:sz="4" w:space="0"/>
              <w:right w:val="single" w:color="5B9BD5" w:sz="4" w:space="0"/>
            </w:tcBorders>
            <w:shd w:val="pct10" w:color="auto" w:fill="FFFFFF"/>
            <w:vAlign w:val="center"/>
          </w:tcPr>
          <w:p>
            <w:pPr>
              <w:jc w:val="left"/>
              <w:rPr>
                <w:rFonts w:ascii="Times New Roman" w:hAnsi="Times New Roman" w:eastAsia="宋体" w:cs="Times New Roman"/>
                <w:b/>
                <w:sz w:val="18"/>
                <w:szCs w:val="21"/>
              </w:rPr>
            </w:pPr>
            <w:r>
              <w:rPr>
                <w:rFonts w:hint="eastAsia" w:ascii="Times New Roman" w:hAnsi="Times New Roman" w:eastAsia="宋体" w:cs="Times New Roman"/>
                <w:b/>
                <w:sz w:val="18"/>
                <w:szCs w:val="21"/>
              </w:rPr>
              <w:t>六、期末现金及现金等价物余额</w:t>
            </w:r>
          </w:p>
        </w:tc>
        <w:tc>
          <w:tcPr>
            <w:tcW w:w="902"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21"/>
              </w:rPr>
            </w:pPr>
          </w:p>
        </w:tc>
        <w:tc>
          <w:tcPr>
            <w:tcW w:w="80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Times New Roman" w:hAnsi="Times New Roman" w:eastAsia="宋体" w:cs="Times New Roman"/>
                <w:b/>
                <w:sz w:val="18"/>
                <w:szCs w:val="18"/>
              </w:rPr>
            </w:pPr>
          </w:p>
        </w:tc>
        <w:tc>
          <w:tcPr>
            <w:tcW w:w="1018"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Times New Roman" w:hAnsi="Times New Roman" w:eastAsia="宋体" w:cs="Times New Roman"/>
                <w:b/>
                <w:sz w:val="18"/>
                <w:szCs w:val="18"/>
              </w:rPr>
            </w:pPr>
          </w:p>
        </w:tc>
      </w:tr>
    </w:tbl>
    <w:p>
      <w:pPr>
        <w:widowControl/>
        <w:ind w:right="-382"/>
        <w:jc w:val="left"/>
        <w:rPr>
          <w:rFonts w:ascii="Times New Roman" w:hAnsi="Times New Roman"/>
          <w:bCs/>
          <w:sz w:val="18"/>
          <w:szCs w:val="18"/>
        </w:rPr>
      </w:pPr>
      <w:r>
        <w:rPr>
          <w:rFonts w:ascii="Times New Roman" w:hAnsi="Times New Roman"/>
          <w:sz w:val="18"/>
          <w:szCs w:val="18"/>
        </w:rPr>
        <w:t>法定代表人：_____________ 主管会计工作负责人：_____________ 会计机构负责人</w:t>
      </w:r>
      <w:r>
        <w:rPr>
          <w:rFonts w:hint="eastAsia" w:ascii="Times New Roman" w:hAnsi="Times New Roman"/>
          <w:sz w:val="18"/>
          <w:szCs w:val="18"/>
        </w:rPr>
        <w:t>：</w:t>
      </w:r>
      <w:r>
        <w:rPr>
          <w:rFonts w:ascii="Times New Roman" w:hAnsi="Times New Roman"/>
          <w:sz w:val="18"/>
          <w:szCs w:val="18"/>
        </w:rPr>
        <w:t>_____________</w:t>
      </w:r>
    </w:p>
    <w:p>
      <w:pPr>
        <w:widowControl/>
        <w:ind w:right="272"/>
        <w:jc w:val="left"/>
        <w:rPr>
          <w:rFonts w:ascii="Times New Roman" w:hAnsi="Times New Roman" w:eastAsia="宋体" w:cs="Times New Roman"/>
          <w:b/>
          <w:bCs/>
          <w:color w:val="000000"/>
          <w:szCs w:val="18"/>
        </w:rPr>
        <w:sectPr>
          <w:footerReference r:id="rId4" w:type="default"/>
          <w:pgSz w:w="11907" w:h="16839"/>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2" w:name="_Toc14783"/>
      <w:bookmarkStart w:id="83" w:name="_Toc24206"/>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2"/>
      <w:bookmarkEnd w:id="83"/>
    </w:p>
    <w:p>
      <w:pPr>
        <w:jc w:val="right"/>
        <w:rPr>
          <w:rFonts w:ascii="Times New Roman" w:hAnsi="Times New Roman" w:eastAsia="宋体" w:cs="宋体"/>
          <w:kern w:val="0"/>
          <w:sz w:val="18"/>
        </w:rPr>
      </w:pPr>
      <w:r>
        <w:rPr>
          <w:rFonts w:hint="eastAsia" w:ascii="Times New Roman" w:hAnsi="Times New Roman"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D9D9D9"/>
            <w:vAlign w:val="center"/>
          </w:tcPr>
          <w:p>
            <w:pPr>
              <w:jc w:val="center"/>
              <w:rPr>
                <w:rFonts w:ascii="Times New Roman" w:hAnsi="Times New Roman" w:eastAsia="宋体" w:cs="Times New Roman"/>
                <w:b/>
                <w:color w:val="000000"/>
                <w:sz w:val="18"/>
                <w:szCs w:val="18"/>
              </w:rPr>
            </w:pPr>
            <w:r>
              <w:rPr>
                <w:rFonts w:hint="eastAsia" w:ascii="Times New Roman" w:hAnsi="Times New Roman" w:eastAsia="宋体" w:cs="宋体"/>
                <w:b/>
                <w:color w:val="000000"/>
                <w:kern w:val="0"/>
                <w:sz w:val="18"/>
                <w:szCs w:val="18"/>
              </w:rPr>
              <w:t>项目</w:t>
            </w:r>
          </w:p>
        </w:tc>
        <w:tc>
          <w:tcPr>
            <w:tcW w:w="10989" w:type="dxa"/>
            <w:gridSpan w:val="13"/>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D9D9D9"/>
            <w:vAlign w:val="center"/>
          </w:tcPr>
          <w:p>
            <w:pPr>
              <w:jc w:val="center"/>
              <w:rPr>
                <w:rFonts w:ascii="Times New Roman" w:hAnsi="Times New Roman" w:eastAsia="宋体" w:cs="Times New Roman"/>
                <w:b/>
                <w:color w:val="000000"/>
                <w:sz w:val="18"/>
                <w:szCs w:val="18"/>
              </w:rPr>
            </w:pPr>
          </w:p>
        </w:tc>
        <w:tc>
          <w:tcPr>
            <w:tcW w:w="9146" w:type="dxa"/>
            <w:gridSpan w:val="11"/>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归属于母公司所有者权益</w:t>
            </w:r>
          </w:p>
        </w:tc>
        <w:tc>
          <w:tcPr>
            <w:tcW w:w="993"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少数股东权益</w:t>
            </w:r>
          </w:p>
        </w:tc>
        <w:tc>
          <w:tcPr>
            <w:tcW w:w="850"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Times New Roman" w:hAnsi="Times New Roman" w:eastAsia="宋体" w:cs="Times New Roman"/>
                <w:color w:val="000000"/>
                <w:sz w:val="18"/>
                <w:szCs w:val="18"/>
              </w:rPr>
            </w:pPr>
          </w:p>
        </w:tc>
        <w:tc>
          <w:tcPr>
            <w:tcW w:w="1132"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股本</w:t>
            </w:r>
          </w:p>
        </w:tc>
        <w:tc>
          <w:tcPr>
            <w:tcW w:w="2486" w:type="dxa"/>
            <w:gridSpan w:val="3"/>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其他权益工具</w:t>
            </w:r>
          </w:p>
        </w:tc>
        <w:tc>
          <w:tcPr>
            <w:tcW w:w="709"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资本公积</w:t>
            </w:r>
          </w:p>
        </w:tc>
        <w:tc>
          <w:tcPr>
            <w:tcW w:w="850"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专项储备</w:t>
            </w:r>
          </w:p>
        </w:tc>
        <w:tc>
          <w:tcPr>
            <w:tcW w:w="708"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盈余公积</w:t>
            </w:r>
          </w:p>
        </w:tc>
        <w:tc>
          <w:tcPr>
            <w:tcW w:w="851"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一般风险准备</w:t>
            </w:r>
          </w:p>
        </w:tc>
        <w:tc>
          <w:tcPr>
            <w:tcW w:w="850"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未分配利润</w:t>
            </w:r>
          </w:p>
        </w:tc>
        <w:tc>
          <w:tcPr>
            <w:tcW w:w="993" w:type="dxa"/>
            <w:vMerge w:val="continue"/>
            <w:shd w:val="clear" w:color="auto" w:fill="D9D9D9"/>
          </w:tcPr>
          <w:p>
            <w:pPr>
              <w:jc w:val="center"/>
              <w:rPr>
                <w:rFonts w:ascii="Times New Roman" w:hAnsi="Times New Roman" w:eastAsia="宋体" w:cs="Times New Roman"/>
                <w:b/>
                <w:color w:val="000000"/>
                <w:sz w:val="18"/>
                <w:szCs w:val="18"/>
              </w:rPr>
            </w:pP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Times New Roman" w:hAnsi="Times New Roman" w:eastAsia="宋体" w:cs="Times New Roman"/>
                <w:color w:val="000000"/>
                <w:sz w:val="18"/>
                <w:szCs w:val="18"/>
              </w:rPr>
            </w:pPr>
          </w:p>
        </w:tc>
        <w:tc>
          <w:tcPr>
            <w:tcW w:w="1132" w:type="dxa"/>
            <w:vMerge w:val="continue"/>
            <w:shd w:val="clear" w:color="auto" w:fill="D9D9D9"/>
          </w:tcPr>
          <w:p>
            <w:pPr>
              <w:jc w:val="center"/>
              <w:rPr>
                <w:rFonts w:ascii="Times New Roman" w:hAnsi="Times New Roman"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w:t>
            </w:r>
          </w:p>
        </w:tc>
        <w:tc>
          <w:tcPr>
            <w:tcW w:w="709" w:type="dxa"/>
            <w:vMerge w:val="continue"/>
            <w:shd w:val="clear" w:color="auto" w:fill="D9D9D9"/>
          </w:tcPr>
          <w:p>
            <w:pPr>
              <w:jc w:val="center"/>
              <w:rPr>
                <w:rFonts w:ascii="Times New Roman" w:hAnsi="Times New Roman" w:eastAsia="宋体" w:cs="Times New Roman"/>
                <w:b/>
                <w:color w:val="000000"/>
                <w:sz w:val="18"/>
                <w:szCs w:val="18"/>
              </w:rPr>
            </w:pP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p>
        </w:tc>
        <w:tc>
          <w:tcPr>
            <w:tcW w:w="708" w:type="dxa"/>
            <w:vMerge w:val="continue"/>
            <w:shd w:val="clear" w:color="auto" w:fill="D9D9D9"/>
          </w:tcPr>
          <w:p>
            <w:pPr>
              <w:jc w:val="center"/>
              <w:rPr>
                <w:rFonts w:ascii="Times New Roman" w:hAnsi="Times New Roman" w:eastAsia="宋体" w:cs="Times New Roman"/>
                <w:b/>
                <w:color w:val="000000"/>
                <w:sz w:val="18"/>
                <w:szCs w:val="18"/>
              </w:rPr>
            </w:pPr>
          </w:p>
        </w:tc>
        <w:tc>
          <w:tcPr>
            <w:tcW w:w="851" w:type="dxa"/>
            <w:vMerge w:val="continue"/>
            <w:shd w:val="clear" w:color="auto" w:fill="D9D9D9"/>
          </w:tcPr>
          <w:p>
            <w:pPr>
              <w:jc w:val="center"/>
              <w:rPr>
                <w:rFonts w:ascii="Times New Roman" w:hAnsi="Times New Roman" w:eastAsia="宋体" w:cs="Times New Roman"/>
                <w:b/>
                <w:color w:val="000000"/>
                <w:sz w:val="18"/>
                <w:szCs w:val="18"/>
              </w:rPr>
            </w:pP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c>
          <w:tcPr>
            <w:tcW w:w="993" w:type="dxa"/>
            <w:vMerge w:val="continue"/>
            <w:shd w:val="clear" w:color="auto" w:fill="D9D9D9"/>
          </w:tcPr>
          <w:p>
            <w:pPr>
              <w:jc w:val="center"/>
              <w:rPr>
                <w:rFonts w:ascii="Times New Roman" w:hAnsi="Times New Roman" w:eastAsia="宋体" w:cs="Times New Roman"/>
                <w:b/>
                <w:color w:val="000000"/>
                <w:sz w:val="18"/>
                <w:szCs w:val="18"/>
              </w:rPr>
            </w:pP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一、上年期末余额</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left="360" w:hanging="360" w:hangingChars="200"/>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加：会计政策变更</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前期差错更正</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firstLine="360" w:firstLineChars="200"/>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同一控制下企业合并</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其他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二、本年期初余额</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三、本期增减变动金额（减少以“－”号填列）</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（一）综合收益总额</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（二）所有者投入和减少资本</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1．股东投入的普通股</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．其他权益工具持有者投入资本</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3．股份支付计入所有者权益的金额</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4．其他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（三）利润分配</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1．提取盈余公积</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．提取一般风险准备</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w:t>
            </w:r>
            <w:r>
              <w:rPr>
                <w:rFonts w:hint="eastAsia" w:ascii="Times New Roman" w:hAnsi="Times New Roman" w:eastAsia="宋体" w:cs="Times New Roman"/>
                <w:color w:val="000000"/>
                <w:sz w:val="18"/>
                <w:szCs w:val="18"/>
              </w:rPr>
              <w:t>．对所有者（或股东）的分配</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．其他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（四）所有者权益内部结转</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1．资本公积转增资本（或股本）</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2．盈余公积转增资本（或股本）</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3．盈余公积弥补亏损</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4．设定受益计划变动额结转留存收益</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 </w:t>
            </w:r>
            <w:r>
              <w:rPr>
                <w:rFonts w:hint="eastAsia" w:ascii="Times New Roman" w:hAnsi="Times New Roman" w:eastAsia="宋体" w:cs="Times New Roman"/>
                <w:color w:val="000000"/>
                <w:sz w:val="18"/>
                <w:szCs w:val="18"/>
              </w:rPr>
              <w:t>其他综合收益</w:t>
            </w:r>
            <w:r>
              <w:rPr>
                <w:rFonts w:ascii="Times New Roman" w:hAnsi="Times New Roman" w:eastAsia="宋体" w:cs="Times New Roman"/>
                <w:color w:val="000000"/>
                <w:sz w:val="18"/>
                <w:szCs w:val="18"/>
              </w:rPr>
              <w:t>结转留存收益</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6</w:t>
            </w:r>
            <w:r>
              <w:rPr>
                <w:rFonts w:hint="eastAsia" w:ascii="Times New Roman" w:hAnsi="Times New Roman" w:eastAsia="宋体" w:cs="Times New Roman"/>
                <w:color w:val="000000"/>
                <w:sz w:val="18"/>
                <w:szCs w:val="18"/>
              </w:rPr>
              <w:t>．其他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（五）专项储备</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1．本期提取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2．本期使用</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（六）其他</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四、本年期末余额</w:t>
            </w:r>
          </w:p>
        </w:tc>
        <w:tc>
          <w:tcPr>
            <w:tcW w:w="1132" w:type="dxa"/>
            <w:shd w:val="clear" w:color="auto" w:fill="auto"/>
          </w:tcPr>
          <w:p>
            <w:pPr>
              <w:ind w:firstLine="360"/>
              <w:jc w:val="right"/>
              <w:rPr>
                <w:rFonts w:ascii="Times New Roman" w:hAnsi="Times New Roman" w:eastAsia="宋体" w:cs="Times New Roman"/>
                <w:color w:val="000000"/>
                <w:sz w:val="18"/>
                <w:szCs w:val="18"/>
              </w:rPr>
            </w:pPr>
          </w:p>
        </w:tc>
        <w:tc>
          <w:tcPr>
            <w:tcW w:w="921"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15"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709" w:type="dxa"/>
            <w:shd w:val="clear" w:color="auto" w:fill="auto"/>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shd w:val="clear" w:color="auto" w:fill="auto"/>
          </w:tcPr>
          <w:p>
            <w:pPr>
              <w:ind w:firstLine="360"/>
              <w:jc w:val="right"/>
              <w:rPr>
                <w:rFonts w:ascii="Times New Roman" w:hAnsi="Times New Roman" w:eastAsia="宋体" w:cs="Times New Roman"/>
                <w:color w:val="000000"/>
                <w:sz w:val="18"/>
                <w:szCs w:val="18"/>
              </w:rPr>
            </w:pPr>
          </w:p>
        </w:tc>
        <w:tc>
          <w:tcPr>
            <w:tcW w:w="851" w:type="dxa"/>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993" w:type="dxa"/>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r>
    </w:tbl>
    <w:p>
      <w:pPr>
        <w:widowControl/>
        <w:ind w:right="270"/>
        <w:jc w:val="left"/>
        <w:rPr>
          <w:rFonts w:ascii="Times New Roman" w:hAnsi="Times New Roman" w:eastAsia="宋体" w:cs="宋体"/>
          <w:color w:val="000000"/>
          <w:kern w:val="0"/>
          <w:sz w:val="18"/>
          <w:szCs w:val="18"/>
        </w:rPr>
      </w:pPr>
    </w:p>
    <w:p>
      <w:pPr>
        <w:widowControl/>
        <w:ind w:right="270"/>
        <w:jc w:val="left"/>
        <w:rPr>
          <w:rFonts w:ascii="Times New Roman" w:hAnsi="Times New Roman"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992"/>
        <w:gridCol w:w="709"/>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9D9D9"/>
            <w:vAlign w:val="center"/>
          </w:tcPr>
          <w:p>
            <w:pPr>
              <w:jc w:val="center"/>
              <w:rPr>
                <w:rFonts w:ascii="Times New Roman" w:hAnsi="Times New Roman" w:eastAsia="宋体" w:cs="Times New Roman"/>
                <w:b/>
                <w:color w:val="000000"/>
                <w:sz w:val="18"/>
                <w:szCs w:val="18"/>
              </w:rPr>
            </w:pPr>
            <w:r>
              <w:rPr>
                <w:rFonts w:hint="eastAsia" w:ascii="Times New Roman" w:hAnsi="Times New Roman" w:eastAsia="宋体" w:cs="宋体"/>
                <w:b/>
                <w:color w:val="000000"/>
                <w:kern w:val="0"/>
                <w:sz w:val="18"/>
                <w:szCs w:val="18"/>
              </w:rPr>
              <w:t>项目</w:t>
            </w:r>
          </w:p>
        </w:tc>
        <w:tc>
          <w:tcPr>
            <w:tcW w:w="11123" w:type="dxa"/>
            <w:gridSpan w:val="13"/>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D9D9D9"/>
            <w:vAlign w:val="center"/>
          </w:tcPr>
          <w:p>
            <w:pPr>
              <w:jc w:val="center"/>
              <w:rPr>
                <w:rFonts w:ascii="Times New Roman" w:hAnsi="Times New Roman" w:eastAsia="宋体" w:cs="Times New Roman"/>
                <w:b/>
                <w:color w:val="000000"/>
                <w:sz w:val="18"/>
                <w:szCs w:val="18"/>
              </w:rPr>
            </w:pPr>
          </w:p>
        </w:tc>
        <w:tc>
          <w:tcPr>
            <w:tcW w:w="9214" w:type="dxa"/>
            <w:gridSpan w:val="11"/>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归属于母公司所有者权益</w:t>
            </w:r>
          </w:p>
        </w:tc>
        <w:tc>
          <w:tcPr>
            <w:tcW w:w="992"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少数股东权益</w:t>
            </w:r>
          </w:p>
        </w:tc>
        <w:tc>
          <w:tcPr>
            <w:tcW w:w="917"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Times New Roman" w:hAnsi="Times New Roman" w:eastAsia="宋体" w:cs="Times New Roman"/>
                <w:color w:val="000000"/>
                <w:sz w:val="18"/>
                <w:szCs w:val="18"/>
              </w:rPr>
            </w:pPr>
          </w:p>
        </w:tc>
        <w:tc>
          <w:tcPr>
            <w:tcW w:w="1134"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股本</w:t>
            </w:r>
          </w:p>
        </w:tc>
        <w:tc>
          <w:tcPr>
            <w:tcW w:w="2410" w:type="dxa"/>
            <w:gridSpan w:val="3"/>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其他权益工具</w:t>
            </w:r>
          </w:p>
        </w:tc>
        <w:tc>
          <w:tcPr>
            <w:tcW w:w="850"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资本公积</w:t>
            </w:r>
          </w:p>
        </w:tc>
        <w:tc>
          <w:tcPr>
            <w:tcW w:w="851"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减：库存股</w:t>
            </w:r>
          </w:p>
        </w:tc>
        <w:tc>
          <w:tcPr>
            <w:tcW w:w="709" w:type="dxa"/>
            <w:vMerge w:val="restart"/>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其他综合收益</w:t>
            </w:r>
          </w:p>
        </w:tc>
        <w:tc>
          <w:tcPr>
            <w:tcW w:w="708" w:type="dxa"/>
            <w:vMerge w:val="restart"/>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专项储备</w:t>
            </w:r>
          </w:p>
        </w:tc>
        <w:tc>
          <w:tcPr>
            <w:tcW w:w="851"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盈余公积</w:t>
            </w:r>
          </w:p>
        </w:tc>
        <w:tc>
          <w:tcPr>
            <w:tcW w:w="850"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一般风险准备</w:t>
            </w:r>
          </w:p>
        </w:tc>
        <w:tc>
          <w:tcPr>
            <w:tcW w:w="851" w:type="dxa"/>
            <w:vMerge w:val="restart"/>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未分配利润</w:t>
            </w:r>
          </w:p>
        </w:tc>
        <w:tc>
          <w:tcPr>
            <w:tcW w:w="992" w:type="dxa"/>
            <w:vMerge w:val="continue"/>
            <w:shd w:val="clear" w:color="auto" w:fill="D9D9D9"/>
          </w:tcPr>
          <w:p>
            <w:pPr>
              <w:jc w:val="center"/>
              <w:rPr>
                <w:rFonts w:ascii="Times New Roman" w:hAnsi="Times New Roman" w:eastAsia="宋体" w:cs="Times New Roman"/>
                <w:b/>
                <w:color w:val="000000"/>
                <w:sz w:val="18"/>
                <w:szCs w:val="18"/>
              </w:rPr>
            </w:pPr>
          </w:p>
        </w:tc>
        <w:tc>
          <w:tcPr>
            <w:tcW w:w="917" w:type="dxa"/>
            <w:vMerge w:val="continue"/>
            <w:shd w:val="clear" w:color="auto" w:fill="D9D9D9"/>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Times New Roman" w:hAnsi="Times New Roman" w:eastAsia="宋体" w:cs="Times New Roman"/>
                <w:color w:val="000000"/>
                <w:sz w:val="18"/>
                <w:szCs w:val="18"/>
              </w:rPr>
            </w:pPr>
          </w:p>
        </w:tc>
        <w:tc>
          <w:tcPr>
            <w:tcW w:w="1134" w:type="dxa"/>
            <w:vMerge w:val="continue"/>
            <w:shd w:val="clear" w:color="auto" w:fill="D9D9D9"/>
          </w:tcPr>
          <w:p>
            <w:pPr>
              <w:jc w:val="center"/>
              <w:rPr>
                <w:rFonts w:ascii="Times New Roman" w:hAnsi="Times New Roman" w:eastAsia="宋体" w:cs="Times New Roman"/>
                <w:b/>
                <w:color w:val="000000"/>
                <w:sz w:val="18"/>
                <w:szCs w:val="18"/>
              </w:rPr>
            </w:pPr>
          </w:p>
        </w:tc>
        <w:tc>
          <w:tcPr>
            <w:tcW w:w="992" w:type="dxa"/>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优先股</w:t>
            </w:r>
          </w:p>
        </w:tc>
        <w:tc>
          <w:tcPr>
            <w:tcW w:w="709" w:type="dxa"/>
            <w:tcBorders>
              <w:left w:val="single" w:color="5B9BD5" w:sz="4" w:space="0"/>
              <w:righ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永续债</w:t>
            </w:r>
          </w:p>
        </w:tc>
        <w:tc>
          <w:tcPr>
            <w:tcW w:w="709" w:type="dxa"/>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w:t>
            </w: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c>
          <w:tcPr>
            <w:tcW w:w="851" w:type="dxa"/>
            <w:vMerge w:val="continue"/>
            <w:shd w:val="clear" w:color="auto" w:fill="D9D9D9"/>
          </w:tcPr>
          <w:p>
            <w:pPr>
              <w:jc w:val="center"/>
              <w:rPr>
                <w:rFonts w:ascii="Times New Roman" w:hAnsi="Times New Roman" w:eastAsia="宋体" w:cs="Times New Roman"/>
                <w:b/>
                <w:color w:val="000000"/>
                <w:sz w:val="18"/>
                <w:szCs w:val="18"/>
              </w:rPr>
            </w:pPr>
          </w:p>
        </w:tc>
        <w:tc>
          <w:tcPr>
            <w:tcW w:w="709" w:type="dxa"/>
            <w:vMerge w:val="continue"/>
            <w:tcBorders>
              <w:right w:val="single" w:color="5B9BD5" w:sz="4" w:space="0"/>
            </w:tcBorders>
            <w:shd w:val="clear" w:color="auto" w:fill="D9D9D9"/>
          </w:tcPr>
          <w:p>
            <w:pPr>
              <w:jc w:val="center"/>
              <w:rPr>
                <w:rFonts w:ascii="Times New Roman" w:hAnsi="Times New Roman" w:eastAsia="宋体" w:cs="Times New Roman"/>
                <w:b/>
                <w:color w:val="000000"/>
                <w:sz w:val="18"/>
                <w:szCs w:val="18"/>
              </w:rPr>
            </w:pPr>
          </w:p>
        </w:tc>
        <w:tc>
          <w:tcPr>
            <w:tcW w:w="708" w:type="dxa"/>
            <w:vMerge w:val="continue"/>
            <w:tcBorders>
              <w:left w:val="single" w:color="5B9BD5" w:sz="4" w:space="0"/>
            </w:tcBorders>
            <w:shd w:val="clear" w:color="auto" w:fill="D9D9D9"/>
          </w:tcPr>
          <w:p>
            <w:pPr>
              <w:jc w:val="center"/>
              <w:rPr>
                <w:rFonts w:ascii="Times New Roman" w:hAnsi="Times New Roman" w:eastAsia="宋体" w:cs="Times New Roman"/>
                <w:b/>
                <w:color w:val="000000"/>
                <w:sz w:val="18"/>
                <w:szCs w:val="18"/>
              </w:rPr>
            </w:pPr>
          </w:p>
        </w:tc>
        <w:tc>
          <w:tcPr>
            <w:tcW w:w="851" w:type="dxa"/>
            <w:vMerge w:val="continue"/>
            <w:shd w:val="clear" w:color="auto" w:fill="D9D9D9"/>
          </w:tcPr>
          <w:p>
            <w:pPr>
              <w:jc w:val="center"/>
              <w:rPr>
                <w:rFonts w:ascii="Times New Roman" w:hAnsi="Times New Roman" w:eastAsia="宋体" w:cs="Times New Roman"/>
                <w:b/>
                <w:color w:val="000000"/>
                <w:sz w:val="18"/>
                <w:szCs w:val="18"/>
              </w:rPr>
            </w:pPr>
          </w:p>
        </w:tc>
        <w:tc>
          <w:tcPr>
            <w:tcW w:w="850" w:type="dxa"/>
            <w:vMerge w:val="continue"/>
            <w:shd w:val="clear" w:color="auto" w:fill="D9D9D9"/>
          </w:tcPr>
          <w:p>
            <w:pPr>
              <w:jc w:val="center"/>
              <w:rPr>
                <w:rFonts w:ascii="Times New Roman" w:hAnsi="Times New Roman" w:eastAsia="宋体" w:cs="Times New Roman"/>
                <w:b/>
                <w:color w:val="000000"/>
                <w:sz w:val="18"/>
                <w:szCs w:val="18"/>
              </w:rPr>
            </w:pPr>
          </w:p>
        </w:tc>
        <w:tc>
          <w:tcPr>
            <w:tcW w:w="851" w:type="dxa"/>
            <w:vMerge w:val="continue"/>
            <w:shd w:val="clear" w:color="auto" w:fill="D9D9D9"/>
          </w:tcPr>
          <w:p>
            <w:pPr>
              <w:jc w:val="center"/>
              <w:rPr>
                <w:rFonts w:ascii="Times New Roman" w:hAnsi="Times New Roman" w:eastAsia="宋体" w:cs="Times New Roman"/>
                <w:b/>
                <w:color w:val="000000"/>
                <w:sz w:val="18"/>
                <w:szCs w:val="18"/>
              </w:rPr>
            </w:pPr>
          </w:p>
        </w:tc>
        <w:tc>
          <w:tcPr>
            <w:tcW w:w="992" w:type="dxa"/>
            <w:vMerge w:val="continue"/>
            <w:shd w:val="clear" w:color="auto" w:fill="D9D9D9"/>
          </w:tcPr>
          <w:p>
            <w:pPr>
              <w:jc w:val="center"/>
              <w:rPr>
                <w:rFonts w:ascii="Times New Roman" w:hAnsi="Times New Roman" w:eastAsia="宋体" w:cs="Times New Roman"/>
                <w:b/>
                <w:color w:val="000000"/>
                <w:sz w:val="18"/>
                <w:szCs w:val="18"/>
              </w:rPr>
            </w:pPr>
          </w:p>
        </w:tc>
        <w:tc>
          <w:tcPr>
            <w:tcW w:w="917" w:type="dxa"/>
            <w:vMerge w:val="continue"/>
            <w:shd w:val="clear" w:color="auto" w:fill="D9D9D9"/>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一、上年期末余额</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left="360" w:hanging="360" w:hangingChars="200"/>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加：会计政策变更</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前期差错更正</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firstLine="360" w:firstLineChars="200"/>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同一控制下企业合并</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其他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二、本年期初余额</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三、本期增减变动金额（减少以“－”号填列）</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（一）综合收益总额</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（二）所有者投入和减少资本</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1．股东投入的普通股</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．其他权益工具持有者投入资本</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3．股份支付计入所有者权益的金额</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4．其他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（三）利润分配</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1．提取盈余公积</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．提取一般风险准备</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w:t>
            </w:r>
            <w:r>
              <w:rPr>
                <w:rFonts w:hint="eastAsia" w:ascii="Times New Roman" w:hAnsi="Times New Roman" w:eastAsia="宋体" w:cs="Times New Roman"/>
                <w:color w:val="000000"/>
                <w:sz w:val="18"/>
                <w:szCs w:val="18"/>
              </w:rPr>
              <w:t>．对所有者（或股东）的分配</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．其他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（四）所有者权益内部结转</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1．资本公积转增资本（或股本）</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2．盈余公积转增资本（或股本）</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3．盈余公积弥补亏损</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4．设定受益计划变动额结转留存收益</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 </w:t>
            </w:r>
            <w:r>
              <w:rPr>
                <w:rFonts w:hint="eastAsia" w:ascii="Times New Roman" w:hAnsi="Times New Roman" w:eastAsia="宋体" w:cs="Times New Roman"/>
                <w:color w:val="000000"/>
                <w:sz w:val="18"/>
                <w:szCs w:val="18"/>
              </w:rPr>
              <w:t>其他综合收益</w:t>
            </w:r>
            <w:r>
              <w:rPr>
                <w:rFonts w:ascii="Times New Roman" w:hAnsi="Times New Roman" w:eastAsia="宋体" w:cs="Times New Roman"/>
                <w:color w:val="000000"/>
                <w:sz w:val="18"/>
                <w:szCs w:val="18"/>
              </w:rPr>
              <w:t>结转留存收益</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r>
              <w:rPr>
                <w:rFonts w:hint="eastAsia" w:ascii="Times New Roman" w:hAnsi="Times New Roman" w:eastAsia="宋体" w:cs="Times New Roman"/>
                <w:color w:val="000000"/>
                <w:sz w:val="18"/>
                <w:szCs w:val="18"/>
              </w:rPr>
              <w:t>．其他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（五）专项储备</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1．本期提取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2．本期使用</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（六）其他</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四、本年期末余额</w:t>
            </w:r>
          </w:p>
        </w:tc>
        <w:tc>
          <w:tcPr>
            <w:tcW w:w="1134" w:type="dxa"/>
            <w:shd w:val="clear" w:color="auto" w:fill="auto"/>
          </w:tcPr>
          <w:p>
            <w:pPr>
              <w:ind w:firstLine="360"/>
              <w:jc w:val="right"/>
              <w:rPr>
                <w:rFonts w:ascii="Times New Roman" w:hAnsi="Times New Roman" w:eastAsia="宋体" w:cs="Times New Roman"/>
                <w:color w:val="000000"/>
                <w:sz w:val="18"/>
                <w:szCs w:val="18"/>
              </w:rPr>
            </w:pPr>
          </w:p>
        </w:tc>
        <w:tc>
          <w:tcPr>
            <w:tcW w:w="992" w:type="dxa"/>
            <w:tcBorders>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Times New Roman" w:hAnsi="Times New Roman" w:eastAsia="宋体" w:cs="Times New Roman"/>
                <w:color w:val="000000"/>
                <w:sz w:val="18"/>
                <w:szCs w:val="18"/>
              </w:rPr>
            </w:pPr>
          </w:p>
        </w:tc>
        <w:tc>
          <w:tcPr>
            <w:tcW w:w="709" w:type="dxa"/>
            <w:tcBorders>
              <w:left w:val="single" w:color="5B9BD5" w:sz="4" w:space="0"/>
            </w:tcBorders>
          </w:tcPr>
          <w:p>
            <w:pPr>
              <w:ind w:firstLine="360"/>
              <w:jc w:val="right"/>
              <w:rPr>
                <w:rFonts w:ascii="Times New Roman" w:hAnsi="Times New Roman" w:eastAsia="宋体" w:cs="Times New Roman"/>
                <w:color w:val="000000"/>
                <w:sz w:val="18"/>
                <w:szCs w:val="18"/>
              </w:rPr>
            </w:pPr>
          </w:p>
        </w:tc>
        <w:tc>
          <w:tcPr>
            <w:tcW w:w="850" w:type="dxa"/>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850" w:type="dxa"/>
          </w:tcPr>
          <w:p>
            <w:pPr>
              <w:ind w:firstLine="360"/>
              <w:jc w:val="right"/>
              <w:rPr>
                <w:rFonts w:ascii="Times New Roman" w:hAnsi="Times New Roman" w:eastAsia="宋体" w:cs="Times New Roman"/>
                <w:color w:val="000000"/>
                <w:sz w:val="18"/>
                <w:szCs w:val="18"/>
              </w:rPr>
            </w:pPr>
          </w:p>
        </w:tc>
        <w:tc>
          <w:tcPr>
            <w:tcW w:w="851" w:type="dxa"/>
            <w:shd w:val="clear" w:color="auto" w:fill="auto"/>
          </w:tcPr>
          <w:p>
            <w:pPr>
              <w:ind w:firstLine="360"/>
              <w:jc w:val="right"/>
              <w:rPr>
                <w:rFonts w:ascii="Times New Roman" w:hAnsi="Times New Roman" w:eastAsia="宋体" w:cs="Times New Roman"/>
                <w:color w:val="000000"/>
                <w:sz w:val="18"/>
                <w:szCs w:val="18"/>
              </w:rPr>
            </w:pPr>
          </w:p>
        </w:tc>
        <w:tc>
          <w:tcPr>
            <w:tcW w:w="992" w:type="dxa"/>
          </w:tcPr>
          <w:p>
            <w:pPr>
              <w:ind w:firstLine="360"/>
              <w:jc w:val="right"/>
              <w:rPr>
                <w:rFonts w:ascii="Times New Roman" w:hAnsi="Times New Roman" w:eastAsia="宋体" w:cs="Times New Roman"/>
                <w:color w:val="000000"/>
                <w:sz w:val="18"/>
                <w:szCs w:val="18"/>
              </w:rPr>
            </w:pPr>
          </w:p>
        </w:tc>
        <w:tc>
          <w:tcPr>
            <w:tcW w:w="917" w:type="dxa"/>
          </w:tcPr>
          <w:p>
            <w:pPr>
              <w:ind w:firstLine="360"/>
              <w:jc w:val="right"/>
              <w:rPr>
                <w:rFonts w:ascii="Times New Roman" w:hAnsi="Times New Roman" w:eastAsia="宋体" w:cs="Times New Roman"/>
                <w:color w:val="000000"/>
                <w:sz w:val="18"/>
                <w:szCs w:val="18"/>
              </w:rPr>
            </w:pPr>
          </w:p>
        </w:tc>
      </w:tr>
    </w:tbl>
    <w:p>
      <w:pPr>
        <w:widowControl/>
        <w:ind w:right="270"/>
        <w:jc w:val="left"/>
        <w:rPr>
          <w:rFonts w:ascii="Times New Roman" w:hAnsi="Times New Roman" w:eastAsia="宋体" w:cs="宋体"/>
          <w:color w:val="000000"/>
          <w:kern w:val="0"/>
          <w:sz w:val="18"/>
          <w:szCs w:val="18"/>
        </w:rPr>
      </w:pPr>
    </w:p>
    <w:p>
      <w:pPr>
        <w:rPr>
          <w:rFonts w:ascii="Times New Roman" w:hAnsi="Times New Roman" w:eastAsia="宋体" w:cs="Times New Roman"/>
          <w:b/>
          <w:bCs/>
          <w:color w:val="000000"/>
          <w:szCs w:val="21"/>
        </w:rPr>
      </w:pPr>
      <w:r>
        <w:rPr>
          <w:rFonts w:hint="eastAsia" w:ascii="Times New Roman" w:hAnsi="Times New Roman" w:eastAsia="宋体" w:cs="Times New Roman"/>
          <w:color w:val="000000"/>
          <w:sz w:val="18"/>
          <w:szCs w:val="18"/>
        </w:rPr>
        <w:t>法定代表人：</w:t>
      </w:r>
      <w:r>
        <w:rPr>
          <w:rFonts w:ascii="Times New Roman" w:hAnsi="Times New Roman" w:eastAsia="宋体" w:cs="Times New Roman"/>
          <w:color w:val="000000"/>
          <w:sz w:val="18"/>
          <w:szCs w:val="18"/>
        </w:rPr>
        <w:t xml:space="preserve">_____________ </w:t>
      </w:r>
      <w:r>
        <w:rPr>
          <w:rFonts w:hint="eastAsia" w:ascii="Times New Roman" w:hAnsi="Times New Roman" w:eastAsia="宋体" w:cs="Times New Roman"/>
          <w:color w:val="000000"/>
          <w:sz w:val="18"/>
          <w:szCs w:val="18"/>
        </w:rPr>
        <w:t>主管会计工作负责人：</w:t>
      </w:r>
      <w:r>
        <w:rPr>
          <w:rFonts w:ascii="Times New Roman" w:hAnsi="Times New Roman" w:eastAsia="宋体" w:cs="Times New Roman"/>
          <w:color w:val="000000"/>
          <w:sz w:val="18"/>
          <w:szCs w:val="18"/>
        </w:rPr>
        <w:t xml:space="preserve">_____________ </w:t>
      </w:r>
      <w:r>
        <w:rPr>
          <w:rFonts w:hint="eastAsia" w:ascii="Times New Roman" w:hAnsi="Times New Roman" w:eastAsia="宋体" w:cs="Times New Roman"/>
          <w:color w:val="000000"/>
          <w:sz w:val="18"/>
          <w:szCs w:val="18"/>
        </w:rPr>
        <w:t>会计机构负责人：</w:t>
      </w:r>
      <w:r>
        <w:rPr>
          <w:rFonts w:ascii="Times New Roman" w:hAnsi="Times New Roman"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4" w:name="_Toc18508"/>
      <w:bookmarkStart w:id="85" w:name="_Toc17406"/>
      <w:r>
        <w:rPr>
          <w:rFonts w:hint="eastAsia" w:ascii="Times New Roman" w:hAnsi="Times New Roman" w:eastAsia="宋体" w:cs="Times New Roman"/>
          <w:b/>
          <w:bCs/>
          <w:szCs w:val="32"/>
          <w:lang w:val="zh-CN"/>
        </w:rPr>
        <w:t>（八）母公司股东权益变动表</w:t>
      </w:r>
      <w:bookmarkEnd w:id="84"/>
      <w:bookmarkEnd w:id="85"/>
    </w:p>
    <w:p>
      <w:pPr>
        <w:jc w:val="right"/>
        <w:rPr>
          <w:rFonts w:ascii="Times New Roman" w:hAnsi="Times New Roman" w:eastAsia="宋体" w:cs="宋体"/>
          <w:kern w:val="0"/>
          <w:sz w:val="18"/>
        </w:rPr>
      </w:pPr>
      <w:r>
        <w:rPr>
          <w:rFonts w:hint="eastAsia" w:ascii="Times New Roman" w:hAnsi="Times New Roman"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项目</w:t>
            </w:r>
          </w:p>
        </w:tc>
        <w:tc>
          <w:tcPr>
            <w:tcW w:w="10637" w:type="dxa"/>
            <w:gridSpan w:val="14"/>
            <w:shd w:val="clear" w:color="auto" w:fill="CCCCCC"/>
          </w:tcPr>
          <w:p>
            <w:pPr>
              <w:ind w:firstLine="440"/>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Times New Roman" w:hAnsi="Times New Roman" w:eastAsia="宋体" w:cs="宋体"/>
                <w:b/>
                <w:color w:val="000000"/>
                <w:sz w:val="18"/>
                <w:szCs w:val="18"/>
              </w:rPr>
            </w:pPr>
          </w:p>
        </w:tc>
        <w:tc>
          <w:tcPr>
            <w:tcW w:w="921"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股本</w:t>
            </w:r>
          </w:p>
        </w:tc>
        <w:tc>
          <w:tcPr>
            <w:tcW w:w="2486" w:type="dxa"/>
            <w:gridSpan w:val="5"/>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其他权益工具</w:t>
            </w:r>
          </w:p>
        </w:tc>
        <w:tc>
          <w:tcPr>
            <w:tcW w:w="903"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资本公积</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减：库存股</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其他综合收益</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专项储备</w:t>
            </w:r>
          </w:p>
        </w:tc>
        <w:tc>
          <w:tcPr>
            <w:tcW w:w="903"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盈余公积</w:t>
            </w:r>
          </w:p>
        </w:tc>
        <w:tc>
          <w:tcPr>
            <w:tcW w:w="904" w:type="dxa"/>
            <w:vMerge w:val="restart"/>
            <w:shd w:val="clear" w:color="auto" w:fill="CCCCCC"/>
            <w:vAlign w:val="center"/>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一般风险准备</w:t>
            </w:r>
          </w:p>
        </w:tc>
        <w:tc>
          <w:tcPr>
            <w:tcW w:w="904" w:type="dxa"/>
            <w:vMerge w:val="restart"/>
            <w:shd w:val="clear" w:color="auto" w:fill="CCCCCC"/>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未分配利润</w:t>
            </w:r>
          </w:p>
        </w:tc>
        <w:tc>
          <w:tcPr>
            <w:tcW w:w="904" w:type="dxa"/>
            <w:vMerge w:val="restart"/>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Times New Roman" w:hAnsi="Times New Roman" w:eastAsia="宋体" w:cs="宋体"/>
                <w:b/>
                <w:color w:val="000000"/>
                <w:sz w:val="18"/>
                <w:szCs w:val="18"/>
              </w:rPr>
            </w:pPr>
          </w:p>
        </w:tc>
        <w:tc>
          <w:tcPr>
            <w:tcW w:w="921"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833" w:type="dxa"/>
            <w:gridSpan w:val="2"/>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优先股</w:t>
            </w:r>
          </w:p>
        </w:tc>
        <w:tc>
          <w:tcPr>
            <w:tcW w:w="944" w:type="dxa"/>
            <w:gridSpan w:val="2"/>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永续债</w:t>
            </w:r>
          </w:p>
        </w:tc>
        <w:tc>
          <w:tcPr>
            <w:tcW w:w="709" w:type="dxa"/>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w:t>
            </w:r>
          </w:p>
        </w:tc>
        <w:tc>
          <w:tcPr>
            <w:tcW w:w="903"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宋体"/>
                <w:b/>
                <w:color w:val="000000"/>
                <w:sz w:val="18"/>
                <w:szCs w:val="18"/>
              </w:rPr>
            </w:pPr>
          </w:p>
        </w:tc>
        <w:tc>
          <w:tcPr>
            <w:tcW w:w="903"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tcPr>
          <w:p>
            <w:pPr>
              <w:rPr>
                <w:rFonts w:ascii="Times New Roman" w:hAnsi="Times New Roman" w:eastAsia="宋体" w:cs="Times New Roman"/>
                <w:b/>
                <w:color w:val="000000"/>
                <w:sz w:val="18"/>
                <w:szCs w:val="18"/>
              </w:rPr>
            </w:pPr>
          </w:p>
        </w:tc>
        <w:tc>
          <w:tcPr>
            <w:tcW w:w="904" w:type="dxa"/>
            <w:vMerge w:val="continue"/>
            <w:shd w:val="clear" w:color="auto" w:fill="CCCCCC"/>
            <w:vAlign w:val="center"/>
          </w:tcPr>
          <w:p>
            <w:pPr>
              <w:rPr>
                <w:rFonts w:ascii="Times New Roman" w:hAnsi="Times New Roman" w:eastAsia="宋体" w:cs="Times New Roman"/>
                <w:b/>
                <w:color w:val="000000"/>
                <w:sz w:val="18"/>
                <w:szCs w:val="18"/>
              </w:rPr>
            </w:pPr>
          </w:p>
        </w:tc>
        <w:tc>
          <w:tcPr>
            <w:tcW w:w="904" w:type="dxa"/>
            <w:vMerge w:val="continue"/>
            <w:shd w:val="clear" w:color="auto" w:fill="CCCCCC"/>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一、上年期末余额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加：会计政策变更</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前期差错更正</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二、本年期初余额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三、本期增减变动金额（减少以“－”号填列）</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（一）综合收益总额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（二）所有者投入和减少资本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1．股东投入的普通股</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．其他权益工具持有者投入资本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3．股份支付计入所有者权益的金额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（三）利润分配</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1．提取盈余公积</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 </w:t>
            </w:r>
            <w:r>
              <w:rPr>
                <w:rFonts w:hint="eastAsia" w:ascii="Times New Roman" w:hAnsi="Times New Roman" w:eastAsia="宋体" w:cs="Times New Roman"/>
                <w:color w:val="000000"/>
                <w:sz w:val="18"/>
                <w:szCs w:val="18"/>
              </w:rPr>
              <w:t>提取一般风险准备</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w:t>
            </w:r>
            <w:r>
              <w:rPr>
                <w:rFonts w:hint="eastAsia" w:ascii="Times New Roman" w:hAnsi="Times New Roman" w:eastAsia="宋体" w:cs="Times New Roman"/>
                <w:color w:val="000000"/>
                <w:sz w:val="18"/>
                <w:szCs w:val="18"/>
              </w:rPr>
              <w:t>．对所有者（或股东）的分配</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（四）所有者权益内部结转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1．资本公积转增资本（或股本）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2．盈余公积转增资本（或股本）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3．盈余公积弥补亏损</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sz w:val="18"/>
                <w:szCs w:val="18"/>
              </w:rPr>
              <w:t>设定受益计划变动额结转留存收益</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 </w:t>
            </w:r>
            <w:r>
              <w:rPr>
                <w:rFonts w:hint="eastAsia" w:ascii="Times New Roman" w:hAnsi="Times New Roman" w:eastAsia="宋体" w:cs="Times New Roman"/>
                <w:color w:val="000000"/>
                <w:sz w:val="18"/>
                <w:szCs w:val="18"/>
              </w:rPr>
              <w:t>其他综合收益</w:t>
            </w:r>
            <w:r>
              <w:rPr>
                <w:rFonts w:ascii="Times New Roman" w:hAnsi="Times New Roman" w:eastAsia="宋体" w:cs="Times New Roman"/>
                <w:color w:val="000000"/>
                <w:sz w:val="18"/>
                <w:szCs w:val="18"/>
              </w:rPr>
              <w:t>结转留存收益</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r>
              <w:rPr>
                <w:rFonts w:hint="eastAsia" w:ascii="Times New Roman" w:hAnsi="Times New Roman" w:eastAsia="宋体" w:cs="Times New Roman"/>
                <w:color w:val="000000"/>
                <w:sz w:val="18"/>
                <w:szCs w:val="18"/>
              </w:rPr>
              <w:t>．</w:t>
            </w:r>
            <w:r>
              <w:rPr>
                <w:rFonts w:hint="eastAsia" w:ascii="Times New Roman" w:hAnsi="Times New Roman" w:eastAsia="宋体" w:cs="Times New Roman"/>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 xml:space="preserve"> （五）专项储备</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1．本期提取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2．本期使用</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（六）其他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hint="eastAsia" w:ascii="Times New Roman" w:hAnsi="Times New Roman" w:eastAsia="宋体" w:cs="Times New Roman"/>
                <w:b/>
                <w:color w:val="000000"/>
                <w:sz w:val="18"/>
                <w:szCs w:val="18"/>
              </w:rPr>
              <w:t>四、本年期末余额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bl>
    <w:p>
      <w:pPr>
        <w:rPr>
          <w:rFonts w:ascii="Times New Roman" w:hAnsi="Times New Roman"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项目</w:t>
            </w:r>
          </w:p>
        </w:tc>
        <w:tc>
          <w:tcPr>
            <w:tcW w:w="10637" w:type="dxa"/>
            <w:gridSpan w:val="14"/>
            <w:shd w:val="clear" w:color="auto" w:fill="CCCCCC"/>
          </w:tcPr>
          <w:p>
            <w:pPr>
              <w:ind w:firstLine="440"/>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Times New Roman" w:hAnsi="Times New Roman" w:eastAsia="宋体" w:cs="宋体"/>
                <w:b/>
                <w:color w:val="000000"/>
                <w:sz w:val="18"/>
                <w:szCs w:val="18"/>
              </w:rPr>
            </w:pPr>
          </w:p>
        </w:tc>
        <w:tc>
          <w:tcPr>
            <w:tcW w:w="921"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股本</w:t>
            </w:r>
          </w:p>
        </w:tc>
        <w:tc>
          <w:tcPr>
            <w:tcW w:w="2486" w:type="dxa"/>
            <w:gridSpan w:val="5"/>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其他权益工具</w:t>
            </w:r>
          </w:p>
        </w:tc>
        <w:tc>
          <w:tcPr>
            <w:tcW w:w="903"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资本公积</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减：库存股</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其他综合收益</w:t>
            </w:r>
          </w:p>
        </w:tc>
        <w:tc>
          <w:tcPr>
            <w:tcW w:w="904"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专项储备</w:t>
            </w:r>
          </w:p>
        </w:tc>
        <w:tc>
          <w:tcPr>
            <w:tcW w:w="903" w:type="dxa"/>
            <w:vMerge w:val="restart"/>
            <w:shd w:val="clear" w:color="auto" w:fill="CCCCCC"/>
            <w:vAlign w:val="center"/>
          </w:tcPr>
          <w:p>
            <w:pPr>
              <w:jc w:val="cente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盈余公积</w:t>
            </w:r>
          </w:p>
        </w:tc>
        <w:tc>
          <w:tcPr>
            <w:tcW w:w="904" w:type="dxa"/>
            <w:vMerge w:val="restart"/>
            <w:shd w:val="clear" w:color="auto" w:fill="CCCCCC"/>
            <w:vAlign w:val="center"/>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一般风险准备</w:t>
            </w:r>
          </w:p>
        </w:tc>
        <w:tc>
          <w:tcPr>
            <w:tcW w:w="904" w:type="dxa"/>
            <w:vMerge w:val="restart"/>
            <w:shd w:val="clear" w:color="auto" w:fill="CCCCCC"/>
            <w:vAlign w:val="center"/>
          </w:tcPr>
          <w:p>
            <w:pPr>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未分配利润</w:t>
            </w:r>
          </w:p>
        </w:tc>
        <w:tc>
          <w:tcPr>
            <w:tcW w:w="904" w:type="dxa"/>
            <w:vMerge w:val="restart"/>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Times New Roman" w:hAnsi="Times New Roman" w:eastAsia="宋体" w:cs="宋体"/>
                <w:b/>
                <w:color w:val="000000"/>
                <w:sz w:val="18"/>
                <w:szCs w:val="18"/>
              </w:rPr>
            </w:pPr>
          </w:p>
        </w:tc>
        <w:tc>
          <w:tcPr>
            <w:tcW w:w="921"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833" w:type="dxa"/>
            <w:gridSpan w:val="2"/>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优先股</w:t>
            </w:r>
          </w:p>
        </w:tc>
        <w:tc>
          <w:tcPr>
            <w:tcW w:w="944" w:type="dxa"/>
            <w:gridSpan w:val="2"/>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永续债</w:t>
            </w:r>
          </w:p>
        </w:tc>
        <w:tc>
          <w:tcPr>
            <w:tcW w:w="709" w:type="dxa"/>
            <w:shd w:val="clear" w:color="auto" w:fill="CCCCCC"/>
          </w:tcPr>
          <w:p>
            <w:pPr>
              <w:jc w:val="center"/>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其他</w:t>
            </w:r>
          </w:p>
        </w:tc>
        <w:tc>
          <w:tcPr>
            <w:tcW w:w="903"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vAlign w:val="center"/>
          </w:tcPr>
          <w:p>
            <w:pPr>
              <w:jc w:val="center"/>
              <w:rPr>
                <w:rFonts w:ascii="Times New Roman" w:hAnsi="Times New Roman" w:eastAsia="宋体" w:cs="宋体"/>
                <w:b/>
                <w:color w:val="000000"/>
                <w:sz w:val="18"/>
                <w:szCs w:val="18"/>
              </w:rPr>
            </w:pPr>
          </w:p>
        </w:tc>
        <w:tc>
          <w:tcPr>
            <w:tcW w:w="903" w:type="dxa"/>
            <w:vMerge w:val="continue"/>
            <w:shd w:val="clear" w:color="auto" w:fill="CCCCCC"/>
            <w:vAlign w:val="center"/>
          </w:tcPr>
          <w:p>
            <w:pPr>
              <w:jc w:val="center"/>
              <w:rPr>
                <w:rFonts w:ascii="Times New Roman" w:hAnsi="Times New Roman" w:eastAsia="宋体" w:cs="Times New Roman"/>
                <w:b/>
                <w:color w:val="000000"/>
                <w:sz w:val="18"/>
                <w:szCs w:val="18"/>
              </w:rPr>
            </w:pPr>
          </w:p>
        </w:tc>
        <w:tc>
          <w:tcPr>
            <w:tcW w:w="904" w:type="dxa"/>
            <w:vMerge w:val="continue"/>
            <w:shd w:val="clear" w:color="auto" w:fill="CCCCCC"/>
          </w:tcPr>
          <w:p>
            <w:pPr>
              <w:rPr>
                <w:rFonts w:ascii="Times New Roman" w:hAnsi="Times New Roman" w:eastAsia="宋体" w:cs="Times New Roman"/>
                <w:b/>
                <w:color w:val="000000"/>
                <w:sz w:val="18"/>
                <w:szCs w:val="18"/>
              </w:rPr>
            </w:pPr>
          </w:p>
        </w:tc>
        <w:tc>
          <w:tcPr>
            <w:tcW w:w="904" w:type="dxa"/>
            <w:vMerge w:val="continue"/>
            <w:shd w:val="clear" w:color="auto" w:fill="CCCCCC"/>
            <w:vAlign w:val="center"/>
          </w:tcPr>
          <w:p>
            <w:pPr>
              <w:rPr>
                <w:rFonts w:ascii="Times New Roman" w:hAnsi="Times New Roman" w:eastAsia="宋体" w:cs="Times New Roman"/>
                <w:b/>
                <w:color w:val="000000"/>
                <w:sz w:val="18"/>
                <w:szCs w:val="18"/>
              </w:rPr>
            </w:pPr>
          </w:p>
        </w:tc>
        <w:tc>
          <w:tcPr>
            <w:tcW w:w="904" w:type="dxa"/>
            <w:vMerge w:val="continue"/>
            <w:shd w:val="clear" w:color="auto" w:fill="CCCCCC"/>
          </w:tcPr>
          <w:p>
            <w:pPr>
              <w:jc w:val="center"/>
              <w:rPr>
                <w:rFonts w:ascii="Times New Roman" w:hAnsi="Times New Roman"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一、上年期末余额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加：会计政策变更</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前期差错更正</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二、本年期初余额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b/>
                <w:color w:val="000000"/>
                <w:sz w:val="18"/>
                <w:szCs w:val="18"/>
              </w:rPr>
            </w:pPr>
            <w:r>
              <w:rPr>
                <w:rFonts w:hint="eastAsia" w:ascii="Times New Roman" w:hAnsi="Times New Roman" w:eastAsia="宋体" w:cs="Times New Roman"/>
                <w:b/>
                <w:color w:val="000000"/>
                <w:sz w:val="18"/>
                <w:szCs w:val="18"/>
              </w:rPr>
              <w:t>三、本期增减变动金额（减少以“－”号填列）</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（一）综合收益总额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（二）所有者投入和减少资本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1．股东投入的普通股</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．其他权益工具持有者投入资本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3．股份支付计入所有者权益的金额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4．其他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（三）利润分配</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1．提取盈余公积</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 </w:t>
            </w:r>
            <w:r>
              <w:rPr>
                <w:rFonts w:hint="eastAsia" w:ascii="Times New Roman" w:hAnsi="Times New Roman" w:eastAsia="宋体" w:cs="Times New Roman"/>
                <w:color w:val="000000"/>
                <w:sz w:val="18"/>
                <w:szCs w:val="18"/>
              </w:rPr>
              <w:t>提取一般风险准备</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w:t>
            </w:r>
            <w:r>
              <w:rPr>
                <w:rFonts w:hint="eastAsia" w:ascii="Times New Roman" w:hAnsi="Times New Roman" w:eastAsia="宋体" w:cs="Times New Roman"/>
                <w:color w:val="000000"/>
                <w:sz w:val="18"/>
                <w:szCs w:val="18"/>
              </w:rPr>
              <w:t>．对所有者（或股东）的分配</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hint="eastAsia" w:ascii="Times New Roman" w:hAnsi="Times New Roman" w:eastAsia="宋体" w:cs="Times New Roman"/>
                <w:color w:val="000000"/>
                <w:sz w:val="18"/>
                <w:szCs w:val="18"/>
              </w:rPr>
              <w:t>（四）所有者权益内部结转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1．资本公积转增资本（或股本）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2．盈余公积转增资本（或股本）</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3．盈余公积弥补亏损</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hint="eastAsia" w:ascii="Times New Roman" w:hAnsi="Times New Roman" w:eastAsia="宋体" w:cs="Times New Roman"/>
                <w:sz w:val="18"/>
                <w:szCs w:val="18"/>
              </w:rPr>
              <w:t>设定受益计划变动额结转留存收益</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 </w:t>
            </w:r>
            <w:r>
              <w:rPr>
                <w:rFonts w:hint="eastAsia" w:ascii="Times New Roman" w:hAnsi="Times New Roman" w:eastAsia="宋体" w:cs="Times New Roman"/>
                <w:color w:val="000000"/>
                <w:sz w:val="18"/>
                <w:szCs w:val="18"/>
              </w:rPr>
              <w:t>其他综合收益</w:t>
            </w:r>
            <w:r>
              <w:rPr>
                <w:rFonts w:ascii="Times New Roman" w:hAnsi="Times New Roman" w:eastAsia="宋体" w:cs="Times New Roman"/>
                <w:color w:val="000000"/>
                <w:sz w:val="18"/>
                <w:szCs w:val="18"/>
              </w:rPr>
              <w:t>结转留存收益</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r>
              <w:rPr>
                <w:rFonts w:hint="eastAsia" w:ascii="Times New Roman" w:hAnsi="Times New Roman" w:eastAsia="宋体" w:cs="Times New Roman"/>
                <w:color w:val="000000"/>
                <w:sz w:val="18"/>
                <w:szCs w:val="18"/>
              </w:rPr>
              <w:t>．</w:t>
            </w:r>
            <w:r>
              <w:rPr>
                <w:rFonts w:hint="eastAsia" w:ascii="Times New Roman" w:hAnsi="Times New Roman" w:eastAsia="宋体" w:cs="Times New Roman"/>
                <w:sz w:val="18"/>
                <w:szCs w:val="18"/>
              </w:rPr>
              <w:t>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33" w:type="dxa"/>
            <w:gridSpan w:val="2"/>
          </w:tcPr>
          <w:p>
            <w:pPr>
              <w:ind w:firstLine="440"/>
              <w:jc w:val="right"/>
              <w:rPr>
                <w:rFonts w:ascii="Times New Roman" w:hAnsi="Times New Roman" w:eastAsia="宋体" w:cs="Times New Roman"/>
                <w:color w:val="000000"/>
                <w:sz w:val="18"/>
                <w:szCs w:val="18"/>
              </w:rPr>
            </w:pPr>
          </w:p>
        </w:tc>
        <w:tc>
          <w:tcPr>
            <w:tcW w:w="944" w:type="dxa"/>
            <w:gridSpan w:val="2"/>
          </w:tcPr>
          <w:p>
            <w:pPr>
              <w:ind w:firstLine="440"/>
              <w:jc w:val="right"/>
              <w:rPr>
                <w:rFonts w:ascii="Times New Roman" w:hAnsi="Times New Roman" w:eastAsia="宋体" w:cs="Times New Roman"/>
                <w:color w:val="000000"/>
                <w:sz w:val="18"/>
                <w:szCs w:val="18"/>
              </w:rPr>
            </w:pPr>
          </w:p>
        </w:tc>
        <w:tc>
          <w:tcPr>
            <w:tcW w:w="709" w:type="dxa"/>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 xml:space="preserve"> （五）专项储备</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1．本期提取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2．本期使用</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（六）其他</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Times New Roman" w:hAnsi="Times New Roman" w:eastAsia="宋体" w:cs="Times New Roman"/>
                <w:color w:val="000000"/>
                <w:sz w:val="18"/>
                <w:szCs w:val="18"/>
              </w:rPr>
            </w:pPr>
            <w:r>
              <w:rPr>
                <w:rFonts w:hint="eastAsia" w:ascii="Times New Roman" w:hAnsi="Times New Roman" w:eastAsia="宋体" w:cs="Times New Roman"/>
                <w:b/>
                <w:color w:val="000000"/>
                <w:sz w:val="18"/>
                <w:szCs w:val="18"/>
              </w:rPr>
              <w:t>四、本年期末余额</w:t>
            </w:r>
          </w:p>
        </w:tc>
        <w:tc>
          <w:tcPr>
            <w:tcW w:w="921" w:type="dxa"/>
            <w:shd w:val="clear" w:color="auto" w:fill="auto"/>
          </w:tcPr>
          <w:p>
            <w:pPr>
              <w:ind w:firstLine="440"/>
              <w:jc w:val="right"/>
              <w:rPr>
                <w:rFonts w:ascii="Times New Roman" w:hAnsi="Times New Roman" w:eastAsia="宋体" w:cs="Times New Roman"/>
                <w:color w:val="000000"/>
                <w:sz w:val="18"/>
                <w:szCs w:val="18"/>
              </w:rPr>
            </w:pPr>
          </w:p>
        </w:tc>
        <w:tc>
          <w:tcPr>
            <w:tcW w:w="803" w:type="dxa"/>
          </w:tcPr>
          <w:p>
            <w:pPr>
              <w:ind w:firstLine="440"/>
              <w:jc w:val="right"/>
              <w:rPr>
                <w:rFonts w:ascii="Times New Roman" w:hAnsi="Times New Roman" w:eastAsia="宋体" w:cs="Times New Roman"/>
                <w:color w:val="000000"/>
                <w:sz w:val="18"/>
                <w:szCs w:val="18"/>
              </w:rPr>
            </w:pPr>
          </w:p>
        </w:tc>
        <w:tc>
          <w:tcPr>
            <w:tcW w:w="953" w:type="dxa"/>
            <w:gridSpan w:val="2"/>
          </w:tcPr>
          <w:p>
            <w:pPr>
              <w:ind w:firstLine="440"/>
              <w:jc w:val="right"/>
              <w:rPr>
                <w:rFonts w:ascii="Times New Roman" w:hAnsi="Times New Roman" w:eastAsia="宋体" w:cs="Times New Roman"/>
                <w:color w:val="000000"/>
                <w:sz w:val="18"/>
                <w:szCs w:val="18"/>
              </w:rPr>
            </w:pPr>
          </w:p>
        </w:tc>
        <w:tc>
          <w:tcPr>
            <w:tcW w:w="730" w:type="dxa"/>
            <w:gridSpan w:val="2"/>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3" w:type="dxa"/>
            <w:shd w:val="clear" w:color="auto" w:fill="auto"/>
          </w:tcPr>
          <w:p>
            <w:pPr>
              <w:ind w:firstLine="440"/>
              <w:jc w:val="right"/>
              <w:rPr>
                <w:rFonts w:ascii="Times New Roman" w:hAnsi="Times New Roman" w:eastAsia="宋体" w:cs="Times New Roman"/>
                <w:color w:val="000000"/>
                <w:sz w:val="18"/>
                <w:szCs w:val="18"/>
              </w:rPr>
            </w:pPr>
          </w:p>
        </w:tc>
        <w:tc>
          <w:tcPr>
            <w:tcW w:w="904" w:type="dxa"/>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c>
          <w:tcPr>
            <w:tcW w:w="904" w:type="dxa"/>
            <w:shd w:val="clear" w:color="auto" w:fill="auto"/>
          </w:tcPr>
          <w:p>
            <w:pPr>
              <w:ind w:firstLine="440"/>
              <w:jc w:val="right"/>
              <w:rPr>
                <w:rFonts w:ascii="Times New Roman" w:hAnsi="Times New Roman" w:eastAsia="宋体" w:cs="Times New Roman"/>
                <w:color w:val="000000"/>
                <w:sz w:val="18"/>
                <w:szCs w:val="18"/>
              </w:rPr>
            </w:pPr>
          </w:p>
        </w:tc>
      </w:tr>
    </w:tbl>
    <w:p>
      <w:pPr>
        <w:rPr>
          <w:rFonts w:ascii="Times New Roman" w:hAnsi="Times New Roman" w:eastAsia="宋体" w:cs="Times New Roman"/>
          <w:b/>
          <w:bCs/>
          <w:color w:val="000000"/>
          <w:szCs w:val="21"/>
        </w:rPr>
      </w:pPr>
      <w:r>
        <w:rPr>
          <w:rFonts w:hint="eastAsia" w:ascii="Times New Roman" w:hAnsi="Times New Roman" w:eastAsia="宋体" w:cs="Times New Roman"/>
          <w:color w:val="000000"/>
          <w:sz w:val="18"/>
          <w:szCs w:val="18"/>
        </w:rPr>
        <w:t>法定代表人：</w:t>
      </w:r>
      <w:r>
        <w:rPr>
          <w:rFonts w:ascii="Times New Roman" w:hAnsi="Times New Roman" w:eastAsia="宋体" w:cs="Times New Roman"/>
          <w:color w:val="000000"/>
          <w:sz w:val="18"/>
          <w:szCs w:val="18"/>
        </w:rPr>
        <w:t xml:space="preserve">_____________ </w:t>
      </w:r>
      <w:r>
        <w:rPr>
          <w:rFonts w:hint="eastAsia" w:ascii="Times New Roman" w:hAnsi="Times New Roman" w:eastAsia="宋体" w:cs="Times New Roman"/>
          <w:color w:val="000000"/>
          <w:sz w:val="18"/>
          <w:szCs w:val="18"/>
        </w:rPr>
        <w:t>主管会计工作负责人：</w:t>
      </w:r>
      <w:r>
        <w:rPr>
          <w:rFonts w:ascii="Times New Roman" w:hAnsi="Times New Roman" w:eastAsia="宋体" w:cs="Times New Roman"/>
          <w:color w:val="000000"/>
          <w:sz w:val="18"/>
          <w:szCs w:val="18"/>
        </w:rPr>
        <w:t xml:space="preserve">_____________ </w:t>
      </w:r>
      <w:r>
        <w:rPr>
          <w:rFonts w:hint="eastAsia" w:ascii="Times New Roman" w:hAnsi="Times New Roman" w:eastAsia="宋体" w:cs="Times New Roman"/>
          <w:color w:val="000000"/>
          <w:sz w:val="18"/>
          <w:szCs w:val="18"/>
        </w:rPr>
        <w:t>会计机构负责人：</w:t>
      </w:r>
      <w:r>
        <w:rPr>
          <w:rFonts w:ascii="Times New Roman" w:hAnsi="Times New Roman" w:eastAsia="宋体" w:cs="Times New Roman"/>
          <w:color w:val="000000"/>
          <w:sz w:val="18"/>
          <w:szCs w:val="18"/>
        </w:rPr>
        <w:t>_____________</w:t>
      </w:r>
    </w:p>
    <w:p>
      <w:pPr>
        <w:rPr>
          <w:rFonts w:ascii="Times New Roman" w:hAnsi="Times New Roman" w:eastAsia="宋体" w:cs="Times New Roman"/>
          <w:b/>
          <w:bCs/>
          <w:color w:val="000000"/>
          <w:szCs w:val="21"/>
        </w:rPr>
        <w:sectPr>
          <w:pgSz w:w="21633" w:h="11906" w:orient="landscape"/>
          <w:pgMar w:top="1797" w:right="6235" w:bottom="1797" w:left="1440" w:header="851" w:footer="992" w:gutter="0"/>
          <w:cols w:space="425" w:num="1"/>
          <w:docGrid w:type="linesAndChars" w:linePitch="312" w:charSpace="0"/>
        </w:sectPr>
      </w:pPr>
    </w:p>
    <w:bookmarkEnd w:id="66"/>
    <w:bookmarkEnd w:id="67"/>
    <w:bookmarkEnd w:id="68"/>
    <w:bookmarkEnd w:id="69"/>
    <w:p>
      <w:pPr>
        <w:tabs>
          <w:tab w:val="left" w:pos="5140"/>
        </w:tabs>
        <w:rPr>
          <w:rFonts w:ascii="Times New Roman" w:hAnsi="Times New Roman" w:eastAsia="宋体" w:cs="Times New Roman"/>
          <w:b/>
          <w:color w:val="FF0000"/>
          <w:sz w:val="24"/>
          <w:szCs w:val="21"/>
        </w:rPr>
      </w:pPr>
      <w:bookmarkStart w:id="86" w:name="_Toc23441"/>
      <w:bookmarkStart w:id="87" w:name="_Toc10081"/>
      <w:r>
        <w:rPr>
          <w:rFonts w:ascii="Times New Roman" w:hAnsi="Times New Roman" w:eastAsia="宋体" w:cs="Times New Roman"/>
          <w:b/>
          <w:color w:val="FF0000"/>
          <w:sz w:val="24"/>
          <w:szCs w:val="21"/>
        </w:rPr>
        <w:t>注意</w:t>
      </w:r>
      <w:r>
        <w:rPr>
          <w:rFonts w:hint="eastAsia" w:ascii="Times New Roman" w:hAnsi="Times New Roman" w:eastAsia="宋体" w:cs="Times New Roman"/>
          <w:b/>
          <w:color w:val="FF0000"/>
          <w:sz w:val="24"/>
          <w:szCs w:val="21"/>
        </w:rPr>
        <w:t>：</w:t>
      </w:r>
      <w:r>
        <w:rPr>
          <w:rFonts w:ascii="Times New Roman" w:hAnsi="Times New Roman" w:eastAsia="宋体" w:cs="Times New Roman"/>
          <w:b/>
          <w:color w:val="FF0000"/>
          <w:sz w:val="24"/>
          <w:szCs w:val="21"/>
        </w:rPr>
        <w:t>请在财务报表后附</w:t>
      </w:r>
      <w:r>
        <w:rPr>
          <w:rFonts w:hint="eastAsia" w:ascii="Times New Roman" w:hAnsi="Times New Roman" w:eastAsia="宋体" w:cs="Times New Roman"/>
          <w:b/>
          <w:color w:val="FF0000"/>
          <w:sz w:val="24"/>
          <w:szCs w:val="21"/>
        </w:rPr>
        <w:t>“财务报表附注”！！</w:t>
      </w:r>
      <w:bookmarkEnd w:id="86"/>
      <w:bookmarkEnd w:id="87"/>
    </w:p>
    <w:p>
      <w:pPr>
        <w:keepNext/>
        <w:keepLines/>
        <w:spacing w:before="100" w:after="100"/>
        <w:outlineLvl w:val="1"/>
        <w:rPr>
          <w:rFonts w:ascii="Times New Roman" w:hAnsi="Times New Roman" w:eastAsia="微软雅黑" w:cs="Times New Roman"/>
          <w:b/>
          <w:bCs/>
          <w:sz w:val="22"/>
          <w:szCs w:val="32"/>
        </w:rPr>
      </w:pPr>
      <w:bookmarkStart w:id="88" w:name="_Toc3016"/>
      <w:bookmarkStart w:id="89" w:name="_Toc23833"/>
      <w:r>
        <w:rPr>
          <w:rFonts w:hint="eastAsia" w:ascii="Times New Roman" w:hAnsi="Times New Roman" w:eastAsia="微软雅黑" w:cs="Times New Roman"/>
          <w:b/>
          <w:bCs/>
          <w:sz w:val="22"/>
          <w:szCs w:val="32"/>
        </w:rPr>
        <w:t xml:space="preserve">附件 </w:t>
      </w:r>
      <w:r>
        <w:rPr>
          <w:rFonts w:ascii="Times New Roman" w:hAnsi="Times New Roman" w:eastAsia="微软雅黑" w:cs="Times New Roman"/>
          <w:b/>
          <w:bCs/>
          <w:sz w:val="22"/>
          <w:szCs w:val="32"/>
        </w:rPr>
        <w:t>会计</w:t>
      </w:r>
      <w:r>
        <w:rPr>
          <w:rFonts w:hint="eastAsia" w:ascii="Times New Roman" w:hAnsi="Times New Roman" w:eastAsia="微软雅黑" w:cs="Times New Roman"/>
          <w:b/>
          <w:bCs/>
          <w:sz w:val="22"/>
          <w:szCs w:val="32"/>
        </w:rPr>
        <w:t>信息</w:t>
      </w:r>
      <w:r>
        <w:rPr>
          <w:rFonts w:ascii="Times New Roman" w:hAnsi="Times New Roman" w:eastAsia="微软雅黑" w:cs="Times New Roman"/>
          <w:b/>
          <w:bCs/>
          <w:sz w:val="22"/>
          <w:szCs w:val="32"/>
        </w:rPr>
        <w:t>调整及差异情况</w:t>
      </w:r>
    </w:p>
    <w:p>
      <w:pPr>
        <w:keepNext/>
        <w:keepLines/>
        <w:spacing w:before="100" w:after="100"/>
        <w:outlineLvl w:val="1"/>
        <w:rPr>
          <w:rFonts w:ascii="Times New Roman" w:hAnsi="Times New Roman" w:eastAsia="微软雅黑" w:cs="Times New Roman"/>
          <w:b/>
          <w:bCs/>
          <w:sz w:val="22"/>
          <w:szCs w:val="32"/>
          <w:lang w:val="zh-CN"/>
        </w:rPr>
      </w:pPr>
      <w:r>
        <w:rPr>
          <w:rFonts w:hint="eastAsia" w:ascii="Times New Roman" w:hAnsi="Times New Roman" w:eastAsia="微软雅黑" w:cs="Times New Roman"/>
          <w:b/>
          <w:bCs/>
          <w:sz w:val="22"/>
          <w:szCs w:val="32"/>
        </w:rPr>
        <w:t>一</w:t>
      </w:r>
      <w:r>
        <w:rPr>
          <w:rFonts w:hint="eastAsia" w:ascii="Times New Roman" w:hAnsi="Times New Roman" w:eastAsia="微软雅黑" w:cs="Times New Roman"/>
          <w:b/>
          <w:bCs/>
          <w:sz w:val="22"/>
          <w:szCs w:val="32"/>
          <w:lang w:val="zh-CN"/>
        </w:rPr>
        <w:t>、会计政策变更、会计</w:t>
      </w:r>
      <w:r>
        <w:rPr>
          <w:rFonts w:ascii="Times New Roman" w:hAnsi="Times New Roman" w:eastAsia="微软雅黑" w:cs="Times New Roman"/>
          <w:b/>
          <w:bCs/>
          <w:sz w:val="22"/>
          <w:szCs w:val="32"/>
          <w:lang w:val="zh-CN"/>
        </w:rPr>
        <w:t>估计变更或重大</w:t>
      </w:r>
      <w:r>
        <w:rPr>
          <w:rFonts w:hint="eastAsia" w:ascii="Times New Roman" w:hAnsi="Times New Roman" w:eastAsia="微软雅黑" w:cs="Times New Roman"/>
          <w:b/>
          <w:bCs/>
          <w:sz w:val="22"/>
          <w:szCs w:val="32"/>
          <w:lang w:val="zh-CN"/>
        </w:rPr>
        <w:t>差错更正等</w:t>
      </w:r>
      <w:r>
        <w:rPr>
          <w:rFonts w:ascii="Times New Roman" w:hAnsi="Times New Roman"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Times New Roman" w:hAnsi="Times New Roman" w:eastAsia="宋体" w:cs="Times New Roman"/>
          <w:color w:val="FF0000"/>
          <w:szCs w:val="44"/>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会计政策变更</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会计差错更正</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其他原因</w:t>
      </w:r>
      <w:r>
        <w:rPr>
          <w:rFonts w:hint="eastAsia" w:ascii="Times New Roman" w:hAnsi="Times New Roman" w:eastAsia="宋体" w:cs="Times New Roman"/>
          <w:color w:val="FF0000"/>
          <w:u w:val="single"/>
        </w:rPr>
        <w:t>（请填写具体原因）</w:t>
      </w:r>
    </w:p>
    <w:p>
      <w:pP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p>
      <w:pPr>
        <w:jc w:val="right"/>
        <w:rPr>
          <w:rFonts w:ascii="Times New Roman" w:hAnsi="Times New Roman" w:eastAsia="宋体" w:cs="Times New Roman"/>
          <w:szCs w:val="21"/>
        </w:rPr>
      </w:pPr>
      <w:r>
        <w:rPr>
          <w:rFonts w:hint="eastAsia" w:ascii="Times New Roman" w:hAnsi="Times New Roman"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科目/指标</w:t>
            </w:r>
          </w:p>
        </w:tc>
        <w:tc>
          <w:tcPr>
            <w:tcW w:w="4110" w:type="dxa"/>
            <w:gridSpan w:val="2"/>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上年</w:t>
            </w:r>
            <w:r>
              <w:rPr>
                <w:rFonts w:ascii="Times New Roman" w:hAnsi="Times New Roman" w:eastAsia="宋体" w:cs="Times New Roman"/>
                <w:b/>
                <w:color w:val="000000"/>
                <w:kern w:val="0"/>
                <w:sz w:val="22"/>
              </w:rPr>
              <w:t>期末（</w:t>
            </w:r>
            <w:r>
              <w:rPr>
                <w:rFonts w:hint="eastAsia" w:ascii="Times New Roman" w:hAnsi="Times New Roman" w:eastAsia="宋体" w:cs="Times New Roman"/>
                <w:b/>
                <w:color w:val="000000"/>
                <w:kern w:val="0"/>
                <w:sz w:val="22"/>
              </w:rPr>
              <w:t>上年同期</w:t>
            </w:r>
            <w:r>
              <w:rPr>
                <w:rFonts w:ascii="Times New Roman" w:hAnsi="Times New Roman" w:eastAsia="宋体" w:cs="Times New Roman"/>
                <w:b/>
                <w:color w:val="000000"/>
                <w:kern w:val="0"/>
                <w:sz w:val="22"/>
              </w:rPr>
              <w:t>）</w:t>
            </w:r>
          </w:p>
        </w:tc>
        <w:tc>
          <w:tcPr>
            <w:tcW w:w="4111" w:type="dxa"/>
            <w:gridSpan w:val="2"/>
            <w:shd w:val="pct10" w:color="auto" w:fill="auto"/>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上上年</w:t>
            </w:r>
            <w:r>
              <w:rPr>
                <w:rFonts w:ascii="Times New Roman" w:hAnsi="Times New Roman" w:eastAsia="宋体" w:cs="Times New Roman"/>
                <w:b/>
                <w:color w:val="000000"/>
                <w:kern w:val="0"/>
                <w:sz w:val="22"/>
              </w:rPr>
              <w:t>期末（</w:t>
            </w:r>
            <w:r>
              <w:rPr>
                <w:rFonts w:hint="eastAsia" w:ascii="Times New Roman" w:hAnsi="Times New Roman" w:eastAsia="宋体" w:cs="Times New Roman"/>
                <w:b/>
                <w:color w:val="000000"/>
                <w:kern w:val="0"/>
                <w:sz w:val="22"/>
              </w:rPr>
              <w:t>上上年同期</w:t>
            </w:r>
            <w:r>
              <w:rPr>
                <w:rFonts w:ascii="Times New Roman" w:hAnsi="Times New Roman"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imes New Roman" w:hAnsi="Times New Roman" w:eastAsia="宋体" w:cs="Times New Roman"/>
                <w:b/>
                <w:color w:val="000000"/>
                <w:kern w:val="0"/>
                <w:sz w:val="22"/>
              </w:rPr>
            </w:pPr>
          </w:p>
        </w:tc>
        <w:tc>
          <w:tcPr>
            <w:tcW w:w="1984" w:type="dxa"/>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调整重述前</w:t>
            </w:r>
          </w:p>
        </w:tc>
        <w:tc>
          <w:tcPr>
            <w:tcW w:w="2126" w:type="dxa"/>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调整</w:t>
            </w:r>
            <w:r>
              <w:rPr>
                <w:rFonts w:ascii="Times New Roman" w:hAnsi="Times New Roman" w:eastAsia="宋体" w:cs="Times New Roman"/>
                <w:b/>
                <w:color w:val="000000"/>
                <w:kern w:val="0"/>
                <w:sz w:val="22"/>
              </w:rPr>
              <w:t>重述后</w:t>
            </w:r>
          </w:p>
        </w:tc>
        <w:tc>
          <w:tcPr>
            <w:tcW w:w="2268" w:type="dxa"/>
            <w:shd w:val="pct10" w:color="auto" w:fill="auto"/>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调整重述前</w:t>
            </w:r>
          </w:p>
        </w:tc>
        <w:tc>
          <w:tcPr>
            <w:tcW w:w="1843" w:type="dxa"/>
            <w:shd w:val="pct10" w:color="auto" w:fill="auto"/>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Times New Roman" w:hAnsi="Times New Roman" w:eastAsia="宋体" w:cs="Times New Roman"/>
                <w:color w:val="000000"/>
                <w:kern w:val="0"/>
                <w:sz w:val="22"/>
              </w:rPr>
            </w:pPr>
          </w:p>
        </w:tc>
        <w:tc>
          <w:tcPr>
            <w:tcW w:w="1984" w:type="dxa"/>
          </w:tcPr>
          <w:p>
            <w:pPr>
              <w:rPr>
                <w:rFonts w:ascii="Times New Roman" w:hAnsi="Times New Roman" w:eastAsia="宋体" w:cs="Times New Roman"/>
                <w:color w:val="000000"/>
                <w:kern w:val="0"/>
                <w:sz w:val="22"/>
              </w:rPr>
            </w:pPr>
          </w:p>
        </w:tc>
        <w:tc>
          <w:tcPr>
            <w:tcW w:w="2126" w:type="dxa"/>
          </w:tcPr>
          <w:p>
            <w:pPr>
              <w:rPr>
                <w:rFonts w:ascii="Times New Roman" w:hAnsi="Times New Roman" w:eastAsia="宋体" w:cs="Times New Roman"/>
                <w:color w:val="000000"/>
                <w:kern w:val="0"/>
                <w:sz w:val="22"/>
              </w:rPr>
            </w:pPr>
          </w:p>
        </w:tc>
        <w:tc>
          <w:tcPr>
            <w:tcW w:w="2268" w:type="dxa"/>
          </w:tcPr>
          <w:p>
            <w:pPr>
              <w:rPr>
                <w:rFonts w:ascii="Times New Roman" w:hAnsi="Times New Roman" w:eastAsia="宋体" w:cs="Times New Roman"/>
                <w:color w:val="000000"/>
                <w:kern w:val="0"/>
                <w:sz w:val="22"/>
              </w:rPr>
            </w:pPr>
          </w:p>
        </w:tc>
        <w:tc>
          <w:tcPr>
            <w:tcW w:w="1843" w:type="dxa"/>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Times New Roman" w:hAnsi="Times New Roman" w:eastAsia="宋体" w:cs="Times New Roman"/>
                <w:color w:val="000000"/>
                <w:kern w:val="0"/>
                <w:sz w:val="22"/>
              </w:rPr>
            </w:pPr>
          </w:p>
        </w:tc>
        <w:tc>
          <w:tcPr>
            <w:tcW w:w="1984" w:type="dxa"/>
          </w:tcPr>
          <w:p>
            <w:pPr>
              <w:rPr>
                <w:rFonts w:ascii="Times New Roman" w:hAnsi="Times New Roman" w:eastAsia="宋体" w:cs="Times New Roman"/>
                <w:color w:val="000000"/>
                <w:kern w:val="0"/>
                <w:sz w:val="22"/>
              </w:rPr>
            </w:pPr>
          </w:p>
        </w:tc>
        <w:tc>
          <w:tcPr>
            <w:tcW w:w="2126" w:type="dxa"/>
          </w:tcPr>
          <w:p>
            <w:pPr>
              <w:rPr>
                <w:rFonts w:ascii="Times New Roman" w:hAnsi="Times New Roman" w:eastAsia="宋体" w:cs="Times New Roman"/>
                <w:color w:val="000000"/>
                <w:kern w:val="0"/>
                <w:sz w:val="22"/>
              </w:rPr>
            </w:pPr>
          </w:p>
        </w:tc>
        <w:tc>
          <w:tcPr>
            <w:tcW w:w="2268" w:type="dxa"/>
          </w:tcPr>
          <w:p>
            <w:pPr>
              <w:rPr>
                <w:rFonts w:ascii="Times New Roman" w:hAnsi="Times New Roman" w:eastAsia="宋体" w:cs="Times New Roman"/>
                <w:color w:val="000000"/>
                <w:kern w:val="0"/>
                <w:sz w:val="22"/>
              </w:rPr>
            </w:pPr>
          </w:p>
        </w:tc>
        <w:tc>
          <w:tcPr>
            <w:tcW w:w="1843" w:type="dxa"/>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（自动添行</w:t>
            </w:r>
            <w:r>
              <w:rPr>
                <w:rFonts w:ascii="Times New Roman" w:hAnsi="Times New Roman" w:eastAsia="宋体" w:cs="Times New Roman"/>
                <w:color w:val="000000"/>
                <w:kern w:val="0"/>
                <w:sz w:val="22"/>
              </w:rPr>
              <w:t>）</w:t>
            </w:r>
          </w:p>
        </w:tc>
        <w:tc>
          <w:tcPr>
            <w:tcW w:w="1984" w:type="dxa"/>
          </w:tcPr>
          <w:p>
            <w:pPr>
              <w:rPr>
                <w:rFonts w:ascii="Times New Roman" w:hAnsi="Times New Roman" w:eastAsia="宋体" w:cs="Times New Roman"/>
                <w:color w:val="000000"/>
                <w:kern w:val="0"/>
                <w:sz w:val="22"/>
              </w:rPr>
            </w:pPr>
          </w:p>
        </w:tc>
        <w:tc>
          <w:tcPr>
            <w:tcW w:w="2126" w:type="dxa"/>
          </w:tcPr>
          <w:p>
            <w:pPr>
              <w:rPr>
                <w:rFonts w:ascii="Times New Roman" w:hAnsi="Times New Roman" w:eastAsia="宋体" w:cs="Times New Roman"/>
                <w:color w:val="000000"/>
                <w:kern w:val="0"/>
                <w:sz w:val="22"/>
              </w:rPr>
            </w:pPr>
          </w:p>
        </w:tc>
        <w:tc>
          <w:tcPr>
            <w:tcW w:w="2268" w:type="dxa"/>
          </w:tcPr>
          <w:p>
            <w:pPr>
              <w:rPr>
                <w:rFonts w:ascii="Times New Roman" w:hAnsi="Times New Roman" w:eastAsia="宋体" w:cs="Times New Roman"/>
                <w:color w:val="000000"/>
                <w:kern w:val="0"/>
                <w:sz w:val="22"/>
              </w:rPr>
            </w:pPr>
          </w:p>
        </w:tc>
        <w:tc>
          <w:tcPr>
            <w:tcW w:w="1843" w:type="dxa"/>
          </w:tcPr>
          <w:p>
            <w:pPr>
              <w:rPr>
                <w:rFonts w:ascii="Times New Roman" w:hAnsi="Times New Roman" w:eastAsia="宋体" w:cs="Times New Roman"/>
                <w:color w:val="000000"/>
                <w:kern w:val="0"/>
                <w:sz w:val="22"/>
              </w:rPr>
            </w:pPr>
          </w:p>
        </w:tc>
      </w:tr>
    </w:tbl>
    <w:p>
      <w:pPr>
        <w:widowControl/>
        <w:jc w:val="left"/>
        <w:rPr>
          <w:rFonts w:ascii="Times New Roman" w:hAnsi="Times New Roman" w:eastAsia="宋体" w:cs="Times New Roman"/>
          <w:i/>
          <w:color w:val="FF0000"/>
          <w:szCs w:val="44"/>
        </w:rPr>
      </w:pPr>
      <w:r>
        <w:rPr>
          <w:rFonts w:hint="eastAsia" w:ascii="Times New Roman" w:hAnsi="Times New Roman"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Times New Roman" w:hAnsi="Times New Roman" w:eastAsia="宋体" w:cs="Times New Roman"/>
                <w:i/>
                <w:color w:val="FF0000"/>
                <w:kern w:val="0"/>
                <w:sz w:val="20"/>
                <w:szCs w:val="44"/>
              </w:rPr>
            </w:pPr>
            <w:r>
              <w:rPr>
                <w:rFonts w:hint="eastAsia" w:ascii="Times New Roman" w:hAnsi="Times New Roman"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Times New Roman" w:hAnsi="Times New Roman" w:eastAsia="微软雅黑" w:cs="Times New Roman"/>
          <w:b/>
          <w:bCs/>
          <w:sz w:val="22"/>
          <w:szCs w:val="32"/>
          <w:lang w:val="zh-CN"/>
        </w:rPr>
      </w:pPr>
      <w:r>
        <w:rPr>
          <w:rFonts w:hint="eastAsia" w:ascii="Times New Roman" w:hAnsi="Times New Roman" w:eastAsia="微软雅黑" w:cs="Times New Roman"/>
          <w:b/>
          <w:bCs/>
          <w:sz w:val="22"/>
          <w:szCs w:val="32"/>
          <w:lang w:val="zh-CN"/>
        </w:rPr>
        <w:t>二、非经常性</w:t>
      </w:r>
      <w:r>
        <w:rPr>
          <w:rFonts w:ascii="Times New Roman" w:hAnsi="Times New Roman" w:eastAsia="微软雅黑" w:cs="Times New Roman"/>
          <w:b/>
          <w:bCs/>
          <w:sz w:val="22"/>
          <w:szCs w:val="32"/>
          <w:lang w:val="zh-CN"/>
        </w:rPr>
        <w:t>损益</w:t>
      </w:r>
      <w:r>
        <w:rPr>
          <w:rFonts w:hint="eastAsia" w:ascii="Times New Roman" w:hAnsi="Times New Roman" w:eastAsia="微软雅黑" w:cs="Times New Roman"/>
          <w:b/>
          <w:bCs/>
          <w:sz w:val="22"/>
          <w:szCs w:val="32"/>
          <w:lang w:val="zh-CN"/>
        </w:rPr>
        <w:t>项目及金额</w:t>
      </w:r>
      <w:bookmarkStart w:id="90" w:name="_GoBack"/>
      <w:bookmarkEnd w:id="90"/>
    </w:p>
    <w:p>
      <w:pPr>
        <w:jc w:val="right"/>
        <w:rPr>
          <w:rFonts w:ascii="Times New Roman" w:hAnsi="Times New Roman" w:eastAsia="微软雅黑" w:cs="Times New Roman"/>
          <w:b/>
          <w:sz w:val="22"/>
          <w:szCs w:val="44"/>
        </w:rPr>
      </w:pPr>
      <w:r>
        <w:rPr>
          <w:rFonts w:hint="eastAsia" w:ascii="Times New Roman" w:hAnsi="Times New Roman"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imes New Roman" w:hAnsi="Times New Roman" w:eastAsia="宋体" w:cs="Times New Roman"/>
                <w:color w:val="000000"/>
                <w:kern w:val="0"/>
                <w:sz w:val="22"/>
              </w:rPr>
            </w:pPr>
          </w:p>
        </w:tc>
        <w:tc>
          <w:tcPr>
            <w:tcW w:w="4394" w:type="dxa"/>
            <w:tcBorders>
              <w:right w:val="single" w:color="5B9BD5" w:sz="4" w:space="0"/>
            </w:tcBorders>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r>
              <w:rPr>
                <w:rFonts w:hint="eastAsia" w:ascii="Times New Roman" w:hAnsi="Times New Roman" w:eastAsia="宋体" w:cs="Times New Roman"/>
                <w:color w:val="000000"/>
                <w:kern w:val="0"/>
                <w:sz w:val="22"/>
              </w:rPr>
              <w:t>（自动添行</w:t>
            </w:r>
            <w:r>
              <w:rPr>
                <w:rFonts w:ascii="Times New Roman" w:hAnsi="Times New Roman" w:eastAsia="宋体" w:cs="Times New Roman"/>
                <w:color w:val="000000"/>
                <w:kern w:val="0"/>
                <w:sz w:val="22"/>
              </w:rPr>
              <w:t>）</w:t>
            </w:r>
          </w:p>
        </w:tc>
        <w:tc>
          <w:tcPr>
            <w:tcW w:w="4394" w:type="dxa"/>
            <w:tcBorders>
              <w:right w:val="single" w:color="5B9BD5" w:sz="4" w:space="0"/>
            </w:tcBorders>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非经常性损益合计</w:t>
            </w:r>
          </w:p>
        </w:tc>
        <w:tc>
          <w:tcPr>
            <w:tcW w:w="4394" w:type="dxa"/>
            <w:tcBorders>
              <w:right w:val="single" w:color="5B9BD5" w:sz="4" w:space="0"/>
            </w:tcBorders>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减：所得税</w:t>
            </w:r>
            <w:r>
              <w:rPr>
                <w:rFonts w:ascii="Times New Roman" w:hAnsi="Times New Roman" w:eastAsia="宋体" w:cs="Times New Roman"/>
                <w:color w:val="000000"/>
                <w:kern w:val="0"/>
                <w:sz w:val="22"/>
              </w:rPr>
              <w:t>影响数</w:t>
            </w:r>
          </w:p>
        </w:tc>
        <w:tc>
          <w:tcPr>
            <w:tcW w:w="4394" w:type="dxa"/>
            <w:tcBorders>
              <w:right w:val="single" w:color="5B9BD5" w:sz="4" w:space="0"/>
            </w:tcBorders>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Times New Roman" w:hAnsi="Times New Roman" w:eastAsia="宋体" w:cs="Times New Roman"/>
                <w:color w:val="000000"/>
                <w:kern w:val="0"/>
                <w:sz w:val="22"/>
              </w:rPr>
            </w:pPr>
            <w:r>
              <w:rPr>
                <w:rFonts w:ascii="Times New Roman" w:hAnsi="Times New Roman" w:eastAsia="宋体" w:cs="Times New Roman"/>
                <w:color w:val="000000"/>
                <w:sz w:val="22"/>
              </w:rPr>
              <w:t>少数股东权益影响额（税后）</w:t>
            </w:r>
          </w:p>
        </w:tc>
        <w:tc>
          <w:tcPr>
            <w:tcW w:w="4394" w:type="dxa"/>
            <w:tcBorders>
              <w:right w:val="single" w:color="5B9BD5" w:sz="4" w:space="0"/>
            </w:tcBorders>
          </w:tcPr>
          <w:p>
            <w:pPr>
              <w:rPr>
                <w:rFonts w:ascii="Times New Roman" w:hAnsi="Times New Roman"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imes New Roman" w:hAnsi="Times New Roman" w:eastAsia="宋体" w:cs="Times New Roman"/>
                <w:b/>
                <w:color w:val="000000"/>
                <w:kern w:val="0"/>
                <w:sz w:val="22"/>
              </w:rPr>
            </w:pPr>
            <w:r>
              <w:rPr>
                <w:rFonts w:hint="eastAsia" w:ascii="Times New Roman" w:hAnsi="Times New Roman" w:eastAsia="宋体" w:cs="Times New Roman"/>
                <w:b/>
                <w:color w:val="000000"/>
                <w:kern w:val="0"/>
                <w:sz w:val="22"/>
              </w:rPr>
              <w:t>非经常性</w:t>
            </w:r>
            <w:r>
              <w:rPr>
                <w:rFonts w:ascii="Times New Roman" w:hAnsi="Times New Roman" w:eastAsia="宋体" w:cs="Times New Roman"/>
                <w:b/>
                <w:color w:val="000000"/>
                <w:kern w:val="0"/>
                <w:sz w:val="22"/>
              </w:rPr>
              <w:t>损益净额</w:t>
            </w:r>
          </w:p>
        </w:tc>
        <w:tc>
          <w:tcPr>
            <w:tcW w:w="4394" w:type="dxa"/>
            <w:tcBorders>
              <w:right w:val="single" w:color="5B9BD5" w:sz="4" w:space="0"/>
            </w:tcBorders>
          </w:tcPr>
          <w:p>
            <w:pPr>
              <w:rPr>
                <w:rFonts w:ascii="Times New Roman" w:hAnsi="Times New Roman" w:eastAsia="宋体" w:cs="Times New Roman"/>
                <w:color w:val="000000"/>
                <w:kern w:val="0"/>
                <w:sz w:val="22"/>
              </w:rPr>
            </w:pPr>
          </w:p>
        </w:tc>
      </w:tr>
    </w:tbl>
    <w:p>
      <w:pPr>
        <w:keepNext/>
        <w:keepLines/>
        <w:spacing w:before="100" w:after="100"/>
        <w:outlineLvl w:val="1"/>
        <w:rPr>
          <w:rFonts w:ascii="Times New Roman" w:hAnsi="Times New Roman" w:eastAsia="微软雅黑" w:cs="Times New Roman"/>
          <w:b/>
          <w:bCs/>
          <w:sz w:val="22"/>
          <w:szCs w:val="32"/>
          <w:lang w:val="zh-CN"/>
        </w:rPr>
      </w:pPr>
      <w:r>
        <w:rPr>
          <w:rFonts w:hint="eastAsia" w:ascii="Times New Roman" w:hAnsi="Times New Roman" w:eastAsia="微软雅黑" w:cs="Times New Roman"/>
          <w:b/>
          <w:bCs/>
          <w:sz w:val="22"/>
          <w:szCs w:val="32"/>
          <w:lang w:val="zh-CN"/>
        </w:rPr>
        <w:t>三、境内外会计准则下会计数据差异</w:t>
      </w:r>
    </w:p>
    <w:p>
      <w:pP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254225"/>
    </w:sdtPr>
    <w:sdtContent>
      <w:p>
        <w:pPr>
          <w:pStyle w:val="31"/>
          <w:ind w:left="2100" w:hanging="420"/>
          <w:jc w:val="center"/>
        </w:pPr>
        <w:r>
          <w:fldChar w:fldCharType="begin"/>
        </w:r>
        <w:r>
          <w:instrText xml:space="preserve">PAGE   \* MERGEFORMAT</w:instrText>
        </w:r>
        <w:r>
          <w:fldChar w:fldCharType="separate"/>
        </w:r>
        <w:r>
          <w:rPr>
            <w:lang w:val="zh-CN"/>
          </w:rPr>
          <w:t>33</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284"/>
    <w:rsid w:val="00005D98"/>
    <w:rsid w:val="00024C99"/>
    <w:rsid w:val="000473CC"/>
    <w:rsid w:val="000520E2"/>
    <w:rsid w:val="000569D0"/>
    <w:rsid w:val="00064DCD"/>
    <w:rsid w:val="00077348"/>
    <w:rsid w:val="00087977"/>
    <w:rsid w:val="000907EF"/>
    <w:rsid w:val="00091D4B"/>
    <w:rsid w:val="00096D23"/>
    <w:rsid w:val="000A1D66"/>
    <w:rsid w:val="000B55A6"/>
    <w:rsid w:val="000F78A5"/>
    <w:rsid w:val="0014265B"/>
    <w:rsid w:val="001860B2"/>
    <w:rsid w:val="00194E96"/>
    <w:rsid w:val="001A4C9E"/>
    <w:rsid w:val="001C3D27"/>
    <w:rsid w:val="001C6B30"/>
    <w:rsid w:val="001D457E"/>
    <w:rsid w:val="001E568E"/>
    <w:rsid w:val="00214DCC"/>
    <w:rsid w:val="00233D01"/>
    <w:rsid w:val="00241328"/>
    <w:rsid w:val="00252F1E"/>
    <w:rsid w:val="0026707E"/>
    <w:rsid w:val="00271BDC"/>
    <w:rsid w:val="00272B19"/>
    <w:rsid w:val="00296596"/>
    <w:rsid w:val="002B0B66"/>
    <w:rsid w:val="002D0FAF"/>
    <w:rsid w:val="002F5D5E"/>
    <w:rsid w:val="003245FE"/>
    <w:rsid w:val="00327C82"/>
    <w:rsid w:val="00335404"/>
    <w:rsid w:val="00346154"/>
    <w:rsid w:val="003562AB"/>
    <w:rsid w:val="00364F58"/>
    <w:rsid w:val="003661DA"/>
    <w:rsid w:val="0037123F"/>
    <w:rsid w:val="0037336D"/>
    <w:rsid w:val="00376347"/>
    <w:rsid w:val="003A0744"/>
    <w:rsid w:val="003C500F"/>
    <w:rsid w:val="003D3FCD"/>
    <w:rsid w:val="003F234D"/>
    <w:rsid w:val="004128DE"/>
    <w:rsid w:val="00412A75"/>
    <w:rsid w:val="00475926"/>
    <w:rsid w:val="004764D0"/>
    <w:rsid w:val="00487111"/>
    <w:rsid w:val="004914B8"/>
    <w:rsid w:val="004B1BCE"/>
    <w:rsid w:val="004D13F1"/>
    <w:rsid w:val="004F3506"/>
    <w:rsid w:val="00506480"/>
    <w:rsid w:val="00506875"/>
    <w:rsid w:val="005141A7"/>
    <w:rsid w:val="00541500"/>
    <w:rsid w:val="00595429"/>
    <w:rsid w:val="005A5826"/>
    <w:rsid w:val="005B3199"/>
    <w:rsid w:val="005C1BB7"/>
    <w:rsid w:val="005E417C"/>
    <w:rsid w:val="005F6466"/>
    <w:rsid w:val="0060663A"/>
    <w:rsid w:val="00645834"/>
    <w:rsid w:val="00660962"/>
    <w:rsid w:val="00673B84"/>
    <w:rsid w:val="00674CBE"/>
    <w:rsid w:val="00681962"/>
    <w:rsid w:val="00690756"/>
    <w:rsid w:val="006B2C0C"/>
    <w:rsid w:val="006C1562"/>
    <w:rsid w:val="006C5002"/>
    <w:rsid w:val="006E7C10"/>
    <w:rsid w:val="006F0092"/>
    <w:rsid w:val="007112C2"/>
    <w:rsid w:val="007329DA"/>
    <w:rsid w:val="00752ED5"/>
    <w:rsid w:val="0075546D"/>
    <w:rsid w:val="00755BA5"/>
    <w:rsid w:val="00782E31"/>
    <w:rsid w:val="0079347F"/>
    <w:rsid w:val="0079791E"/>
    <w:rsid w:val="007B7D00"/>
    <w:rsid w:val="007D07A7"/>
    <w:rsid w:val="007E0DFC"/>
    <w:rsid w:val="0082424C"/>
    <w:rsid w:val="0083638B"/>
    <w:rsid w:val="00837BA9"/>
    <w:rsid w:val="00846AA5"/>
    <w:rsid w:val="0085287A"/>
    <w:rsid w:val="00896507"/>
    <w:rsid w:val="008A316D"/>
    <w:rsid w:val="008D33CA"/>
    <w:rsid w:val="00920AFE"/>
    <w:rsid w:val="00981982"/>
    <w:rsid w:val="009A5B79"/>
    <w:rsid w:val="009E303B"/>
    <w:rsid w:val="00A14725"/>
    <w:rsid w:val="00A36191"/>
    <w:rsid w:val="00A56F40"/>
    <w:rsid w:val="00A70E43"/>
    <w:rsid w:val="00A83B1A"/>
    <w:rsid w:val="00AB3142"/>
    <w:rsid w:val="00B66950"/>
    <w:rsid w:val="00BA0359"/>
    <w:rsid w:val="00BA18E8"/>
    <w:rsid w:val="00BB3026"/>
    <w:rsid w:val="00BC6FAA"/>
    <w:rsid w:val="00BD3B96"/>
    <w:rsid w:val="00BE098F"/>
    <w:rsid w:val="00BF544C"/>
    <w:rsid w:val="00C15F20"/>
    <w:rsid w:val="00C26F2A"/>
    <w:rsid w:val="00C3457F"/>
    <w:rsid w:val="00C4778B"/>
    <w:rsid w:val="00C52B10"/>
    <w:rsid w:val="00C83150"/>
    <w:rsid w:val="00CA1118"/>
    <w:rsid w:val="00CA7076"/>
    <w:rsid w:val="00CB6F83"/>
    <w:rsid w:val="00CD6299"/>
    <w:rsid w:val="00D224CB"/>
    <w:rsid w:val="00D54C2A"/>
    <w:rsid w:val="00D75D32"/>
    <w:rsid w:val="00DB4315"/>
    <w:rsid w:val="00E201D2"/>
    <w:rsid w:val="00E84A74"/>
    <w:rsid w:val="00E86B6B"/>
    <w:rsid w:val="00E92F9A"/>
    <w:rsid w:val="00EA2B40"/>
    <w:rsid w:val="00EC48ED"/>
    <w:rsid w:val="00ED28ED"/>
    <w:rsid w:val="00EE7195"/>
    <w:rsid w:val="00F10843"/>
    <w:rsid w:val="00F55814"/>
    <w:rsid w:val="00FA41FD"/>
    <w:rsid w:val="00FC0BF7"/>
    <w:rsid w:val="00FF2B61"/>
    <w:rsid w:val="43FE529B"/>
    <w:rsid w:val="77F71B13"/>
    <w:rsid w:val="7F379FA1"/>
    <w:rsid w:val="A977CCA9"/>
    <w:rsid w:val="B3BD5439"/>
    <w:rsid w:val="F7FF550F"/>
    <w:rsid w:val="FAFBA94A"/>
    <w:rsid w:val="FFDB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4">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0">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修订2"/>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5381</Words>
  <Characters>30676</Characters>
  <Lines>255</Lines>
  <Paragraphs>71</Paragraphs>
  <TotalTime>35</TotalTime>
  <ScaleCrop>false</ScaleCrop>
  <LinksUpToDate>false</LinksUpToDate>
  <CharactersWithSpaces>35986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2023-09-27T17:46:00Z</dcterms:created>
  <dc:creator>黄伊晨hyc </dc:creator>
  <cp:lastModifiedBy>cuiyq</cp:lastModifiedBy>
  <dcterms:modified xsi:type="dcterms:W3CDTF">2024-12-24T15:42:01Z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1E2CEDFE50A7E3F9B7AC3667D3F5F696_42</vt:lpwstr>
  </property>
</Properties>
</file>