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证券公司</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证券公司</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747"/>
      <w:bookmarkStart w:id="1" w:name="_Toc2219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六、本年度报告已在“第二节会计数据、经营情况和管理层分析”之“十</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0"/>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  行业信息</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第七节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26929"/>
      <w:bookmarkStart w:id="3" w:name="_Toc3325"/>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rPr>
          <w:trHeight w:val="588"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rPr>
          <w:trHeight w:val="300"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rPr>
          <w:trHeight w:val="588"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rPr>
          <w:trHeight w:val="300"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rPr>
          <w:trHeight w:val="300"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rPr>
          <w:trHeight w:val="366" w:hRule="atLeast"/>
          <w:jc w:val="center"/>
        </w:trPr>
        <w:tc>
          <w:tcPr>
            <w:tcW w:w="240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rPr>
                <w:rFonts w:ascii="宋体" w:hAnsi="宋体" w:eastAsia="宋体" w:cs="宋体"/>
                <w:color w:val="FF0000"/>
                <w:kern w:val="0"/>
                <w:sz w:val="22"/>
              </w:rPr>
            </w:pPr>
            <w:bookmarkStart w:id="4" w:name="_Toc17493"/>
            <w:bookmarkStart w:id="5" w:name="_Toc20290"/>
            <w:r>
              <w:rPr>
                <w:rFonts w:hint="eastAsia" w:ascii="宋体" w:hAnsi="宋体" w:eastAsia="宋体" w:cs="宋体"/>
                <w:color w:val="000000"/>
                <w:kern w:val="0"/>
                <w:sz w:val="22"/>
              </w:rPr>
              <w:t>公司经营范围和单项业务资格</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公司历史沿革</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rPr>
                <w:rFonts w:ascii="宋体" w:hAnsi="宋体" w:eastAsia="宋体" w:cs="宋体"/>
                <w:color w:val="000000"/>
                <w:kern w:val="0"/>
                <w:sz w:val="22"/>
              </w:rPr>
            </w:pPr>
            <w:r>
              <w:rPr>
                <w:rFonts w:hint="eastAsia" w:cs="Times New Roman" w:asciiTheme="minorEastAsia" w:hAnsiTheme="minorEastAsia"/>
                <w:i/>
                <w:color w:val="FF0000"/>
                <w:sz w:val="22"/>
              </w:rPr>
              <w:t>注</w:t>
            </w:r>
            <w:r>
              <w:rPr>
                <w:rFonts w:cs="Times New Roman" w:asciiTheme="minorEastAsia" w:hAnsiTheme="minorEastAsia"/>
                <w:i/>
                <w:color w:val="FF0000"/>
                <w:sz w:val="22"/>
              </w:rPr>
              <w:t>：公司应简要介绍其历史沿革，</w:t>
            </w:r>
            <w:r>
              <w:rPr>
                <w:rFonts w:hint="eastAsia" w:cs="Times New Roman" w:asciiTheme="minorEastAsia" w:hAnsiTheme="minorEastAsia"/>
                <w:i/>
                <w:color w:val="FF0000"/>
                <w:sz w:val="22"/>
              </w:rPr>
              <w:t>主要</w:t>
            </w:r>
            <w:r>
              <w:rPr>
                <w:rFonts w:cs="Times New Roman" w:asciiTheme="minorEastAsia" w:hAnsiTheme="minorEastAsia"/>
                <w:i/>
                <w:color w:val="FF0000"/>
                <w:sz w:val="22"/>
              </w:rPr>
              <w:t>包括以前年度</w:t>
            </w:r>
            <w:r>
              <w:rPr>
                <w:rFonts w:hint="eastAsia" w:cs="Times New Roman" w:asciiTheme="minorEastAsia" w:hAnsiTheme="minorEastAsia"/>
                <w:i/>
                <w:color w:val="FF0000"/>
                <w:sz w:val="22"/>
              </w:rPr>
              <w:t>经历</w:t>
            </w:r>
            <w:r>
              <w:rPr>
                <w:rFonts w:cs="Times New Roman" w:asciiTheme="minorEastAsia" w:hAnsiTheme="minorEastAsia"/>
                <w:i/>
                <w:color w:val="FF0000"/>
                <w:sz w:val="22"/>
              </w:rPr>
              <w:t>的改制重组、增资扩股等情况。</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公司组织结构</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rPr>
                <w:rFonts w:ascii="宋体" w:hAnsi="宋体" w:eastAsia="宋体" w:cs="宋体"/>
                <w:color w:val="000000"/>
                <w:kern w:val="0"/>
                <w:sz w:val="22"/>
              </w:rPr>
            </w:pPr>
            <w:r>
              <w:rPr>
                <w:rFonts w:hint="eastAsia" w:cs="Times New Roman" w:asciiTheme="minorEastAsia" w:hAnsiTheme="minorEastAsia"/>
                <w:i/>
                <w:color w:val="FF0000"/>
                <w:sz w:val="22"/>
              </w:rPr>
              <w:t>注</w:t>
            </w:r>
            <w:r>
              <w:rPr>
                <w:rFonts w:cs="Times New Roman" w:asciiTheme="minorEastAsia" w:hAnsiTheme="minorEastAsia"/>
                <w:i/>
                <w:color w:val="FF0000"/>
                <w:sz w:val="22"/>
              </w:rPr>
              <w:t>：公司应简要介绍其组织结构，包括公司总部的主要职能部门、境内外分公司、境内外专业子公司等。</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tabs>
                <w:tab w:val="left" w:pos="5140"/>
              </w:tabs>
              <w:rPr>
                <w:rFonts w:cs="Times New Roman" w:asciiTheme="minorEastAsia" w:hAnsiTheme="minorEastAsia"/>
                <w:i/>
                <w:color w:val="FF0000"/>
                <w:sz w:val="22"/>
              </w:rPr>
            </w:pPr>
            <w:r>
              <w:rPr>
                <w:rFonts w:hint="eastAsia" w:ascii="宋体" w:hAnsi="宋体" w:eastAsia="宋体" w:cs="宋体"/>
                <w:color w:val="000000"/>
                <w:kern w:val="0"/>
                <w:sz w:val="22"/>
              </w:rPr>
              <w:t>公司证券营业部</w:t>
            </w:r>
            <w:r>
              <w:rPr>
                <w:rFonts w:ascii="宋体" w:hAnsi="宋体" w:eastAsia="宋体" w:cs="宋体"/>
                <w:color w:val="000000"/>
                <w:kern w:val="0"/>
                <w:sz w:val="22"/>
              </w:rPr>
              <w:t>数量和</w:t>
            </w:r>
            <w:r>
              <w:rPr>
                <w:rFonts w:hint="eastAsia" w:ascii="宋体" w:hAnsi="宋体" w:eastAsia="宋体" w:cs="宋体"/>
                <w:color w:val="000000"/>
                <w:kern w:val="0"/>
                <w:sz w:val="22"/>
              </w:rPr>
              <w:t>分布</w:t>
            </w:r>
            <w:r>
              <w:rPr>
                <w:rFonts w:ascii="宋体" w:hAnsi="宋体" w:eastAsia="宋体" w:cs="宋体"/>
                <w:color w:val="000000"/>
                <w:kern w:val="0"/>
                <w:sz w:val="22"/>
              </w:rPr>
              <w:t>情况</w:t>
            </w:r>
          </w:p>
        </w:tc>
      </w:tr>
      <w:tr>
        <w:trPr>
          <w:trHeight w:val="366"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rPr>
                <w:rFonts w:ascii="宋体" w:hAnsi="宋体" w:eastAsia="宋体" w:cs="宋体"/>
                <w:color w:val="000000"/>
                <w:kern w:val="0"/>
                <w:sz w:val="22"/>
              </w:rPr>
            </w:pPr>
            <w:r>
              <w:rPr>
                <w:rFonts w:hint="eastAsia" w:cs="Times New Roman" w:asciiTheme="minorEastAsia" w:hAnsiTheme="minorEastAsia"/>
                <w:i/>
                <w:color w:val="FF0000"/>
                <w:sz w:val="22"/>
              </w:rPr>
              <w:t>注</w:t>
            </w:r>
            <w:r>
              <w:rPr>
                <w:rFonts w:cs="Times New Roman" w:asciiTheme="minorEastAsia" w:hAnsiTheme="minorEastAsia"/>
                <w:i/>
                <w:color w:val="FF0000"/>
                <w:sz w:val="22"/>
              </w:rPr>
              <w:t>：公司应概要披露其证券营业部数量和</w:t>
            </w:r>
            <w:r>
              <w:rPr>
                <w:rFonts w:hint="eastAsia" w:cs="Times New Roman" w:asciiTheme="minorEastAsia" w:hAnsiTheme="minorEastAsia"/>
                <w:i/>
                <w:color w:val="FF0000"/>
                <w:sz w:val="22"/>
              </w:rPr>
              <w:t>分布</w:t>
            </w:r>
            <w:r>
              <w:rPr>
                <w:rFonts w:cs="Times New Roman" w:asciiTheme="minorEastAsia" w:hAnsiTheme="minorEastAsia"/>
                <w:i/>
                <w:color w:val="FF0000"/>
                <w:sz w:val="22"/>
              </w:rPr>
              <w:t>情况。</w:t>
            </w:r>
          </w:p>
        </w:tc>
      </w:tr>
    </w:tbl>
    <w:p>
      <w:pPr>
        <w:keepNext/>
        <w:keepLines/>
        <w:spacing w:before="100" w:after="100"/>
        <w:jc w:val="center"/>
        <w:outlineLvl w:val="0"/>
        <w:rPr>
          <w:rFonts w:ascii="Calibri" w:hAnsi="Calibri" w:eastAsia="黑体" w:cs="Times New Roman"/>
          <w:b/>
          <w:bCs/>
          <w:kern w:val="44"/>
          <w:sz w:val="36"/>
          <w:szCs w:val="44"/>
          <w:lang w:val="zh-CN"/>
        </w:rPr>
        <w:sectPr>
          <w:footerReference r:id="rId3" w:type="default"/>
          <w:pgSz w:w="11907" w:h="16840"/>
          <w:pgMar w:top="1440" w:right="1797" w:bottom="1440" w:left="1797" w:header="851" w:footer="992" w:gutter="0"/>
          <w:cols w:space="425" w:num="1"/>
          <w:docGrid w:type="lines" w:linePitch="312" w:charSpace="0"/>
        </w:sectPr>
      </w:pP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（二）行业情况</w:t>
      </w:r>
      <w:r>
        <w:rPr>
          <w:rFonts w:hint="eastAsia" w:ascii="Calibri" w:hAnsi="Calibri" w:eastAsia="宋体" w:cs="Times New Roman"/>
          <w:b/>
          <w:color w:val="FF0000"/>
        </w:rPr>
        <w:t>（创新层公司适用）</w:t>
      </w:r>
    </w:p>
    <w:tbl>
      <w:tblPr>
        <w:tblStyle w:val="174"/>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9638"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w:t>
            </w:r>
            <w:r>
              <w:rPr>
                <w:rFonts w:ascii="宋体" w:hAnsi="宋体" w:eastAsia="宋体" w:cs="Times New Roman"/>
                <w:i/>
                <w:color w:val="FF0000"/>
                <w:kern w:val="0"/>
                <w:sz w:val="20"/>
                <w:szCs w:val="44"/>
              </w:rPr>
              <w:t>应当分析</w:t>
            </w:r>
            <w:r>
              <w:rPr>
                <w:rFonts w:hint="eastAsia" w:ascii="宋体" w:hAnsi="宋体" w:eastAsia="宋体" w:cs="Times New Roman"/>
                <w:i/>
                <w:color w:val="FF0000"/>
                <w:kern w:val="0"/>
                <w:sz w:val="20"/>
                <w:szCs w:val="44"/>
              </w:rPr>
              <w:t>报告期内行业发展、周期波动等情况；应说明行业发展因素、行业法律法规等的变动及对公司经营情况的影响。</w:t>
            </w:r>
            <w:r>
              <w:rPr>
                <w:rFonts w:ascii="宋体" w:hAnsi="宋体" w:eastAsia="宋体" w:cs="Times New Roman"/>
                <w:i/>
                <w:color w:val="FF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Layout w:type="autofit"/>
        <w:tblCellMar>
          <w:top w:w="0" w:type="dxa"/>
          <w:left w:w="108" w:type="dxa"/>
          <w:bottom w:w="0" w:type="dxa"/>
          <w:right w:w="108" w:type="dxa"/>
        </w:tblCellMar>
      </w:tblPr>
      <w:tblGrid>
        <w:gridCol w:w="3544"/>
        <w:gridCol w:w="1676"/>
        <w:gridCol w:w="1820"/>
        <w:gridCol w:w="1820"/>
      </w:tblGrid>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净资本及风险控制指标</w:t>
            </w:r>
          </w:p>
        </w:tc>
        <w:tc>
          <w:tcPr>
            <w:tcW w:w="1676"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r>
              <w:rPr>
                <w:rFonts w:ascii="宋体" w:hAnsi="宋体" w:eastAsia="宋体" w:cs="宋体"/>
                <w:b/>
                <w:bCs/>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净资本</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其中：核心净资本</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sz w:val="22"/>
                <w14:textFill>
                  <w14:solidFill>
                    <w14:schemeClr w14:val="tx1"/>
                  </w14:solidFill>
                </w14:textFill>
              </w:rPr>
              <w:t xml:space="preserve">      </w:t>
            </w:r>
            <w:r>
              <w:rPr>
                <w:rFonts w:hint="eastAsia" w:asciiTheme="minorEastAsia" w:hAnsiTheme="minorEastAsia"/>
                <w:color w:val="000000" w:themeColor="text1"/>
                <w:sz w:val="22"/>
                <w14:textFill>
                  <w14:solidFill>
                    <w14:schemeClr w14:val="tx1"/>
                  </w14:solidFill>
                </w14:textFill>
              </w:rPr>
              <w:t>附属净资本</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净资产</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各项风险资本准备之和</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表内外资产总额</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风险覆盖率</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资本杠杆率</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流动性覆盖率</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vAlign w:val="center"/>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净稳定资金率</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净资本</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净资产</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净资本</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负债</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净资产</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负债</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自营权益类证券及证券衍生品</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净资本</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自营非权益类证券及其衍生品</w:t>
            </w:r>
            <w:r>
              <w:rPr>
                <w:rFonts w:asciiTheme="minorEastAsia" w:hAnsiTheme="minorEastAsia"/>
                <w:color w:val="000000" w:themeColor="text1"/>
                <w:sz w:val="22"/>
                <w14:textFill>
                  <w14:solidFill>
                    <w14:schemeClr w14:val="tx1"/>
                  </w14:solidFill>
                </w14:textFill>
              </w:rPr>
              <w:t>/</w:t>
            </w:r>
            <w:r>
              <w:rPr>
                <w:rFonts w:hint="eastAsia" w:asciiTheme="minorEastAsia" w:hAnsiTheme="minorEastAsia"/>
                <w:color w:val="000000" w:themeColor="text1"/>
                <w:sz w:val="22"/>
                <w14:textFill>
                  <w14:solidFill>
                    <w14:schemeClr w14:val="tx1"/>
                  </w14:solidFill>
                </w14:textFill>
              </w:rPr>
              <w:t>净资本</w:t>
            </w:r>
            <w:r>
              <w:rPr>
                <w:rFonts w:asciiTheme="minorEastAsia" w:hAnsiTheme="minorEastAsia"/>
                <w:color w:val="000000" w:themeColor="text1"/>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auto"/>
          </w:tcPr>
          <w:p>
            <w:pPr>
              <w:tabs>
                <w:tab w:val="left" w:pos="5140"/>
              </w:tabs>
              <w:jc w:val="left"/>
              <w:rPr>
                <w:rFonts w:asciiTheme="minorEastAsia" w:hAnsiTheme="minorEastAsia"/>
                <w:color w:val="000000" w:themeColor="text1"/>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w:t>
            </w: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1676"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c>
          <w:tcPr>
            <w:tcW w:w="1820"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tabs>
                <w:tab w:val="left" w:pos="5140"/>
              </w:tabs>
              <w:jc w:val="left"/>
              <w:rPr>
                <w:rFonts w:asciiTheme="minorEastAsia" w:hAnsiTheme="minorEastAsia"/>
                <w:color w:val="000000" w:themeColor="text1"/>
                <w:sz w:val="22"/>
                <w14:textFill>
                  <w14:solidFill>
                    <w14:schemeClr w14:val="tx1"/>
                  </w14:solidFill>
                </w14:textFill>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（自动</w:t>
            </w:r>
            <w:r>
              <w:rPr>
                <w:rFonts w:asciiTheme="minorEastAsia" w:hAnsiTheme="minorEastAsia"/>
                <w:color w:val="000000" w:themeColor="text1"/>
                <w:sz w:val="22"/>
                <w14:textFill>
                  <w14:solidFill>
                    <w14:schemeClr w14:val="tx1"/>
                  </w14:solidFill>
                </w14:textFill>
              </w:rPr>
              <w:t>填行</w:t>
            </w:r>
            <w:r>
              <w:rPr>
                <w:rFonts w:hint="eastAsia" w:asciiTheme="minorEastAsia" w:hAnsiTheme="minorEastAsia"/>
                <w:color w:val="000000" w:themeColor="text1"/>
                <w:sz w:val="22"/>
                <w14:textFill>
                  <w14:solidFill>
                    <w14:schemeClr w14:val="tx1"/>
                  </w14:solidFill>
                </w14:textFill>
              </w:rPr>
              <w:t>）</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ascii="宋体" w:hAnsi="宋体" w:eastAsia="宋体" w:cs="Times New Roman"/>
                <w:i/>
                <w:color w:val="FF0000"/>
                <w:kern w:val="0"/>
                <w:sz w:val="20"/>
                <w:szCs w:val="44"/>
              </w:rPr>
              <w:t>基础层</w:t>
            </w:r>
            <w:r>
              <w:rPr>
                <w:rFonts w:hint="eastAsia" w:eastAsia="宋体" w:cs="Times New Roman" w:asciiTheme="minorEastAsia" w:hAnsi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94"/>
        <w:gridCol w:w="1500"/>
        <w:gridCol w:w="1145"/>
        <w:gridCol w:w="1322"/>
        <w:gridCol w:w="1322"/>
        <w:gridCol w:w="114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64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644"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148"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Merge w:val="continue"/>
            <w:vAlign w:val="center"/>
          </w:tcPr>
          <w:p>
            <w:pPr>
              <w:tabs>
                <w:tab w:val="left" w:pos="5140"/>
              </w:tabs>
              <w:jc w:val="center"/>
              <w:rPr>
                <w:rFonts w:ascii="宋体" w:hAnsi="宋体" w:eastAsia="宋体" w:cs="Times New Roman"/>
                <w:color w:val="000000"/>
                <w:sz w:val="22"/>
              </w:rPr>
            </w:pPr>
          </w:p>
        </w:tc>
        <w:tc>
          <w:tcPr>
            <w:tcW w:w="150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14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32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32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148"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一、营业收入</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手续费及佣金净收入</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利息净收入</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投资收益</w:t>
            </w:r>
            <w:r>
              <w:rPr>
                <w:rFonts w:asciiTheme="minorEastAsia" w:hAnsiTheme="minorEastAsia"/>
                <w:color w:val="000000" w:themeColor="text1"/>
                <w:sz w:val="22"/>
                <w14:textFill>
                  <w14:solidFill>
                    <w14:schemeClr w14:val="tx1"/>
                  </w14:solidFill>
                </w14:textFill>
              </w:rPr>
              <w:t xml:space="preserve">  </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净</w:t>
            </w:r>
            <w:r>
              <w:rPr>
                <w:rFonts w:asciiTheme="minorEastAsia" w:hAnsiTheme="minorEastAsia"/>
                <w:color w:val="000000" w:themeColor="text1"/>
                <w:sz w:val="22"/>
                <w14:textFill>
                  <w14:solidFill>
                    <w14:schemeClr w14:val="tx1"/>
                  </w14:solidFill>
                </w14:textFill>
              </w:rPr>
              <w:t>敞口套期收益</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公允价值变动收益</w:t>
            </w:r>
            <w:r>
              <w:rPr>
                <w:rFonts w:asciiTheme="minorEastAsia" w:hAnsiTheme="minorEastAsia"/>
                <w:color w:val="000000" w:themeColor="text1"/>
                <w:sz w:val="22"/>
                <w14:textFill>
                  <w14:solidFill>
                    <w14:schemeClr w14:val="tx1"/>
                  </w14:solidFill>
                </w14:textFill>
              </w:rPr>
              <w:t xml:space="preserve"> </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汇兑收益</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其他业务收入</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资产</w:t>
            </w:r>
            <w:r>
              <w:rPr>
                <w:rFonts w:asciiTheme="minorEastAsia" w:hAnsiTheme="minorEastAsia"/>
                <w:color w:val="000000" w:themeColor="text1"/>
                <w:sz w:val="22"/>
                <w14:textFill>
                  <w14:solidFill>
                    <w14:schemeClr w14:val="tx1"/>
                  </w14:solidFill>
                </w14:textFill>
              </w:rPr>
              <w:t>处置收益</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其他收益</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二、营业支出</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税金及附加</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业务及管理费</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信用</w:t>
            </w:r>
            <w:r>
              <w:rPr>
                <w:rFonts w:asciiTheme="minorEastAsia" w:hAnsiTheme="minorEastAsia"/>
                <w:color w:val="000000" w:themeColor="text1"/>
                <w:sz w:val="22"/>
                <w14:textFill>
                  <w14:solidFill>
                    <w14:schemeClr w14:val="tx1"/>
                  </w14:solidFill>
                </w14:textFill>
              </w:rPr>
              <w:t>减值损失</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w:t>
            </w:r>
            <w:r>
              <w:rPr>
                <w:rFonts w:asciiTheme="minorEastAsia" w:hAnsiTheme="minorEastAsia"/>
                <w:color w:val="000000" w:themeColor="text1"/>
                <w:sz w:val="22"/>
                <w14:textFill>
                  <w14:solidFill>
                    <w14:schemeClr w14:val="tx1"/>
                  </w14:solidFill>
                </w14:textFill>
              </w:rPr>
              <w:t>资产减值损失</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其他业务成本</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94" w:type="dxa"/>
            <w:vAlign w:val="center"/>
          </w:tcPr>
          <w:p>
            <w:pPr>
              <w:tabs>
                <w:tab w:val="left" w:pos="5140"/>
              </w:tabs>
              <w:rPr>
                <w:rFonts w:ascii="宋体" w:hAnsi="宋体" w:eastAsia="宋体" w:cs="Times New Roman"/>
                <w:color w:val="000000"/>
                <w:sz w:val="22"/>
              </w:rPr>
            </w:pP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148"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94"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500" w:type="dxa"/>
          </w:tcPr>
          <w:p>
            <w:pPr>
              <w:tabs>
                <w:tab w:val="left" w:pos="5140"/>
              </w:tabs>
              <w:rPr>
                <w:rFonts w:ascii="宋体" w:hAnsi="宋体" w:eastAsia="宋体" w:cs="Times New Roman"/>
                <w:color w:val="000000"/>
                <w:sz w:val="22"/>
              </w:rPr>
            </w:pPr>
          </w:p>
        </w:tc>
        <w:tc>
          <w:tcPr>
            <w:tcW w:w="1145" w:type="dxa"/>
          </w:tcPr>
          <w:p>
            <w:pPr>
              <w:tabs>
                <w:tab w:val="left" w:pos="5140"/>
              </w:tabs>
              <w:jc w:val="center"/>
              <w:rPr>
                <w:rFonts w:ascii="宋体" w:hAnsi="宋体" w:eastAsia="宋体" w:cs="Times New Roman"/>
                <w:color w:val="000000"/>
                <w:sz w:val="22"/>
              </w:rPr>
            </w:pPr>
          </w:p>
        </w:tc>
        <w:tc>
          <w:tcPr>
            <w:tcW w:w="1322" w:type="dxa"/>
          </w:tcPr>
          <w:p>
            <w:pPr>
              <w:tabs>
                <w:tab w:val="left" w:pos="5140"/>
              </w:tabs>
              <w:rPr>
                <w:rFonts w:ascii="宋体" w:hAnsi="宋体" w:eastAsia="宋体" w:cs="Times New Roman"/>
                <w:color w:val="000000"/>
                <w:sz w:val="22"/>
              </w:rPr>
            </w:pPr>
          </w:p>
        </w:tc>
        <w:tc>
          <w:tcPr>
            <w:tcW w:w="1322" w:type="dxa"/>
          </w:tcPr>
          <w:p>
            <w:pPr>
              <w:tabs>
                <w:tab w:val="left" w:pos="5140"/>
              </w:tabs>
              <w:jc w:val="center"/>
              <w:rPr>
                <w:rFonts w:ascii="宋体" w:hAnsi="宋体" w:eastAsia="宋体" w:cs="Times New Roman"/>
                <w:color w:val="000000"/>
                <w:sz w:val="22"/>
              </w:rPr>
            </w:pPr>
          </w:p>
        </w:tc>
        <w:tc>
          <w:tcPr>
            <w:tcW w:w="1148" w:type="dxa"/>
          </w:tcPr>
          <w:p>
            <w:pPr>
              <w:tabs>
                <w:tab w:val="left" w:pos="5140"/>
              </w:tabs>
              <w:jc w:val="center"/>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ascii="宋体" w:hAnsi="宋体" w:eastAsia="宋体" w:cs="Times New Roman"/>
                <w:i/>
                <w:color w:val="FF0000"/>
                <w:kern w:val="0"/>
                <w:sz w:val="20"/>
                <w:szCs w:val="44"/>
              </w:rPr>
              <w:t>基础层</w:t>
            </w:r>
            <w:r>
              <w:rPr>
                <w:rFonts w:hint="eastAsia" w:eastAsia="宋体" w:cs="Times New Roman" w:asciiTheme="minorEastAsia" w:hAnsiTheme="minorEastAsia"/>
                <w:i/>
                <w:color w:val="FF0000"/>
                <w:kern w:val="0"/>
                <w:sz w:val="20"/>
                <w:szCs w:val="44"/>
              </w:rPr>
              <w:t>公司可免于分析金额占营业收入</w:t>
            </w:r>
            <w:r>
              <w:rPr>
                <w:rFonts w:eastAsia="宋体" w:cs="Times New Roman" w:asciiTheme="minorEastAsia" w:hAnsi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eastAsia="宋体" w:cs="Times New Roman" w:asciiTheme="minorEastAsia" w:hAnsiTheme="minorEastAsia"/>
                <w:i/>
                <w:color w:val="FF0000"/>
                <w:kern w:val="0"/>
                <w:sz w:val="20"/>
                <w:szCs w:val="44"/>
              </w:rPr>
              <w:t>注：证券公司应分析披露报告期内主要业务的经营概况、业内竞争状况、所处的市场地位和核心竞争力等，以及公司为应对报告期内经济环境和市场状况的变化，对主要业务做出的重大调整。</w:t>
            </w:r>
          </w:p>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eastAsia="宋体" w:cs="Times New Roman" w:asciiTheme="minorEastAsia" w:hAnsiTheme="minorEastAsia"/>
                <w:i/>
                <w:color w:val="FF0000"/>
                <w:kern w:val="0"/>
                <w:sz w:val="20"/>
                <w:szCs w:val="44"/>
              </w:rPr>
              <w:t>公司可按照业务条线、区域等原则披露分部报告信息，包括分部的营业收入、营业成本、营业利润的构成、相对于上一报告期的变化情况及其变动原因。</w:t>
            </w:r>
          </w:p>
        </w:tc>
      </w:tr>
    </w:tbl>
    <w:p>
      <w:pPr>
        <w:tabs>
          <w:tab w:val="left" w:pos="5140"/>
        </w:tabs>
        <w:rPr>
          <w:rFonts w:cs="Times New Roman" w:asciiTheme="minorEastAsia" w:hAnsiTheme="minorEastAsia"/>
          <w:b/>
          <w:color w:val="000000" w:themeColor="text1"/>
          <w:szCs w:val="44"/>
          <w14:textFill>
            <w14:solidFill>
              <w14:schemeClr w14:val="tx1"/>
            </w14:solidFill>
          </w14:textFill>
        </w:rPr>
      </w:pPr>
      <w:r>
        <w:rPr>
          <w:rFonts w:hint="eastAsia" w:cs="Times New Roman" w:asciiTheme="minorEastAsia" w:hAnsiTheme="minorEastAsia"/>
          <w:b/>
          <w:color w:val="000000" w:themeColor="text1"/>
          <w:szCs w:val="44"/>
          <w14:textFill>
            <w14:solidFill>
              <w14:schemeClr w14:val="tx1"/>
            </w14:solidFill>
          </w14:textFill>
        </w:rPr>
        <w:t>按</w:t>
      </w:r>
      <w:r>
        <w:rPr>
          <w:rFonts w:cs="Times New Roman" w:asciiTheme="minorEastAsia" w:hAnsiTheme="minorEastAsia"/>
          <w:b/>
          <w:color w:val="000000" w:themeColor="text1"/>
          <w:szCs w:val="44"/>
          <w14:textFill>
            <w14:solidFill>
              <w14:schemeClr w14:val="tx1"/>
            </w14:solidFill>
          </w14:textFill>
        </w:rPr>
        <w:t>业务分类分析：</w:t>
      </w:r>
    </w:p>
    <w:p>
      <w:pPr>
        <w:tabs>
          <w:tab w:val="left" w:pos="5140"/>
        </w:tabs>
        <w:jc w:val="right"/>
        <w:rPr>
          <w:rFonts w:ascii="Calibri" w:hAnsi="Calibri" w:eastAsia="宋体" w:cs="Times New Roman"/>
          <w:color w:val="000000" w:themeColor="text1"/>
          <w14:textFill>
            <w14:solidFill>
              <w14:schemeClr w14:val="tx1"/>
            </w14:solidFill>
          </w14:textFill>
        </w:rPr>
      </w:pPr>
      <w:r>
        <w:rPr>
          <w:rFonts w:hint="eastAsia" w:cs="Times New Roman" w:asciiTheme="minorEastAsia" w:hAnsiTheme="minorEastAsia"/>
          <w:color w:val="000000" w:themeColor="text1"/>
          <w:szCs w:val="44"/>
          <w14:textFill>
            <w14:solidFill>
              <w14:schemeClr w14:val="tx1"/>
            </w14:solidFill>
          </w14:textFill>
        </w:rPr>
        <w:t xml:space="preserve">                </w:t>
      </w:r>
      <w:r>
        <w:rPr>
          <w:rFonts w:cs="Times New Roman" w:asciiTheme="minorEastAsia" w:hAnsiTheme="minorEastAsia"/>
          <w:color w:val="000000" w:themeColor="text1"/>
          <w:szCs w:val="44"/>
          <w14:textFill>
            <w14:solidFill>
              <w14:schemeClr w14:val="tx1"/>
            </w14:solidFill>
          </w14:textFill>
        </w:rPr>
        <w:t xml:space="preserve">                                       </w:t>
      </w:r>
      <w:r>
        <w:rPr>
          <w:rFonts w:hint="eastAsia" w:ascii="Calibri" w:hAnsi="Calibri" w:eastAsia="宋体" w:cs="Times New Roman"/>
          <w:color w:val="000000" w:themeColor="text1"/>
          <w14:textFill>
            <w14:solidFill>
              <w14:schemeClr w14:val="tx1"/>
            </w14:solidFill>
          </w14:textFill>
        </w:rPr>
        <w:t>单位</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类别</w:t>
            </w:r>
            <w:r>
              <w:rPr>
                <w:rFonts w:cs="Times New Roman" w:asciiTheme="minorEastAsia" w:hAnsi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毛利率</w:t>
            </w:r>
            <w:r>
              <w:rPr>
                <w:rFonts w:hint="eastAsia" w:cs="Times New Roman" w:asciiTheme="minorEastAsia" w:hAnsiTheme="minorEastAsia"/>
                <w:b/>
                <w:color w:val="000000" w:themeColor="text1"/>
                <w:kern w:val="0"/>
                <w:sz w:val="22"/>
                <w14:textFill>
                  <w14:solidFill>
                    <w14:schemeClr w14:val="tx1"/>
                  </w14:solidFill>
                </w14:textFill>
              </w:rPr>
              <w:t>%</w:t>
            </w:r>
          </w:p>
        </w:tc>
        <w:tc>
          <w:tcPr>
            <w:tcW w:w="145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营业收入比上年同期</w:t>
            </w:r>
          </w:p>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增减</w:t>
            </w:r>
            <w:r>
              <w:rPr>
                <w:rFonts w:hint="eastAsia" w:cs="Times New Roman" w:asciiTheme="minorEastAsia" w:hAnsiTheme="minorEastAsia"/>
                <w:b/>
                <w:color w:val="000000" w:themeColor="text1"/>
                <w:kern w:val="0"/>
                <w:sz w:val="22"/>
                <w14:textFill>
                  <w14:solidFill>
                    <w14:schemeClr w14:val="tx1"/>
                  </w14:solidFill>
                </w14:textFill>
              </w:rPr>
              <w:t>%</w:t>
            </w:r>
          </w:p>
        </w:tc>
        <w:tc>
          <w:tcPr>
            <w:tcW w:w="1390" w:type="dxa"/>
            <w:shd w:val="pct10" w:color="auto" w:fill="auto"/>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营业成本比上年同期</w:t>
            </w:r>
          </w:p>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增减</w:t>
            </w:r>
            <w:r>
              <w:rPr>
                <w:rFonts w:hint="eastAsia" w:cs="Times New Roman" w:asciiTheme="minorEastAsia" w:hAnsiTheme="minorEastAsia"/>
                <w:b/>
                <w:color w:val="000000" w:themeColor="text1"/>
                <w:kern w:val="0"/>
                <w:sz w:val="22"/>
                <w14:textFill>
                  <w14:solidFill>
                    <w14:schemeClr w14:val="tx1"/>
                  </w14:solidFill>
                </w14:textFill>
              </w:rPr>
              <w:t>%</w:t>
            </w:r>
          </w:p>
        </w:tc>
        <w:tc>
          <w:tcPr>
            <w:tcW w:w="1586"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毛利率比上年同期增减百分点</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证券</w:t>
            </w:r>
            <w:r>
              <w:rPr>
                <w:rFonts w:cs="Times New Roman" w:asciiTheme="minorEastAsia" w:hAnsiTheme="minorEastAsia"/>
                <w:color w:val="000000" w:themeColor="text1"/>
                <w:sz w:val="22"/>
                <w14:textFill>
                  <w14:solidFill>
                    <w14:schemeClr w14:val="tx1"/>
                  </w14:solidFill>
                </w14:textFill>
              </w:rPr>
              <w:t>经纪业务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其中：</w:t>
            </w:r>
            <w:r>
              <w:rPr>
                <w:rFonts w:cs="Times New Roman" w:asciiTheme="minorEastAsia" w:hAnsiTheme="minorEastAsia"/>
                <w:sz w:val="22"/>
              </w:rPr>
              <w:t>XX业务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cs="Times New Roman" w:asciiTheme="minorEastAsia" w:hAnsiTheme="minorEastAsia"/>
                <w:color w:val="000000" w:themeColor="text1"/>
                <w:sz w:val="22"/>
                <w14:textFill>
                  <w14:solidFill>
                    <w14:schemeClr w14:val="tx1"/>
                  </w14:solidFill>
                </w14:textFill>
              </w:rPr>
              <w:t xml:space="preserve">     （自动添行）</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证券自营</w:t>
            </w:r>
            <w:r>
              <w:rPr>
                <w:rFonts w:cs="Times New Roman" w:asciiTheme="minorEastAsia" w:hAnsiTheme="minorEastAsia"/>
                <w:color w:val="000000" w:themeColor="text1"/>
                <w:sz w:val="22"/>
                <w14:textFill>
                  <w14:solidFill>
                    <w14:schemeClr w14:val="tx1"/>
                  </w14:solidFill>
                </w14:textFill>
              </w:rPr>
              <w:t>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投资银行业务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其中:证券保荐与</w:t>
            </w:r>
            <w:r>
              <w:rPr>
                <w:rFonts w:cs="Times New Roman" w:asciiTheme="minorEastAsia" w:hAnsiTheme="minorEastAsia"/>
                <w:color w:val="000000" w:themeColor="text1"/>
                <w:sz w:val="22"/>
                <w14:textFill>
                  <w14:solidFill>
                    <w14:schemeClr w14:val="tx1"/>
                  </w14:solidFill>
                </w14:textFill>
              </w:rPr>
              <w:t>承销业务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财务</w:t>
            </w:r>
            <w:r>
              <w:rPr>
                <w:rFonts w:cs="Times New Roman" w:asciiTheme="minorEastAsia" w:hAnsiTheme="minorEastAsia"/>
                <w:color w:val="000000" w:themeColor="text1"/>
                <w:sz w:val="22"/>
                <w14:textFill>
                  <w14:solidFill>
                    <w14:schemeClr w14:val="tx1"/>
                  </w14:solidFill>
                </w14:textFill>
              </w:rPr>
              <w:t>顾问业务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cs="Times New Roman" w:asciiTheme="minorEastAsia" w:hAnsiTheme="minorEastAsia"/>
                <w:color w:val="000000" w:themeColor="text1"/>
                <w:sz w:val="22"/>
                <w14:textFill>
                  <w14:solidFill>
                    <w14:schemeClr w14:val="tx1"/>
                  </w14:solidFill>
                </w14:textFill>
              </w:rPr>
              <w:t>（自动添行）</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资产</w:t>
            </w:r>
            <w:r>
              <w:rPr>
                <w:rFonts w:cs="Times New Roman" w:asciiTheme="minorEastAsia" w:hAnsiTheme="minorEastAsia"/>
                <w:color w:val="000000" w:themeColor="text1"/>
                <w:sz w:val="22"/>
                <w14:textFill>
                  <w14:solidFill>
                    <w14:schemeClr w14:val="tx1"/>
                  </w14:solidFill>
                </w14:textFill>
              </w:rPr>
              <w:t>管理业务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信用交易业务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其中:融资融券业务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股票质押回购式交易业务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约定购回式证券交易业务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cs="Times New Roman" w:asciiTheme="minorEastAsia" w:hAnsiTheme="minorEastAsia"/>
                <w:color w:val="000000" w:themeColor="text1"/>
                <w:sz w:val="22"/>
                <w14:textFill>
                  <w14:solidFill>
                    <w14:schemeClr w14:val="tx1"/>
                  </w14:solidFill>
                </w14:textFill>
              </w:rPr>
              <w:t xml:space="preserve">     （自动添行）</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其他</w:t>
            </w:r>
            <w:r>
              <w:rPr>
                <w:rFonts w:cs="Times New Roman" w:asciiTheme="minorEastAsia" w:hAnsiTheme="minorEastAsia"/>
                <w:color w:val="000000" w:themeColor="text1"/>
                <w:sz w:val="22"/>
                <w14:textFill>
                  <w14:solidFill>
                    <w14:schemeClr w14:val="tx1"/>
                  </w14:solidFill>
                </w14:textFill>
              </w:rPr>
              <w:t>业务</w:t>
            </w:r>
            <w:r>
              <w:rPr>
                <w:rFonts w:hint="eastAsia" w:cs="Times New Roman" w:asciiTheme="minorEastAsia" w:hAnsiTheme="minorEastAsia"/>
                <w:color w:val="000000" w:themeColor="text1"/>
                <w:sz w:val="22"/>
                <w14:textFill>
                  <w14:solidFill>
                    <w14:schemeClr w14:val="tx1"/>
                  </w14:solidFill>
                </w14:textFill>
              </w:rPr>
              <w:t>（自动</w:t>
            </w:r>
            <w:r>
              <w:rPr>
                <w:rFonts w:cs="Times New Roman" w:asciiTheme="minorEastAsia" w:hAnsiTheme="minorEastAsia"/>
                <w:color w:val="000000" w:themeColor="text1"/>
                <w:sz w:val="22"/>
                <w14:textFill>
                  <w14:solidFill>
                    <w14:schemeClr w14:val="tx1"/>
                  </w14:solidFill>
                </w14:textFill>
              </w:rPr>
              <w:t>添行</w:t>
            </w:r>
            <w:r>
              <w:rPr>
                <w:rFonts w:hint="eastAsia" w:cs="Times New Roman" w:asciiTheme="minorEastAsia" w:hAnsiTheme="minorEastAsia"/>
                <w:color w:val="000000" w:themeColor="text1"/>
                <w:sz w:val="22"/>
                <w14:textFill>
                  <w14:solidFill>
                    <w14:schemeClr w14:val="tx1"/>
                  </w14:solidFill>
                </w14:textFill>
              </w:rPr>
              <w:t>）</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合计</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bl>
    <w:p>
      <w:pPr>
        <w:tabs>
          <w:tab w:val="left" w:pos="5140"/>
        </w:tabs>
        <w:rPr>
          <w:rFonts w:cs="Times New Roman" w:asciiTheme="minorEastAsia" w:hAnsiTheme="minorEastAsia"/>
          <w:b/>
          <w:color w:val="000000" w:themeColor="text1"/>
          <w:szCs w:val="44"/>
          <w14:textFill>
            <w14:solidFill>
              <w14:schemeClr w14:val="tx1"/>
            </w14:solidFill>
          </w14:textFill>
        </w:rPr>
      </w:pPr>
    </w:p>
    <w:p>
      <w:pPr>
        <w:tabs>
          <w:tab w:val="left" w:pos="5140"/>
        </w:tabs>
        <w:rPr>
          <w:rFonts w:cs="Times New Roman" w:asciiTheme="minorEastAsia" w:hAnsiTheme="minorEastAsia"/>
          <w:b/>
          <w:color w:val="000000" w:themeColor="text1"/>
          <w:szCs w:val="44"/>
          <w14:textFill>
            <w14:solidFill>
              <w14:schemeClr w14:val="tx1"/>
            </w14:solidFill>
          </w14:textFill>
        </w:rPr>
      </w:pPr>
      <w:r>
        <w:rPr>
          <w:rFonts w:cs="Times New Roman" w:asciiTheme="minorEastAsia" w:hAnsiTheme="minorEastAsia"/>
          <w:b/>
          <w:color w:val="000000" w:themeColor="text1"/>
          <w:szCs w:val="44"/>
          <w14:textFill>
            <w14:solidFill>
              <w14:schemeClr w14:val="tx1"/>
            </w14:solidFill>
          </w14:textFill>
        </w:rPr>
        <w:t>按区域分类分析</w:t>
      </w:r>
      <w:r>
        <w:rPr>
          <w:rFonts w:hint="eastAsia" w:cs="Times New Roman" w:asciiTheme="minorEastAsia" w:hAnsiTheme="minorEastAsia"/>
          <w:b/>
          <w:color w:val="000000" w:themeColor="text1"/>
          <w:szCs w:val="44"/>
          <w14:textFill>
            <w14:solidFill>
              <w14:schemeClr w14:val="tx1"/>
            </w14:solidFill>
          </w14:textFill>
        </w:rPr>
        <w:t>：</w:t>
      </w:r>
    </w:p>
    <w:p>
      <w:pPr>
        <w:tabs>
          <w:tab w:val="left" w:pos="5140"/>
        </w:tabs>
        <w:rPr>
          <w:rFonts w:cs="Times New Roman" w:asciiTheme="minorEastAsia" w:hAnsiTheme="minorEastAsia"/>
          <w:color w:val="000000" w:themeColor="text1"/>
          <w:szCs w:val="44"/>
          <w14:textFill>
            <w14:solidFill>
              <w14:schemeClr w14:val="tx1"/>
            </w14:solidFill>
          </w14:textFill>
        </w:rPr>
      </w:pPr>
      <w:r>
        <w:rPr>
          <w:rFonts w:hint="eastAsia" w:cs="Times New Roman" w:asciiTheme="minorEastAsia" w:hAnsiTheme="minorEastAsia"/>
          <w:color w:val="000000" w:themeColor="text1"/>
          <w:szCs w:val="44"/>
          <w14:textFill>
            <w14:solidFill>
              <w14:schemeClr w14:val="tx1"/>
            </w14:solidFill>
          </w14:textFill>
        </w:rPr>
        <w:t>□  适用  □  不适用</w:t>
      </w:r>
    </w:p>
    <w:p>
      <w:pPr>
        <w:tabs>
          <w:tab w:val="left" w:pos="5140"/>
        </w:tabs>
        <w:jc w:val="right"/>
        <w:rPr>
          <w:rFonts w:ascii="Calibri" w:hAnsi="Calibri" w:eastAsia="宋体" w:cs="Times New Roman"/>
          <w:color w:val="000000" w:themeColor="text1"/>
          <w14:textFill>
            <w14:solidFill>
              <w14:schemeClr w14:val="tx1"/>
            </w14:solidFill>
          </w14:textFill>
        </w:rPr>
      </w:pPr>
      <w:r>
        <w:rPr>
          <w:rFonts w:hint="eastAsia" w:cs="Times New Roman" w:asciiTheme="minorEastAsia" w:hAnsiTheme="minorEastAsia"/>
          <w:color w:val="000000" w:themeColor="text1"/>
          <w:szCs w:val="44"/>
          <w14:textFill>
            <w14:solidFill>
              <w14:schemeClr w14:val="tx1"/>
            </w14:solidFill>
          </w14:textFill>
        </w:rPr>
        <w:t xml:space="preserve">                </w:t>
      </w:r>
      <w:r>
        <w:rPr>
          <w:rFonts w:cs="Times New Roman" w:asciiTheme="minorEastAsia" w:hAnsiTheme="minorEastAsia"/>
          <w:color w:val="000000" w:themeColor="text1"/>
          <w:szCs w:val="44"/>
          <w14:textFill>
            <w14:solidFill>
              <w14:schemeClr w14:val="tx1"/>
            </w14:solidFill>
          </w14:textFill>
        </w:rPr>
        <w:t xml:space="preserve">                                       </w:t>
      </w:r>
      <w:r>
        <w:rPr>
          <w:rFonts w:hint="eastAsia" w:ascii="Calibri" w:hAnsi="Calibri" w:eastAsia="宋体" w:cs="Times New Roman"/>
          <w:color w:val="000000" w:themeColor="text1"/>
          <w14:textFill>
            <w14:solidFill>
              <w14:schemeClr w14:val="tx1"/>
            </w14:solidFill>
          </w14:textFill>
        </w:rPr>
        <w:t>单位</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类别</w:t>
            </w:r>
            <w:r>
              <w:rPr>
                <w:rFonts w:cs="Times New Roman" w:asciiTheme="minorEastAsia" w:hAnsi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营业收入比上年同期</w:t>
            </w:r>
          </w:p>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营业成本比上年同期</w:t>
            </w:r>
          </w:p>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毛利率比上年同期增减百分点</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clear"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303" w:type="dxa"/>
            <w:shd w:val="clear"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184" w:type="dxa"/>
            <w:shd w:val="clear"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302" w:type="dxa"/>
            <w:shd w:val="clear"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453" w:type="dxa"/>
            <w:shd w:val="clear"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390" w:type="dxa"/>
            <w:shd w:val="clear" w:color="auto" w:fill="auto"/>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c>
          <w:tcPr>
            <w:tcW w:w="1586" w:type="dxa"/>
            <w:shd w:val="clear" w:color="auto" w:fill="auto"/>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（自动添行</w:t>
            </w:r>
            <w:r>
              <w:rPr>
                <w:rFonts w:cs="Times New Roman" w:asciiTheme="minorEastAsia" w:hAnsiTheme="minorEastAsia"/>
                <w:color w:val="000000" w:themeColor="text1"/>
                <w:sz w:val="22"/>
                <w14:textFill>
                  <w14:solidFill>
                    <w14:schemeClr w14:val="tx1"/>
                  </w14:solidFill>
                </w14:textFill>
              </w:rPr>
              <w:t>）</w:t>
            </w:r>
          </w:p>
        </w:tc>
        <w:tc>
          <w:tcPr>
            <w:tcW w:w="130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184"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45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390"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1586"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注：若</w:t>
            </w:r>
            <w:r>
              <w:rPr>
                <w:rFonts w:ascii="宋体" w:hAnsi="宋体" w:eastAsia="宋体" w:cs="Times New Roman"/>
                <w:i/>
                <w:color w:val="FF0000"/>
                <w:szCs w:val="44"/>
              </w:rPr>
              <w:t>收入构成发生重大变</w:t>
            </w:r>
            <w:r>
              <w:rPr>
                <w:rFonts w:hint="eastAsia" w:ascii="宋体" w:hAnsi="宋体" w:eastAsia="宋体" w:cs="Times New Roman"/>
                <w:i/>
                <w:color w:val="FF0000"/>
                <w:szCs w:val="44"/>
              </w:rPr>
              <w:t>动</w:t>
            </w:r>
            <w:r>
              <w:rPr>
                <w:rFonts w:ascii="宋体" w:hAnsi="宋体" w:eastAsia="宋体" w:cs="Times New Roman"/>
                <w:i/>
                <w:color w:val="FF0000"/>
                <w:szCs w:val="44"/>
              </w:rPr>
              <w:t>，应当详细说明具体变动情况及原因。</w:t>
            </w:r>
            <w:r>
              <w:rPr>
                <w:rFonts w:hint="eastAsia" w:ascii="宋体" w:hAnsi="宋体" w:eastAsia="宋体" w:cs="Times New Roman"/>
                <w:i/>
                <w:color w:val="FF0000"/>
                <w:szCs w:val="44"/>
              </w:rPr>
              <w:t>对与上年同期相比变动达到或超过</w:t>
            </w:r>
            <w:r>
              <w:rPr>
                <w:rFonts w:ascii="宋体" w:hAnsi="宋体" w:eastAsia="宋体" w:cs="Times New Roman"/>
                <w:i/>
                <w:color w:val="FF0000"/>
                <w:szCs w:val="44"/>
              </w:rPr>
              <w:t>30%的项目，应充分解释导致变动的原因。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主要客户情况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客户</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销售金额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年度销售</w:t>
            </w:r>
            <w:r>
              <w:rPr>
                <w:rFonts w:ascii="宋体" w:hAnsi="宋体" w:eastAsia="宋体" w:cs="Times New Roman"/>
                <w:b/>
                <w:color w:val="000000"/>
                <w:kern w:val="0"/>
                <w:sz w:val="22"/>
                <w:szCs w:val="20"/>
              </w:rPr>
              <w:t>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rPr>
          <w:rFonts w:ascii="Calibri" w:hAnsi="Calibri" w:eastAsia="宋体" w:cs="Times New Roman"/>
          <w:b/>
          <w:color w:val="000000"/>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属于同一控制人控制的客户视为同一客户合并列示，受同一国有资产管理机构实际控制的除外。</w:t>
      </w:r>
    </w:p>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主要供应商情况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供应商</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采购金额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w:t>
            </w:r>
            <w:r>
              <w:rPr>
                <w:rFonts w:ascii="宋体" w:hAnsi="宋体" w:eastAsia="宋体" w:cs="Times New Roman"/>
                <w:b/>
                <w:color w:val="000000"/>
                <w:kern w:val="0"/>
                <w:sz w:val="22"/>
                <w:szCs w:val="20"/>
              </w:rPr>
              <w:t>采购占比%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属于同一控制人控制的供应商视为同一供应商合并列示，受同一国有资产管理机构实际控制的除外。</w:t>
      </w:r>
      <w:r>
        <w:rPr>
          <w:rFonts w:ascii="宋体" w:hAnsi="宋体" w:eastAsia="宋体" w:cs="Times New Roman"/>
          <w:i/>
          <w:color w:val="FF0000"/>
          <w:szCs w:val="44"/>
        </w:rPr>
        <w:t xml:space="preserve"> </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hint="eastAsia" w:ascii="宋体" w:hAnsi="宋体" w:eastAsia="宋体" w:cs="Times New Roman"/>
                <w:i/>
                <w:color w:val="FF0000"/>
                <w:kern w:val="0"/>
                <w:sz w:val="20"/>
                <w:szCs w:val="44"/>
                <w:lang w:eastAsia="zh-CN"/>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r>
              <w:rPr>
                <w:rFonts w:hint="eastAsia" w:ascii="宋体" w:hAnsi="宋体" w:eastAsia="宋体" w:cs="Times New Roman"/>
                <w:i/>
                <w:color w:val="FF0000"/>
                <w:kern w:val="0"/>
                <w:sz w:val="20"/>
                <w:szCs w:val="44"/>
                <w:lang w:eastAsia="zh-CN"/>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w:hAnsi="Calibri" w:eastAsia="宋体" w:cs="Times New Roman"/>
          <w:b/>
          <w:color w:val="000000"/>
          <w:szCs w:val="21"/>
        </w:rPr>
      </w:pPr>
      <w:r>
        <w:rPr>
          <w:rFonts w:hint="eastAsia" w:ascii="微软雅黑" w:hAnsi="微软雅黑" w:eastAsia="微软雅黑" w:cs="Times New Roman"/>
          <w:b/>
          <w:bCs/>
          <w:sz w:val="22"/>
        </w:rPr>
        <w:t>五、研发情况</w:t>
      </w:r>
      <w:r>
        <w:rPr>
          <w:rFonts w:hint="eastAsia" w:ascii="微软雅黑" w:hAnsi="微软雅黑" w:eastAsia="微软雅黑" w:cs="Times New Roman"/>
          <w:b/>
          <w:bCs/>
          <w:color w:val="FF0000"/>
          <w:sz w:val="22"/>
        </w:rPr>
        <w:t>（创新层公司适用）</w:t>
      </w:r>
    </w:p>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（一）研发支出情况</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19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本期金额/比例</w:t>
            </w:r>
          </w:p>
        </w:tc>
        <w:tc>
          <w:tcPr>
            <w:tcW w:w="297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上期金额/比例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研发支出金额</w:t>
            </w:r>
          </w:p>
        </w:tc>
        <w:tc>
          <w:tcPr>
            <w:tcW w:w="2976"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研发支出占营业收入的比例%</w:t>
            </w:r>
          </w:p>
        </w:tc>
        <w:tc>
          <w:tcPr>
            <w:tcW w:w="2976"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研发支出中资本化的比例%</w:t>
            </w:r>
          </w:p>
        </w:tc>
        <w:tc>
          <w:tcPr>
            <w:tcW w:w="2976"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（二）研发人员情况</w:t>
      </w:r>
    </w:p>
    <w:tbl>
      <w:tblPr>
        <w:tblStyle w:val="19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2976"/>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教育程度</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期初人数</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博士</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硕士</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本科以下</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研发人员合计</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研发人员占员工总量的比例%</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（三）专利情况</w:t>
      </w:r>
    </w:p>
    <w:tbl>
      <w:tblPr>
        <w:tblStyle w:val="19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本期数量</w:t>
            </w:r>
          </w:p>
        </w:tc>
        <w:tc>
          <w:tcPr>
            <w:tcW w:w="297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上期数量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公司拥有的专利数量</w:t>
            </w:r>
          </w:p>
        </w:tc>
        <w:tc>
          <w:tcPr>
            <w:tcW w:w="2976"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公司拥有的发明专利数量</w:t>
            </w:r>
          </w:p>
        </w:tc>
        <w:tc>
          <w:tcPr>
            <w:tcW w:w="2976"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（四）研发项目情况</w:t>
      </w:r>
    </w:p>
    <w:tbl>
      <w:tblPr>
        <w:tblStyle w:val="19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20"/>
              </w:rPr>
            </w:pPr>
            <w:r>
              <w:rPr>
                <w:rFonts w:hint="eastAsia" w:ascii="宋体" w:hAnsi="宋体" w:eastAsia="宋体" w:cs="Times New Roman"/>
                <w:i/>
                <w:color w:val="FF0000"/>
                <w:kern w:val="0"/>
                <w:sz w:val="20"/>
                <w:szCs w:val="20"/>
              </w:rPr>
              <w:t>注：描述企业研发项目的目的、所处阶段和拟达到的目标，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六、融资渠道和融资能力</w:t>
      </w:r>
    </w:p>
    <w:tbl>
      <w:tblPr>
        <w:tblStyle w:val="45"/>
        <w:tblW w:w="9785" w:type="dxa"/>
        <w:tblInd w:w="-69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5" w:type="dxa"/>
          </w:tcPr>
          <w:p>
            <w:pPr>
              <w:tabs>
                <w:tab w:val="left" w:pos="5140"/>
              </w:tabs>
              <w:rPr>
                <w:rFonts w:cs="Times New Roman" w:asciiTheme="minorEastAsia" w:hAnsiTheme="minorEastAsia"/>
                <w:i/>
                <w:color w:val="FF0000"/>
                <w:szCs w:val="44"/>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披露其主要的融资渠道、长短期负债结构以及为维持流动性水平所采取的措施和相关的管理政策，同时分析其融资能力、或有事项及其对财务状况的影响。</w:t>
            </w:r>
          </w:p>
          <w:p>
            <w:pPr>
              <w:tabs>
                <w:tab w:val="left" w:pos="5140"/>
              </w:tabs>
              <w:rPr>
                <w:rFonts w:cs="Times New Roman" w:asciiTheme="minorEastAsia" w:hAnsiTheme="minorEastAsia"/>
                <w:i/>
                <w:color w:val="FF0000"/>
                <w:szCs w:val="44"/>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七、</w:t>
      </w:r>
      <w:r>
        <w:rPr>
          <w:rFonts w:ascii="Calibri Light" w:hAnsi="Calibri Light" w:eastAsia="微软雅黑" w:cs="Times New Roman"/>
          <w:b/>
          <w:bCs/>
          <w:sz w:val="22"/>
          <w:szCs w:val="32"/>
        </w:rPr>
        <w:t>对</w:t>
      </w:r>
      <w:r>
        <w:rPr>
          <w:rFonts w:hint="eastAsia" w:ascii="Calibri Light" w:hAnsi="Calibri Light" w:eastAsia="微软雅黑" w:cs="Times New Roman"/>
          <w:b/>
          <w:bCs/>
          <w:sz w:val="22"/>
          <w:szCs w:val="32"/>
        </w:rPr>
        <w:t>关键审计事项的</w:t>
      </w:r>
      <w:r>
        <w:rPr>
          <w:rFonts w:ascii="Calibri Light" w:hAnsi="Calibri Light" w:eastAsia="微软雅黑" w:cs="Times New Roman"/>
          <w:b/>
          <w:bCs/>
          <w:sz w:val="22"/>
          <w:szCs w:val="32"/>
        </w:rPr>
        <w:t>说明</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注：如执行《中国注册会计师审计准则第</w:t>
            </w:r>
            <w:r>
              <w:rPr>
                <w:rFonts w:ascii="宋体" w:hAnsi="宋体" w:eastAsia="宋体" w:cs="Times New Roman"/>
                <w:i/>
                <w:color w:val="FF0000"/>
                <w:kern w:val="0"/>
                <w:sz w:val="20"/>
                <w:szCs w:val="44"/>
              </w:rPr>
              <w:t>1504号——在审计报告中沟通关键审计事项》的，应披露关键审计事项的具体内容，并分析对公司的影响。</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八</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企业社会责任</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rPr>
        <w:t>□  适用  □  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：公司应披露承担社会责任的工作情况，包括公司在保护债权人、职工、消费者、供应商、社区等利益相关者合法权益方面所承担的社会责任；</w:t>
            </w:r>
            <w:r>
              <w:rPr>
                <w:rFonts w:hint="eastAsia" w:eastAsia="宋体" w:cs="Times New Roman" w:asciiTheme="minorEastAsia" w:hAnsiTheme="minorEastAsia"/>
                <w:i/>
                <w:color w:val="FF0000"/>
                <w:kern w:val="0"/>
                <w:sz w:val="20"/>
                <w:szCs w:val="44"/>
              </w:rPr>
              <w:t>鼓励公司结合自身生产经营情况、战略发展规划、人才与资源优势等积极披露报告期内巩固拓展脱贫攻坚成果、乡村振兴等工作的具体情况</w:t>
            </w:r>
            <w:r>
              <w:rPr>
                <w:rFonts w:hint="eastAsia" w:ascii="宋体" w:hAnsi="宋体" w:eastAsia="宋体" w:cs="Times New Roman"/>
                <w:i/>
                <w:color w:val="FF0000"/>
                <w:kern w:val="0"/>
                <w:sz w:val="20"/>
                <w:szCs w:val="44"/>
              </w:rPr>
              <w:t>。</w:t>
            </w:r>
          </w:p>
        </w:tc>
      </w:tr>
    </w:tbl>
    <w:p>
      <w:pPr>
        <w:keepNext/>
        <w:keepLines/>
        <w:spacing w:before="100" w:after="100"/>
        <w:outlineLvl w:val="1"/>
        <w:rPr>
          <w:rFonts w:ascii="Calibri Light" w:hAnsi="Calibri Light" w:eastAsia="微软雅黑" w:cs="Times New Roman"/>
          <w:b/>
          <w:bCs/>
          <w:sz w:val="22"/>
          <w:szCs w:val="32"/>
        </w:rPr>
      </w:pPr>
      <w:bookmarkStart w:id="6" w:name="_Toc12648"/>
      <w:bookmarkStart w:id="7" w:name="_Toc5435"/>
      <w:r>
        <w:rPr>
          <w:rFonts w:hint="eastAsia" w:ascii="Calibri Light" w:hAnsi="Calibri Light" w:eastAsia="微软雅黑" w:cs="Times New Roman"/>
          <w:b/>
          <w:bCs/>
          <w:sz w:val="22"/>
          <w:szCs w:val="32"/>
        </w:rPr>
        <w:t>九</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未来展望</w:t>
      </w:r>
      <w:bookmarkEnd w:id="6"/>
      <w:bookmarkEnd w:id="7"/>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b/>
        </w:rPr>
        <w:t>是否自愿</w:t>
      </w:r>
      <w:r>
        <w:rPr>
          <w:rFonts w:ascii="Calibri" w:hAnsi="Calibri" w:eastAsia="宋体" w:cs="Times New Roman"/>
          <w:b/>
        </w:rPr>
        <w:t>披露</w:t>
      </w:r>
    </w:p>
    <w:p>
      <w:pPr>
        <w:rPr>
          <w:rFonts w:ascii="Calibri" w:hAnsi="Calibri" w:eastAsia="宋体" w:cs="Times New Roman"/>
        </w:rPr>
      </w:pPr>
      <w:r>
        <w:rPr>
          <w:rFonts w:hint="eastAsia" w:ascii="Calibri" w:hAnsi="Calibri" w:eastAsia="宋体" w:cs="Times New Roman"/>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（三）经营计划或目标。披露经营计划或目标的，公司应同时简要披露公司经营计划涉及的投资资金的来源、成本及使用情况。</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（四）不确定性因素。公司应遵循关联性原则和重要性原则披露对未来发展战略或经营计划有重大影响的不确定性因素并进行说明与分析</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十、公司面临的重大风险分析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rPr>
          <w:rFonts w:ascii="Calibri" w:hAnsi="Calibri" w:eastAsia="宋体" w:cs="Times New Roman"/>
          <w:b/>
        </w:rPr>
      </w:pPr>
      <w:r>
        <w:rPr>
          <w:rFonts w:hint="eastAsia" w:ascii="Calibri" w:hAnsi="Calibri" w:eastAsia="宋体" w:cs="Times New Roman"/>
          <w:b/>
        </w:rPr>
        <w:t>是否存在</w:t>
      </w:r>
      <w:r>
        <w:rPr>
          <w:rFonts w:ascii="Calibri" w:hAnsi="Calibri" w:eastAsia="宋体" w:cs="Times New Roman"/>
          <w:b/>
        </w:rPr>
        <w:t>被</w:t>
      </w:r>
      <w:r>
        <w:rPr>
          <w:rFonts w:hint="eastAsia" w:ascii="Calibri" w:hAnsi="Calibri" w:eastAsia="宋体" w:cs="Times New Roman"/>
          <w:b/>
        </w:rPr>
        <w:t>调出创新层的风险</w:t>
      </w:r>
      <w:r>
        <w:rPr>
          <w:rFonts w:hint="eastAsia"/>
          <w:color w:val="FF0000"/>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注：第二节第一到第十项披露的部分内容如与财务报表附注相同的，公司可以建立相关查询索引，避免重复。</w:t>
      </w:r>
    </w:p>
    <w:p>
      <w:pPr>
        <w:widowControl/>
        <w:rPr>
          <w:rFonts w:ascii="黑体" w:hAnsi="黑体" w:eastAsia="黑体" w:cs="Times New Roman"/>
          <w:color w:val="000000"/>
          <w:sz w:val="36"/>
          <w:szCs w:val="28"/>
        </w:rPr>
        <w:sectPr>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8" w:name="_Toc23678"/>
      <w:bookmarkStart w:id="9" w:name="_Toc9124"/>
      <w:r>
        <w:rPr>
          <w:rFonts w:hint="eastAsia" w:eastAsia="黑体"/>
          <w:sz w:val="36"/>
        </w:rPr>
        <w:t>第三节</w:t>
      </w:r>
      <w:r>
        <w:rPr>
          <w:rFonts w:eastAsia="黑体"/>
          <w:sz w:val="36"/>
        </w:rPr>
        <w:t xml:space="preserve"> </w:t>
      </w:r>
      <w:r>
        <w:rPr>
          <w:rFonts w:hint="eastAsia" w:eastAsia="黑体"/>
          <w:sz w:val="36"/>
        </w:rPr>
        <w:t>重大事件</w:t>
      </w:r>
      <w:bookmarkEnd w:id="8"/>
      <w:bookmarkEnd w:id="9"/>
    </w:p>
    <w:p>
      <w:pPr>
        <w:keepNext/>
        <w:keepLines/>
        <w:spacing w:before="100" w:after="100"/>
        <w:outlineLvl w:val="1"/>
        <w:rPr>
          <w:rFonts w:ascii="Calibri Light" w:hAnsi="Calibri Light" w:eastAsia="微软雅黑" w:cs="Times New Roman"/>
          <w:b/>
          <w:bCs/>
          <w:sz w:val="22"/>
          <w:szCs w:val="32"/>
        </w:rPr>
      </w:pPr>
      <w:bookmarkStart w:id="10" w:name="_Toc21538"/>
      <w:bookmarkStart w:id="11" w:name="_Toc25807"/>
      <w:r>
        <w:rPr>
          <w:rFonts w:hint="eastAsia" w:ascii="Calibri Light" w:hAnsi="Calibri Light" w:eastAsia="微软雅黑" w:cs="Times New Roman"/>
          <w:b/>
          <w:bCs/>
          <w:sz w:val="22"/>
          <w:szCs w:val="32"/>
        </w:rPr>
        <w:t>一、重大事件索引</w:t>
      </w:r>
      <w:bookmarkEnd w:id="10"/>
      <w:bookmarkEnd w:id="11"/>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bookmarkStart w:id="12" w:name="_Toc3806"/>
            <w:bookmarkStart w:id="13" w:name="_Toc24892"/>
            <w:r>
              <w:rPr>
                <w:rFonts w:hint="eastAsia" w:ascii="宋体" w:hAnsi="宋体" w:eastAsia="宋体" w:cs="Times New Roman"/>
                <w:sz w:val="22"/>
              </w:rPr>
              <w:t>是否存在应当披露的其他重大事项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numPr>
          <w:ilvl w:val="0"/>
          <w:numId w:val="1"/>
        </w:numPr>
        <w:rPr>
          <w:rFonts w:ascii="宋体" w:hAnsi="宋体" w:eastAsia="宋体" w:cs="宋体"/>
          <w:i/>
          <w:iCs/>
          <w:color w:val="FF0000"/>
          <w:szCs w:val="21"/>
        </w:rPr>
      </w:pPr>
      <w:r>
        <w:rPr>
          <w:rFonts w:ascii="宋体" w:hAnsi="宋体" w:eastAsia="宋体" w:cs="宋体"/>
          <w:i/>
          <w:iCs/>
          <w:color w:val="FF0000"/>
          <w:szCs w:val="21"/>
        </w:rPr>
        <w:t>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rPr>
          <w:rFonts w:ascii="Calibri" w:hAnsi="Calibri" w:eastAsia="宋体" w:cs="Times New Roman"/>
          <w:color w:val="FF0000"/>
        </w:rPr>
      </w:pPr>
      <w:r>
        <w:rPr>
          <w:rFonts w:hint="eastAsia"/>
          <w:color w:val="FF0000"/>
        </w:rPr>
        <w:t>（创新层公司按</w:t>
      </w:r>
      <w:r>
        <w:rPr>
          <w:color w:val="FF0000"/>
        </w:rPr>
        <w:t>下述方式判断</w:t>
      </w:r>
      <w:r>
        <w:rPr>
          <w:rFonts w:hint="eastAsia"/>
          <w:color w:val="FF0000"/>
        </w:rPr>
        <w:t>）</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rPr>
          <w:rFonts w:ascii="Calibri" w:hAnsi="Calibri" w:eastAsia="宋体" w:cs="Times New Roman"/>
        </w:rPr>
      </w:pPr>
      <w:r>
        <w:rPr>
          <w:rFonts w:hint="eastAsia"/>
          <w:color w:val="FF0000"/>
        </w:rPr>
        <w:t>（基础层公司按</w:t>
      </w:r>
      <w:r>
        <w:rPr>
          <w:color w:val="FF0000"/>
        </w:rPr>
        <w:t>下述方式判断</w:t>
      </w:r>
      <w:r>
        <w:rPr>
          <w:rFonts w:hint="eastAsia"/>
          <w:color w:val="FF0000"/>
        </w:rPr>
        <w:t>）</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color w:val="FF0000"/>
        </w:rPr>
      </w:pPr>
      <w:r>
        <w:rPr>
          <w:rFonts w:hint="eastAsia"/>
          <w:color w:val="FF0000"/>
        </w:rPr>
        <w:t>（创新层公司按</w:t>
      </w:r>
      <w:r>
        <w:rPr>
          <w:color w:val="FF0000"/>
        </w:rPr>
        <w:t>下述方式判断</w:t>
      </w:r>
      <w:r>
        <w:rPr>
          <w:rFonts w:hint="eastAsia"/>
          <w:color w:val="FF0000"/>
        </w:rPr>
        <w:t>）</w:t>
      </w:r>
    </w:p>
    <w:p>
      <w:pPr>
        <w:rPr>
          <w:b/>
        </w:rPr>
      </w:pPr>
      <w:r>
        <w:rPr>
          <w:rFonts w:hint="eastAsia"/>
          <w:b/>
        </w:rPr>
        <w:t>挂牌</w:t>
      </w:r>
      <w:r>
        <w:rPr>
          <w:b/>
        </w:rPr>
        <w:t>公司</w:t>
      </w:r>
      <w:r>
        <w:rPr>
          <w:rFonts w:hint="eastAsia"/>
          <w:b/>
        </w:rPr>
        <w:t>及合并报表</w:t>
      </w:r>
      <w:r>
        <w:rPr>
          <w:b/>
        </w:rPr>
        <w:t>范围内</w:t>
      </w:r>
      <w:r>
        <w:rPr>
          <w:rFonts w:hint="eastAsia"/>
          <w:b/>
        </w:rPr>
        <w:t>子公司</w:t>
      </w:r>
      <w:r>
        <w:rPr>
          <w:b/>
        </w:rPr>
        <w:t>存在</w:t>
      </w:r>
      <w:r>
        <w:rPr>
          <w:rFonts w:hint="eastAsia"/>
          <w:b/>
        </w:rPr>
        <w:t>提供担保</w:t>
      </w:r>
    </w:p>
    <w:p>
      <w:pPr>
        <w:rPr>
          <w:rFonts w:ascii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color w:val="FF0000"/>
        </w:rPr>
      </w:pPr>
      <w:r>
        <w:rPr>
          <w:rFonts w:hint="eastAsia"/>
          <w:color w:val="FF0000"/>
        </w:rPr>
        <w:t>（基础层公司按</w:t>
      </w:r>
      <w:r>
        <w:rPr>
          <w:color w:val="FF0000"/>
        </w:rPr>
        <w:t>下述方式判断</w:t>
      </w:r>
      <w:r>
        <w:rPr>
          <w:rFonts w:hint="eastAsia"/>
          <w:color w:val="FF0000"/>
        </w:rPr>
        <w:t>）</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2"/>
      <w:bookmarkEnd w:id="13"/>
    </w:tbl>
    <w:p>
      <w:pPr>
        <w:jc w:val="left"/>
        <w:rPr>
          <w:rFonts w:ascii="宋体" w:hAnsi="宋体" w:eastAsia="宋体" w:cs="Times New Roman"/>
          <w:b/>
          <w:color w:val="000000"/>
          <w:szCs w:val="24"/>
        </w:rPr>
      </w:pPr>
      <w:bookmarkStart w:id="14" w:name="_Toc10244"/>
      <w:bookmarkStart w:id="15"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rFonts w:ascii="Calibri" w:hAnsi="Calibri" w:eastAsia="宋体" w:cs="Times New Roman"/>
          <w:color w:val="FF0000"/>
        </w:rPr>
      </w:pPr>
      <w:r>
        <w:rPr>
          <w:rFonts w:hint="eastAsia"/>
          <w:color w:val="FF0000"/>
        </w:rPr>
        <w:t>（创新层公司按</w:t>
      </w:r>
      <w:r>
        <w:rPr>
          <w:color w:val="FF0000"/>
        </w:rPr>
        <w:t>下述方式判断</w:t>
      </w:r>
      <w:r>
        <w:rPr>
          <w:rFonts w:hint="eastAsia"/>
          <w:color w:val="FF0000"/>
        </w:rPr>
        <w:t>）</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rPr>
          <w:rFonts w:ascii="Calibri" w:hAnsi="Calibri" w:eastAsia="宋体" w:cs="Times New Roman"/>
          <w:i/>
          <w:color w:val="FF0000"/>
        </w:rPr>
      </w:pPr>
      <w:r>
        <w:rPr>
          <w:rFonts w:hint="eastAsia"/>
          <w:color w:val="FF0000"/>
        </w:rPr>
        <w:t>（基础层公司按</w:t>
      </w:r>
      <w:r>
        <w:rPr>
          <w:color w:val="FF0000"/>
        </w:rPr>
        <w:t>下述方式判断</w:t>
      </w:r>
      <w:r>
        <w:rPr>
          <w:rFonts w:hint="eastAsia"/>
          <w:color w:val="FF0000"/>
        </w:rPr>
        <w:t>）</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14:textFill>
            <w14:solidFill>
              <w14:schemeClr w14:val="tx1"/>
            </w14:solidFill>
          </w14:textFill>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tabs>
          <w:tab w:val="left" w:pos="5140"/>
        </w:tabs>
        <w:jc w:val="right"/>
        <w:rPr>
          <w:rFonts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（自动添行）</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4"/>
      <w:bookmarkEnd w:id="15"/>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6" w:name="_Toc7804"/>
      <w:bookmarkStart w:id="17" w:name="_Toc31983"/>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6"/>
      <w:bookmarkEnd w:id="17"/>
    </w:tbl>
    <w:p>
      <w:pPr>
        <w:keepNext/>
        <w:keepLines/>
        <w:spacing w:before="100" w:after="100"/>
        <w:outlineLvl w:val="2"/>
        <w:rPr>
          <w:rFonts w:ascii="Times New Roman" w:hAnsi="Times New Roman"/>
          <w:b/>
          <w:bCs/>
          <w:szCs w:val="32"/>
          <w:lang w:val="zh-CN"/>
        </w:rPr>
      </w:pPr>
      <w:bookmarkStart w:id="18" w:name="_Toc16352"/>
      <w:bookmarkStart w:id="19" w:name="_Toc27292"/>
      <w:r>
        <w:rPr>
          <w:rFonts w:hint="eastAsia" w:ascii="Times New Roman" w:hAnsi="Times New Roman"/>
          <w:b/>
          <w:bCs/>
          <w:szCs w:val="32"/>
          <w:lang w:val="zh-CN"/>
        </w:rPr>
        <w:t>（十三）破产重整事项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keepNext/>
        <w:keepLines/>
        <w:spacing w:before="100" w:after="100"/>
        <w:outlineLvl w:val="2"/>
        <w:rPr>
          <w:rFonts w:ascii="Times New Roman" w:hAnsi="Times New Roman"/>
          <w:b/>
          <w:bCs/>
          <w:color w:val="FF0000"/>
          <w:szCs w:val="32"/>
          <w:lang w:val="zh-CN"/>
        </w:rPr>
      </w:pPr>
      <w:r>
        <w:rPr>
          <w:rFonts w:hint="eastAsia" w:ascii="Times New Roman" w:hAnsi="Times New Roman" w:eastAsia="宋体" w:cs="Times New Roman"/>
          <w:b/>
          <w:bCs/>
          <w:lang w:val="zh-CN"/>
        </w:rPr>
        <w:t>（十四）应当披露的其他重大</w:t>
      </w:r>
      <w:r>
        <w:rPr>
          <w:rFonts w:ascii="Times New Roman" w:hAnsi="Times New Roman" w:eastAsia="宋体" w:cs="Times New Roman"/>
          <w:b/>
          <w:bCs/>
          <w:lang w:val="zh-CN"/>
        </w:rPr>
        <w:t>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00" w:firstLineChars="100"/>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pPr>
        <w:tabs>
          <w:tab w:val="left" w:pos="5140"/>
        </w:tabs>
        <w:spacing w:before="100" w:after="100"/>
        <w:jc w:val="center"/>
        <w:rPr>
          <w:rFonts w:eastAsia="黑体"/>
          <w:b/>
          <w:bCs/>
          <w:sz w:val="36"/>
        </w:rPr>
        <w:sectPr>
          <w:footerReference r:id="rId4" w:type="default"/>
          <w:pgSz w:w="11907" w:h="16839"/>
          <w:pgMar w:top="1440" w:right="1797" w:bottom="1440" w:left="1797" w:header="851" w:footer="992" w:gutter="0"/>
          <w:cols w:space="425" w:num="1"/>
          <w:docGrid w:type="lines" w:linePitch="312" w:charSpace="0"/>
        </w:sect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8"/>
      <w:bookmarkEnd w:id="19"/>
    </w:p>
    <w:p>
      <w:pPr>
        <w:pStyle w:val="3"/>
        <w:spacing w:before="100" w:after="100" w:line="240" w:lineRule="auto"/>
        <w:rPr>
          <w:rFonts w:eastAsia="微软雅黑" w:asciiTheme="majorHAnsi" w:hAnsiTheme="majorHAnsi" w:cstheme="majorBidi"/>
          <w:sz w:val="22"/>
          <w:lang w:val="zh-CN"/>
        </w:rPr>
      </w:pPr>
      <w:bookmarkStart w:id="20" w:name="_Toc32232"/>
      <w:bookmarkStart w:id="21"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20"/>
      <w:bookmarkEnd w:id="21"/>
    </w:p>
    <w:p>
      <w:pPr>
        <w:keepNext/>
        <w:keepLines/>
        <w:spacing w:before="100" w:after="100"/>
        <w:outlineLvl w:val="2"/>
        <w:rPr>
          <w:rFonts w:ascii="Times New Roman" w:hAnsi="Times New Roman" w:eastAsia="宋体" w:cs="Times New Roman"/>
          <w:b/>
          <w:bCs/>
          <w:szCs w:val="32"/>
          <w:lang w:val="zh-CN"/>
        </w:rPr>
      </w:pPr>
      <w:bookmarkStart w:id="22" w:name="_Toc20566"/>
      <w:bookmarkStart w:id="23"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2"/>
      <w:bookmarkEnd w:id="23"/>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4" w:name="_Toc3890"/>
      <w:bookmarkStart w:id="25" w:name="_Toc1612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4"/>
      <w:bookmarkEnd w:id="25"/>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rPr>
          <w:rFonts w:ascii="Calibri" w:hAnsi="Calibri" w:eastAsia="宋体" w:cs="Times New Roman"/>
          <w:b/>
          <w:szCs w:val="21"/>
        </w:rPr>
      </w:pPr>
      <w:r>
        <w:rPr>
          <w:rFonts w:hint="eastAsia" w:asciiTheme="minorEastAsia" w:hAnsiTheme="minorEastAsia"/>
          <w:b/>
          <w:color w:val="000000" w:themeColor="text1"/>
          <w:szCs w:val="44"/>
          <w14:textFill>
            <w14:solidFill>
              <w14:schemeClr w14:val="tx1"/>
            </w14:solidFill>
          </w14:textFill>
        </w:rPr>
        <w:t>普通股前十名股东情况说明</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适用</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Theme="minorEastAsia" w:hAnsiTheme="minorEastAsia"/>
                <w:i/>
                <w:color w:val="FF0000"/>
                <w:szCs w:val="44"/>
              </w:rPr>
              <w:t>如普通股前十名股东之间存在关联关系或属于《上市公司收购管理办法》规定的一致行动人，应当予以说明</w:t>
            </w:r>
            <w:r>
              <w:rPr>
                <w:rFonts w:hint="eastAsia" w:ascii="Calibri" w:hAnsi="Calibri" w:eastAsia="宋体" w:cs="Times New Roman"/>
                <w:i/>
                <w:color w:val="FF0000"/>
              </w:rPr>
              <w:t>。</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6" w:name="_Toc21810"/>
      <w:bookmarkStart w:id="27"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8" w:name="_Toc18252"/>
      <w:bookmarkStart w:id="29" w:name="_Toc25205"/>
      <w:r>
        <w:rPr>
          <w:rFonts w:hint="eastAsia" w:ascii="宋体" w:hAnsi="宋体" w:eastAsia="宋体" w:cs="Times New Roman"/>
          <w:b/>
          <w:color w:val="000000"/>
          <w:szCs w:val="44"/>
        </w:rPr>
        <w:t>（一）基本情况</w:t>
      </w:r>
      <w:bookmarkEnd w:id="28"/>
      <w:bookmarkEnd w:id="29"/>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20245"/>
      <w:bookmarkStart w:id="31" w:name="_Toc8802"/>
      <w:r>
        <w:rPr>
          <w:rFonts w:hint="eastAsia" w:ascii="宋体" w:hAnsi="宋体" w:eastAsia="宋体" w:cs="Times New Roman"/>
          <w:b/>
          <w:color w:val="000000"/>
          <w:szCs w:val="44"/>
        </w:rPr>
        <w:t>（二）股东情况</w:t>
      </w:r>
      <w:bookmarkEnd w:id="30"/>
      <w:bookmarkEnd w:id="31"/>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ascii="Calibri" w:hAnsi="Calibri"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3805"/>
      <w:bookmarkStart w:id="33" w:name="_Toc4858"/>
      <w:r>
        <w:rPr>
          <w:rFonts w:hint="eastAsia" w:ascii="宋体" w:hAnsi="宋体" w:eastAsia="宋体" w:cs="Times New Roman"/>
          <w:b/>
          <w:color w:val="000000"/>
          <w:szCs w:val="44"/>
        </w:rPr>
        <w:t>（三）利润分配情况</w:t>
      </w:r>
      <w:bookmarkEnd w:id="32"/>
      <w:bookmarkEnd w:id="33"/>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7866"/>
      <w:bookmarkStart w:id="35" w:name="_Toc24383"/>
      <w:r>
        <w:rPr>
          <w:rFonts w:hint="eastAsia" w:ascii="宋体" w:hAnsi="宋体" w:eastAsia="宋体" w:cs="Times New Roman"/>
          <w:b/>
          <w:color w:val="000000"/>
          <w:szCs w:val="44"/>
        </w:rPr>
        <w:t>（四）回购情况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8903"/>
      <w:bookmarkStart w:id="37" w:name="_Toc30085"/>
      <w:r>
        <w:rPr>
          <w:rFonts w:hint="eastAsia" w:ascii="宋体" w:hAnsi="宋体" w:eastAsia="宋体" w:cs="Times New Roman"/>
          <w:b/>
          <w:color w:val="000000"/>
          <w:szCs w:val="44"/>
        </w:rPr>
        <w:t>（五）转换情况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8" w:name="_Toc8453"/>
      <w:bookmarkStart w:id="39" w:name="_Toc14503"/>
      <w:r>
        <w:rPr>
          <w:rFonts w:hint="eastAsia" w:ascii="宋体" w:hAnsi="宋体" w:eastAsia="宋体" w:cs="Times New Roman"/>
          <w:b/>
          <w:color w:val="000000"/>
          <w:szCs w:val="44"/>
        </w:rPr>
        <w:t>（六）表决权恢复情况</w:t>
      </w:r>
      <w:bookmarkEnd w:id="38"/>
      <w:bookmarkEnd w:id="39"/>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债券</w:t>
            </w:r>
            <w:r>
              <w:rPr>
                <w:rFonts w:ascii="宋体" w:hAnsi="宋体" w:eastAsia="宋体" w:cs="Times New Roman"/>
                <w:b/>
                <w:color w:val="000000"/>
                <w:szCs w:val="21"/>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票面利率</w:t>
            </w:r>
            <w:r>
              <w:rPr>
                <w:rFonts w:hint="eastAsia" w:ascii="宋体" w:hAnsi="宋体" w:eastAsia="宋体" w:cs="Times New Roman"/>
                <w:b/>
                <w:color w:val="000000"/>
                <w:szCs w:val="21"/>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Cs w:val="21"/>
              </w:rPr>
            </w:pPr>
          </w:p>
        </w:tc>
        <w:tc>
          <w:tcPr>
            <w:tcW w:w="1010" w:type="dxa"/>
            <w:vMerge w:val="continue"/>
          </w:tcPr>
          <w:p>
            <w:pPr>
              <w:tabs>
                <w:tab w:val="left" w:pos="5140"/>
              </w:tabs>
              <w:rPr>
                <w:rFonts w:ascii="宋体" w:hAnsi="宋体" w:eastAsia="宋体" w:cs="Times New Roman"/>
                <w:color w:val="000000"/>
                <w:szCs w:val="21"/>
              </w:rPr>
            </w:pPr>
          </w:p>
        </w:tc>
        <w:tc>
          <w:tcPr>
            <w:tcW w:w="1485" w:type="dxa"/>
            <w:vMerge w:val="continue"/>
          </w:tcPr>
          <w:p>
            <w:pPr>
              <w:tabs>
                <w:tab w:val="left" w:pos="5140"/>
              </w:tabs>
              <w:rPr>
                <w:rFonts w:ascii="宋体" w:hAnsi="宋体" w:eastAsia="宋体" w:cs="Times New Roman"/>
                <w:color w:val="000000"/>
                <w:szCs w:val="21"/>
              </w:rPr>
            </w:pPr>
          </w:p>
        </w:tc>
        <w:tc>
          <w:tcPr>
            <w:tcW w:w="1545" w:type="dxa"/>
            <w:vMerge w:val="continue"/>
          </w:tcPr>
          <w:p>
            <w:pPr>
              <w:tabs>
                <w:tab w:val="left" w:pos="5140"/>
              </w:tabs>
              <w:rPr>
                <w:rFonts w:ascii="宋体" w:hAnsi="宋体" w:eastAsia="宋体" w:cs="Times New Roman"/>
                <w:color w:val="000000"/>
                <w:szCs w:val="21"/>
              </w:rPr>
            </w:pPr>
          </w:p>
        </w:tc>
        <w:tc>
          <w:tcPr>
            <w:tcW w:w="1206" w:type="dxa"/>
            <w:vMerge w:val="continue"/>
            <w:shd w:val="pct10" w:color="auto" w:fill="auto"/>
          </w:tcPr>
          <w:p>
            <w:pPr>
              <w:tabs>
                <w:tab w:val="left" w:pos="5140"/>
              </w:tabs>
              <w:rPr>
                <w:rFonts w:ascii="宋体" w:hAnsi="宋体" w:eastAsia="宋体" w:cs="Times New Roman"/>
                <w:color w:val="000000"/>
                <w:szCs w:val="21"/>
              </w:rPr>
            </w:pPr>
          </w:p>
        </w:tc>
        <w:tc>
          <w:tcPr>
            <w:tcW w:w="1276"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终止日期</w:t>
            </w:r>
          </w:p>
        </w:tc>
        <w:tc>
          <w:tcPr>
            <w:tcW w:w="850" w:type="dxa"/>
            <w:vMerge w:val="continue"/>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日历控件</w:t>
            </w:r>
          </w:p>
        </w:tc>
        <w:tc>
          <w:tcPr>
            <w:tcW w:w="1134"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w:t>
            </w:r>
            <w:r>
              <w:rPr>
                <w:rFonts w:ascii="宋体" w:hAnsi="宋体" w:eastAsia="宋体" w:cs="Times New Roman"/>
                <w:color w:val="FF0000"/>
                <w:sz w:val="22"/>
              </w:rPr>
              <w:t>控件</w:t>
            </w: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p>
        </w:tc>
        <w:tc>
          <w:tcPr>
            <w:tcW w:w="1134" w:type="dxa"/>
          </w:tcPr>
          <w:p>
            <w:pPr>
              <w:tabs>
                <w:tab w:val="left" w:pos="5140"/>
              </w:tabs>
              <w:rPr>
                <w:rFonts w:ascii="宋体" w:hAnsi="宋体" w:eastAsia="宋体" w:cs="Times New Roman"/>
                <w:color w:val="000000"/>
                <w:szCs w:val="21"/>
              </w:rPr>
            </w:pP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合计</w:t>
            </w:r>
          </w:p>
        </w:tc>
        <w:tc>
          <w:tcPr>
            <w:tcW w:w="101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485"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545" w:type="dxa"/>
          </w:tcPr>
          <w:p>
            <w:pPr>
              <w:tabs>
                <w:tab w:val="left" w:pos="5140"/>
              </w:tabs>
              <w:jc w:val="center"/>
              <w:rPr>
                <w:rFonts w:ascii="宋体" w:hAnsi="宋体" w:eastAsia="宋体" w:cs="Times New Roman"/>
                <w:b/>
                <w:color w:val="000000"/>
                <w:szCs w:val="21"/>
              </w:rPr>
            </w:pPr>
          </w:p>
        </w:tc>
        <w:tc>
          <w:tcPr>
            <w:tcW w:w="120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27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134"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85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40" w:name="_Toc8826"/>
      <w:bookmarkStart w:id="41" w:name="_Toc18418"/>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40"/>
      <w:bookmarkEnd w:id="41"/>
    </w:p>
    <w:p>
      <w:pPr>
        <w:keepNext/>
        <w:keepLines/>
        <w:spacing w:before="100" w:after="100"/>
        <w:outlineLvl w:val="2"/>
        <w:rPr>
          <w:rFonts w:ascii="Times New Roman" w:hAnsi="Times New Roman" w:eastAsia="宋体" w:cs="Times New Roman"/>
          <w:b/>
          <w:bCs/>
          <w:szCs w:val="32"/>
          <w:lang w:val="zh-CN"/>
        </w:rPr>
      </w:pPr>
      <w:bookmarkStart w:id="42" w:name="_Toc22605"/>
      <w:bookmarkStart w:id="43" w:name="_Toc27262"/>
      <w:r>
        <w:rPr>
          <w:rFonts w:hint="eastAsia" w:ascii="Times New Roman" w:hAnsi="Times New Roman" w:eastAsia="宋体" w:cs="Times New Roman"/>
          <w:b/>
          <w:bCs/>
          <w:szCs w:val="32"/>
          <w:lang w:val="zh-CN"/>
        </w:rPr>
        <w:t>（一）报告期内的利润分配与公积金转增股本情况</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股东会</w:t>
            </w:r>
            <w:r>
              <w:rPr>
                <w:rFonts w:ascii="Times New Roman" w:hAnsi="Times New Roman"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p>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FF0000"/>
                <w:kern w:val="0"/>
                <w:sz w:val="22"/>
                <w:szCs w:val="20"/>
              </w:rPr>
              <w:t>日历控件</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（自行</w:t>
            </w:r>
            <w:r>
              <w:rPr>
                <w:rFonts w:ascii="Times New Roman" w:hAnsi="Times New Roman" w:eastAsia="宋体" w:cs="Times New Roman"/>
                <w:color w:val="000000"/>
                <w:kern w:val="0"/>
                <w:sz w:val="22"/>
                <w:szCs w:val="20"/>
              </w:rPr>
              <w:t>添行）</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合计</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bl>
    <w:p>
      <w:pPr>
        <w:tabs>
          <w:tab w:val="left" w:pos="5140"/>
        </w:tabs>
        <w:rPr>
          <w:rFonts w:ascii="Times New Roman" w:hAnsi="Times New Roman" w:eastAsia="宋体" w:cs="Times New Roman"/>
          <w:b/>
          <w:color w:val="000000"/>
          <w:szCs w:val="44"/>
        </w:rPr>
      </w:pPr>
      <w:r>
        <w:rPr>
          <w:rFonts w:hint="eastAsia" w:ascii="Times New Roman" w:hAnsi="Times New Roman" w:eastAsia="宋体" w:cs="Times New Roman"/>
          <w:b/>
          <w:color w:val="000000"/>
          <w:szCs w:val="44"/>
        </w:rPr>
        <w:t>利润分配与公积金转增股本的执行情况</w:t>
      </w:r>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Times New Roman" w:hAnsi="Times New Roman" w:eastAsia="宋体" w:cs="Times New Roman"/>
                <w:i/>
                <w:color w:val="FF0000"/>
                <w:szCs w:val="44"/>
              </w:rPr>
            </w:pPr>
            <w:r>
              <w:rPr>
                <w:rFonts w:ascii="Times New Roman" w:hAnsi="Times New Roman" w:eastAsia="宋体" w:cs="Times New Roman"/>
                <w:i/>
                <w:color w:val="FF0000"/>
                <w:szCs w:val="44"/>
              </w:rPr>
              <w:t>注</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披露</w:t>
            </w:r>
            <w:r>
              <w:rPr>
                <w:rFonts w:hint="eastAsia" w:ascii="Times New Roman" w:hAnsi="Times New Roman" w:eastAsia="宋体" w:cs="Times New Roman"/>
                <w:i/>
                <w:color w:val="FF0000"/>
                <w:szCs w:val="44"/>
              </w:rPr>
              <w:t>利润分配与公积金转增股本</w:t>
            </w:r>
            <w:r>
              <w:rPr>
                <w:rFonts w:ascii="Times New Roman" w:hAnsi="Times New Roman" w:eastAsia="宋体" w:cs="Times New Roman"/>
                <w:i/>
                <w:color w:val="FF0000"/>
                <w:szCs w:val="44"/>
              </w:rPr>
              <w:t>相关议案审议情况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执行情况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对于</w:t>
            </w:r>
            <w:r>
              <w:rPr>
                <w:rFonts w:hint="eastAsia" w:ascii="Times New Roman" w:hAnsi="Times New Roman"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4" w:name="_Toc30584"/>
      <w:bookmarkStart w:id="45" w:name="_Toc4775"/>
      <w:r>
        <w:rPr>
          <w:rFonts w:hint="eastAsia" w:ascii="Times New Roman" w:hAnsi="Times New Roman" w:eastAsia="宋体" w:cs="Times New Roman"/>
          <w:b/>
          <w:bCs/>
          <w:szCs w:val="32"/>
          <w:lang w:val="zh-CN"/>
        </w:rPr>
        <w:t>（二）权益分派预案</w:t>
      </w:r>
      <w:bookmarkEnd w:id="44"/>
      <w:bookmarkEnd w:id="45"/>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p>
      <w:pPr>
        <w:tabs>
          <w:tab w:val="left" w:pos="5140"/>
        </w:tabs>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单位：元或</w:t>
      </w:r>
      <w:r>
        <w:rPr>
          <w:rFonts w:ascii="Times New Roman" w:hAnsi="Times New Roman"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项目</w:t>
            </w:r>
          </w:p>
        </w:tc>
        <w:tc>
          <w:tcPr>
            <w:tcW w:w="2977"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268"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1770"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年度分配预案</w:t>
            </w:r>
          </w:p>
        </w:tc>
        <w:tc>
          <w:tcPr>
            <w:tcW w:w="2977" w:type="dxa"/>
          </w:tcPr>
          <w:p>
            <w:pPr>
              <w:tabs>
                <w:tab w:val="left" w:pos="5140"/>
              </w:tabs>
              <w:rPr>
                <w:rFonts w:ascii="Times New Roman" w:hAnsi="Times New Roman" w:eastAsia="宋体" w:cs="Times New Roman"/>
                <w:color w:val="000000"/>
                <w:kern w:val="0"/>
                <w:sz w:val="22"/>
                <w:szCs w:val="20"/>
              </w:rPr>
            </w:pPr>
          </w:p>
        </w:tc>
        <w:tc>
          <w:tcPr>
            <w:tcW w:w="2268" w:type="dxa"/>
          </w:tcPr>
          <w:p>
            <w:pPr>
              <w:tabs>
                <w:tab w:val="left" w:pos="5140"/>
              </w:tabs>
              <w:rPr>
                <w:rFonts w:ascii="Times New Roman" w:hAnsi="Times New Roman" w:eastAsia="宋体" w:cs="Times New Roman"/>
                <w:color w:val="000000"/>
                <w:kern w:val="0"/>
                <w:sz w:val="22"/>
                <w:szCs w:val="20"/>
              </w:rPr>
            </w:pPr>
          </w:p>
        </w:tc>
        <w:tc>
          <w:tcPr>
            <w:tcW w:w="1770" w:type="dxa"/>
          </w:tcPr>
          <w:p>
            <w:pPr>
              <w:tabs>
                <w:tab w:val="left" w:pos="5140"/>
              </w:tabs>
              <w:rPr>
                <w:rFonts w:ascii="Times New Roman" w:hAnsi="Times New Roman" w:eastAsia="宋体" w:cs="Times New Roman"/>
                <w:color w:val="000000"/>
                <w:kern w:val="0"/>
                <w:sz w:val="22"/>
                <w:szCs w:val="20"/>
              </w:rPr>
            </w:pPr>
          </w:p>
        </w:tc>
      </w:tr>
    </w:tbl>
    <w:p>
      <w:pPr>
        <w:pStyle w:val="2"/>
        <w:tabs>
          <w:tab w:val="left" w:pos="5140"/>
        </w:tabs>
        <w:spacing w:before="100" w:after="100"/>
        <w:jc w:val="center"/>
        <w:rPr>
          <w:rFonts w:eastAsia="黑体"/>
          <w:sz w:val="36"/>
        </w:rPr>
        <w:sectPr>
          <w:pgSz w:w="11907" w:h="16839"/>
          <w:pgMar w:top="1440" w:right="1797" w:bottom="1440" w:left="1797" w:header="851" w:footer="992" w:gutter="0"/>
          <w:cols w:space="425" w:num="1"/>
          <w:docGrid w:type="lines" w:linePitch="312" w:charSpace="0"/>
        </w:sectPr>
      </w:pPr>
      <w:r>
        <w:rPr>
          <w:rFonts w:eastAsia="黑体"/>
          <w:sz w:val="36"/>
        </w:rPr>
        <w:br w:type="page"/>
      </w:r>
    </w:p>
    <w:p>
      <w:pPr>
        <w:pStyle w:val="2"/>
        <w:tabs>
          <w:tab w:val="left" w:pos="5140"/>
        </w:tabs>
        <w:spacing w:before="100" w:after="100"/>
        <w:jc w:val="center"/>
        <w:rPr>
          <w:rFonts w:ascii="黑体" w:hAnsi="黑体" w:eastAsia="黑体"/>
          <w:color w:val="000000" w:themeColor="text1"/>
          <w:sz w:val="36"/>
          <w:szCs w:val="28"/>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第五节</w:t>
      </w:r>
      <w:r>
        <w:rPr>
          <w:rFonts w:ascii="黑体" w:hAnsi="黑体" w:eastAsia="黑体"/>
          <w:color w:val="000000" w:themeColor="text1"/>
          <w:sz w:val="36"/>
          <w:szCs w:val="28"/>
          <w14:textFill>
            <w14:solidFill>
              <w14:schemeClr w14:val="tx1"/>
            </w14:solidFill>
          </w14:textFill>
        </w:rPr>
        <w:t xml:space="preserve"> </w:t>
      </w:r>
      <w:r>
        <w:rPr>
          <w:rFonts w:hint="eastAsia" w:ascii="黑体" w:hAnsi="黑体" w:eastAsia="黑体"/>
          <w:color w:val="000000" w:themeColor="text1"/>
          <w:sz w:val="36"/>
          <w:szCs w:val="28"/>
          <w14:textFill>
            <w14:solidFill>
              <w14:schemeClr w14:val="tx1"/>
            </w14:solidFill>
          </w14:textFill>
        </w:rPr>
        <w:t>行业信息</w:t>
      </w:r>
    </w:p>
    <w:p>
      <w:pP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是否自愿</w:t>
      </w:r>
      <w:r>
        <w:rPr>
          <w:rFonts w:cs="Times New Roman" w:asciiTheme="minorEastAsia" w:hAnsiTheme="minorEastAsia"/>
          <w:color w:val="000000" w:themeColor="text1"/>
          <w:szCs w:val="21"/>
          <w14:textFill>
            <w14:solidFill>
              <w14:schemeClr w14:val="tx1"/>
            </w14:solidFill>
          </w14:textFill>
        </w:rPr>
        <w:t>披露</w:t>
      </w:r>
    </w:p>
    <w:p>
      <w:pPr>
        <w:rPr>
          <w:rFonts w:ascii="Calibri" w:hAnsi="Calibri" w:eastAsia="宋体" w:cs="Times New Roman"/>
          <w:b/>
        </w:rPr>
      </w:pPr>
      <w:r>
        <w:rPr>
          <w:rFonts w:hint="eastAsia" w:ascii="Calibri" w:hAnsi="Calibri" w:eastAsia="宋体" w:cs="Times New Roman"/>
        </w:rPr>
        <w:t>□  是 □  否</w:t>
      </w:r>
    </w:p>
    <w:tbl>
      <w:tblPr>
        <w:tblStyle w:val="12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cs="Times New Roman" w:asciiTheme="minorEastAsia" w:hAnsiTheme="minorEastAsia"/>
                <w:i/>
                <w:color w:val="FF0000"/>
                <w:szCs w:val="21"/>
              </w:rPr>
            </w:pPr>
          </w:p>
          <w:p>
            <w:pPr>
              <w:tabs>
                <w:tab w:val="left" w:pos="5140"/>
              </w:tabs>
              <w:rPr>
                <w:rFonts w:cs="Times New Roman" w:asciiTheme="minorEastAsia" w:hAnsiTheme="minorEastAsia"/>
                <w:color w:val="000000" w:themeColor="text1"/>
                <w:szCs w:val="21"/>
                <w14:textFill>
                  <w14:solidFill>
                    <w14:schemeClr w14:val="tx1"/>
                  </w14:solidFill>
                </w14:textFill>
              </w:rPr>
            </w:pPr>
          </w:p>
        </w:tc>
      </w:tr>
    </w:tbl>
    <w:p>
      <w:pPr>
        <w:pStyle w:val="2"/>
        <w:spacing w:before="100" w:after="100" w:line="240" w:lineRule="auto"/>
        <w:jc w:val="center"/>
        <w:rPr>
          <w:rFonts w:eastAsia="黑体"/>
          <w:sz w:val="36"/>
        </w:rPr>
        <w:sectPr>
          <w:pgSz w:w="11907" w:h="16839"/>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bookmarkEnd w:id="26"/>
      <w:bookmarkEnd w:id="27"/>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6" w:name="_Toc8141"/>
      <w:bookmarkStart w:id="47" w:name="_Toc22910"/>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注：创新层公司</w:t>
      </w:r>
      <w:r>
        <w:rPr>
          <w:rFonts w:ascii="Calibri" w:hAnsi="Calibri" w:eastAsia="宋体" w:cs="Times New Roman"/>
          <w:i/>
          <w:color w:val="FF0000"/>
        </w:rPr>
        <w:t>应当披露</w:t>
      </w:r>
      <w:r>
        <w:rPr>
          <w:rFonts w:hint="eastAsia" w:ascii="Calibri" w:hAnsi="Calibri" w:eastAsia="宋体" w:cs="Times New Roman"/>
          <w:i/>
          <w:color w:val="FF0000"/>
        </w:rPr>
        <w:t>现任</w:t>
      </w:r>
      <w:r>
        <w:rPr>
          <w:rFonts w:ascii="Calibri" w:hAnsi="Calibri" w:eastAsia="宋体" w:cs="Times New Roman"/>
          <w:i/>
          <w:color w:val="FF0000"/>
        </w:rPr>
        <w:t>及报告期内离任的董事、监事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的基本</w:t>
      </w:r>
      <w:r>
        <w:rPr>
          <w:rFonts w:ascii="Calibri" w:hAnsi="Calibri" w:eastAsia="宋体" w:cs="Times New Roman"/>
          <w:i/>
          <w:color w:val="FF0000"/>
        </w:rPr>
        <w:t>情况</w:t>
      </w:r>
      <w:r>
        <w:rPr>
          <w:rFonts w:hint="eastAsia" w:ascii="Calibri" w:hAnsi="Calibri" w:eastAsia="宋体" w:cs="Times New Roman"/>
          <w:i/>
          <w:color w:val="FF0000"/>
        </w:rPr>
        <w:t>，基础层公司</w:t>
      </w:r>
      <w:r>
        <w:rPr>
          <w:rFonts w:ascii="Calibri" w:hAnsi="Calibri" w:eastAsia="宋体" w:cs="Times New Roman"/>
          <w:i/>
          <w:color w:val="FF0000"/>
        </w:rPr>
        <w:t>应当披露</w:t>
      </w:r>
      <w:r>
        <w:rPr>
          <w:rFonts w:hint="eastAsia" w:ascii="Calibri" w:hAnsi="Calibri" w:eastAsia="宋体" w:cs="Times New Roman"/>
          <w:i/>
          <w:color w:val="FF0000"/>
        </w:rPr>
        <w:t>报告期内新任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的基本情况</w:t>
      </w:r>
      <w:r>
        <w:rPr>
          <w:rFonts w:ascii="Calibri" w:hAnsi="Calibri" w:eastAsia="宋体" w:cs="Times New Roman"/>
          <w:i/>
          <w:color w:val="FF0000"/>
        </w:rPr>
        <w:t>。</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6"/>
    <w:bookmarkEnd w:id="47"/>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E7E6E6" w:themeFill="background2"/>
            <w:vAlign w:val="center"/>
          </w:tcPr>
          <w:p>
            <w:pPr>
              <w:jc w:val="center"/>
              <w:rPr>
                <w:b/>
                <w:sz w:val="22"/>
              </w:rPr>
            </w:pPr>
            <w:r>
              <w:rPr>
                <w:rFonts w:hint="eastAsia"/>
                <w:b/>
                <w:sz w:val="22"/>
              </w:rPr>
              <w:t>姓名</w:t>
            </w:r>
          </w:p>
        </w:tc>
        <w:tc>
          <w:tcPr>
            <w:tcW w:w="729" w:type="pct"/>
            <w:shd w:val="clear" w:color="auto" w:fill="E7E6E6" w:themeFill="background2"/>
            <w:vAlign w:val="center"/>
          </w:tcPr>
          <w:p>
            <w:pPr>
              <w:jc w:val="center"/>
              <w:rPr>
                <w:b/>
                <w:sz w:val="22"/>
              </w:rPr>
            </w:pPr>
            <w:r>
              <w:rPr>
                <w:rFonts w:hint="eastAsia"/>
                <w:b/>
                <w:sz w:val="22"/>
              </w:rPr>
              <w:t>变动情况</w:t>
            </w:r>
          </w:p>
        </w:tc>
        <w:tc>
          <w:tcPr>
            <w:tcW w:w="441" w:type="pct"/>
            <w:shd w:val="clear" w:color="auto" w:fill="E7E6E6" w:themeFill="background2"/>
            <w:vAlign w:val="center"/>
          </w:tcPr>
          <w:p>
            <w:pPr>
              <w:jc w:val="center"/>
              <w:rPr>
                <w:b/>
                <w:sz w:val="22"/>
              </w:rPr>
            </w:pPr>
            <w:r>
              <w:rPr>
                <w:rFonts w:hint="eastAsia"/>
                <w:b/>
                <w:sz w:val="22"/>
              </w:rPr>
              <w:t>职务</w:t>
            </w:r>
          </w:p>
        </w:tc>
        <w:tc>
          <w:tcPr>
            <w:tcW w:w="1250" w:type="pct"/>
            <w:shd w:val="clear" w:color="auto" w:fill="E7E6E6" w:themeFill="background2"/>
            <w:vAlign w:val="center"/>
          </w:tcPr>
          <w:p>
            <w:pPr>
              <w:widowControl/>
              <w:jc w:val="center"/>
              <w:rPr>
                <w:b/>
                <w:sz w:val="22"/>
              </w:rPr>
            </w:pPr>
            <w:r>
              <w:rPr>
                <w:rFonts w:hint="eastAsia"/>
                <w:b/>
                <w:sz w:val="22"/>
              </w:rPr>
              <w:t>期初持普通股股数</w:t>
            </w:r>
          </w:p>
        </w:tc>
        <w:tc>
          <w:tcPr>
            <w:tcW w:w="809" w:type="pct"/>
            <w:shd w:val="clear" w:color="auto" w:fill="E7E6E6" w:themeFill="background2"/>
            <w:vAlign w:val="center"/>
          </w:tcPr>
          <w:p>
            <w:pPr>
              <w:widowControl/>
              <w:jc w:val="center"/>
              <w:rPr>
                <w:b/>
                <w:sz w:val="22"/>
              </w:rPr>
            </w:pPr>
            <w:r>
              <w:rPr>
                <w:rFonts w:hint="eastAsia"/>
                <w:b/>
                <w:sz w:val="22"/>
              </w:rPr>
              <w:t>持股</w:t>
            </w:r>
            <w:r>
              <w:rPr>
                <w:b/>
                <w:sz w:val="22"/>
              </w:rPr>
              <w:t>数量变动</w:t>
            </w:r>
          </w:p>
        </w:tc>
        <w:tc>
          <w:tcPr>
            <w:tcW w:w="1029" w:type="pct"/>
            <w:shd w:val="clear" w:color="auto" w:fill="E7E6E6" w:themeFill="background2"/>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8" w:name="_Toc28124"/>
      <w:bookmarkStart w:id="49" w:name="_Toc11304"/>
      <w:bookmarkStart w:id="50" w:name="_Toc9561"/>
      <w:bookmarkStart w:id="51" w:name="_Toc26572"/>
      <w:bookmarkStart w:id="52" w:name="_Toc3366"/>
      <w:bookmarkStart w:id="53"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8"/>
      <w:bookmarkEnd w:id="49"/>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4" w:name="_Toc1328"/>
      <w:bookmarkStart w:id="55" w:name="_Toc14513"/>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4"/>
      <w:bookmarkEnd w:id="55"/>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6" w:name="_Toc4118"/>
      <w:bookmarkStart w:id="57" w:name="_Toc1322"/>
      <w:r>
        <w:rPr>
          <w:rFonts w:hint="eastAsia" w:ascii="Times New Roman" w:hAnsi="Times New Roman" w:eastAsia="宋体" w:cs="Times New Roman"/>
          <w:b/>
          <w:bCs/>
          <w:szCs w:val="32"/>
          <w:lang w:val="zh-CN"/>
        </w:rPr>
        <w:t>（二）</w:t>
      </w:r>
      <w:bookmarkStart w:id="58" w:name="_Toc32612"/>
      <w:bookmarkStart w:id="59"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8"/>
      <w:bookmarkEnd w:id="59"/>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60" w:name="_Toc23971"/>
      <w:bookmarkStart w:id="61" w:name="_Toc1235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2" w:name="_Toc26971"/>
      <w:bookmarkStart w:id="63"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2"/>
      <w:bookmarkEnd w:id="63"/>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6"/>
      <w:bookmarkEnd w:id="57"/>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50"/>
      <w:bookmarkEnd w:id="51"/>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pStyle w:val="2"/>
        <w:spacing w:before="100" w:after="100" w:line="240" w:lineRule="auto"/>
        <w:jc w:val="center"/>
        <w:rPr>
          <w:rFonts w:eastAsia="黑体"/>
          <w:sz w:val="36"/>
        </w:rPr>
      </w:pPr>
      <w:r>
        <w:br w:type="page"/>
      </w:r>
      <w:r>
        <w:rPr>
          <w:rFonts w:hint="eastAsia" w:eastAsia="黑体"/>
          <w:sz w:val="36"/>
        </w:rPr>
        <w:t>第七节</w:t>
      </w:r>
      <w:r>
        <w:rPr>
          <w:rFonts w:eastAsia="黑体"/>
          <w:sz w:val="36"/>
        </w:rPr>
        <w:t xml:space="preserve"> </w:t>
      </w:r>
      <w:r>
        <w:rPr>
          <w:rFonts w:hint="eastAsia" w:eastAsia="黑体"/>
          <w:sz w:val="36"/>
        </w:rPr>
        <w:t>财务会计报告</w:t>
      </w:r>
      <w:bookmarkEnd w:id="52"/>
      <w:bookmarkEnd w:id="53"/>
    </w:p>
    <w:p>
      <w:pPr>
        <w:keepNext/>
        <w:keepLines/>
        <w:spacing w:before="100" w:after="100"/>
        <w:outlineLvl w:val="1"/>
        <w:rPr>
          <w:rFonts w:ascii="Calibri Light" w:hAnsi="Calibri Light" w:eastAsia="微软雅黑" w:cs="Times New Roman"/>
          <w:b/>
          <w:bCs/>
          <w:sz w:val="22"/>
          <w:szCs w:val="32"/>
        </w:rPr>
      </w:pPr>
      <w:bookmarkStart w:id="64" w:name="_Toc24970"/>
      <w:bookmarkStart w:id="65"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4"/>
      <w:bookmarkEnd w:id="65"/>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6" w:name="_Toc29146"/>
      <w:bookmarkStart w:id="67" w:name="_Toc13862"/>
      <w:bookmarkStart w:id="68" w:name="_Toc247094011"/>
      <w:bookmarkStart w:id="69" w:name="_Toc369159472"/>
      <w:bookmarkStart w:id="70" w:name="_Toc247371786"/>
      <w:bookmarkStart w:id="71" w:name="_Toc24163638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6"/>
      <w:bookmarkEnd w:id="67"/>
    </w:p>
    <w:p>
      <w:pPr>
        <w:keepNext/>
        <w:keepLines/>
        <w:spacing w:before="100" w:after="100"/>
        <w:outlineLvl w:val="2"/>
        <w:rPr>
          <w:rFonts w:ascii="Times New Roman" w:hAnsi="Times New Roman" w:eastAsia="宋体" w:cs="Times New Roman"/>
          <w:b/>
          <w:bCs/>
          <w:szCs w:val="32"/>
          <w:lang w:val="zh-CN"/>
        </w:rPr>
      </w:pPr>
      <w:bookmarkStart w:id="72" w:name="_Toc27363"/>
      <w:bookmarkStart w:id="73" w:name="_Toc8339"/>
      <w:r>
        <w:rPr>
          <w:rFonts w:hint="eastAsia" w:ascii="Times New Roman" w:hAnsi="Times New Roman" w:eastAsia="宋体" w:cs="Times New Roman"/>
          <w:b/>
          <w:bCs/>
          <w:szCs w:val="32"/>
          <w:lang w:val="zh-CN"/>
        </w:rPr>
        <w:t>（一）合并资产负债表</w:t>
      </w:r>
      <w:bookmarkEnd w:id="72"/>
      <w:bookmarkEnd w:id="73"/>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3"/>
        <w:gridCol w:w="1896"/>
        <w:gridCol w:w="2626"/>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imes New Roman" w:hAnsi="Times New Roman" w:cs="宋体" w:eastAsiaTheme="minorEastAsia"/>
                <w:b/>
                <w:color w:val="000000" w:themeColor="text1"/>
                <w:sz w:val="18"/>
                <w:szCs w:val="21"/>
                <w14:textFill>
                  <w14:solidFill>
                    <w14:schemeClr w14:val="tx1"/>
                  </w14:solidFill>
                </w14:textFill>
              </w:rPr>
            </w:pPr>
            <w:r>
              <w:rPr>
                <w:rFonts w:hint="eastAsia" w:ascii="Times New Roman" w:hAnsi="Times New Roman" w:eastAsiaTheme="minorEastAsia"/>
                <w:b/>
                <w:sz w:val="18"/>
                <w:szCs w:val="18"/>
              </w:rPr>
              <w:t>2024</w:t>
            </w:r>
            <w:r>
              <w:rPr>
                <w:rFonts w:ascii="Times New Roman" w:hAnsi="Times New Roman" w:eastAsiaTheme="minorEastAsia"/>
                <w:b/>
                <w:sz w:val="18"/>
                <w:szCs w:val="18"/>
              </w:rPr>
              <w:t>年12月31日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widowControl/>
              <w:jc w:val="center"/>
              <w:rPr>
                <w:rFonts w:ascii="Times New Roman" w:hAnsi="Times New Roman" w:cs="宋体" w:eastAsiaTheme="minorEastAsia"/>
                <w:kern w:val="0"/>
                <w:sz w:val="24"/>
                <w:szCs w:val="24"/>
              </w:rPr>
            </w:pPr>
            <w:r>
              <w:rPr>
                <w:rFonts w:hint="eastAsia" w:ascii="Times New Roman" w:hAnsi="Times New Roman" w:eastAsiaTheme="minorEastAsia"/>
                <w:b/>
                <w:sz w:val="18"/>
                <w:szCs w:val="18"/>
              </w:rPr>
              <w:t>2023</w:t>
            </w:r>
            <w:r>
              <w:rPr>
                <w:rFonts w:ascii="Times New Roman" w:hAnsi="Times New Roman" w:eastAsiaTheme="minorEastAsia"/>
                <w:b/>
                <w:sz w:val="18"/>
                <w:szCs w:val="18"/>
              </w:rPr>
              <w:t>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0CECE" w:themeFill="background2" w:themeFillShade="E6"/>
          </w:tcPr>
          <w:p>
            <w:pPr>
              <w:jc w:val="left"/>
              <w:rPr>
                <w:rFonts w:cs="宋体" w:asciiTheme="minorEastAsia" w:hAnsiTheme="minorEastAsia"/>
                <w:b/>
                <w:color w:val="000000" w:themeColor="text1"/>
                <w:sz w:val="18"/>
                <w:szCs w:val="21"/>
                <w14:textFill>
                  <w14:solidFill>
                    <w14:schemeClr w14:val="tx1"/>
                  </w14:solidFill>
                </w14:textFill>
              </w:rPr>
            </w:pPr>
            <w:r>
              <w:rPr>
                <w:rFonts w:hint="eastAsia"/>
                <w:b/>
                <w:sz w:val="18"/>
                <w:szCs w:val="18"/>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0CECE" w:themeFill="background2" w:themeFillShade="E6"/>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sz w:val="18"/>
                <w:szCs w:val="18"/>
              </w:rPr>
              <w:t>货币资金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0CECE" w:themeFill="background2" w:themeFillShade="E6"/>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sz w:val="18"/>
                <w:szCs w:val="18"/>
              </w:rPr>
              <w:t>其中：客户资金存款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结算备付金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其中：客户备付金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融出资金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衍生金融资产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存出</w:t>
            </w:r>
            <w:r>
              <w:rPr>
                <w:rFonts w:cs="宋体" w:asciiTheme="minorEastAsia" w:hAnsiTheme="minorEastAsia"/>
                <w:color w:val="000000" w:themeColor="text1"/>
                <w:sz w:val="18"/>
                <w:szCs w:val="21"/>
                <w14:textFill>
                  <w14:solidFill>
                    <w14:schemeClr w14:val="tx1"/>
                  </w14:solidFill>
                </w14:textFill>
              </w:rPr>
              <w:t>保证金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应收款项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合同资产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其中：交易性</w:t>
            </w:r>
            <w:r>
              <w:rPr>
                <w:rFonts w:cs="宋体" w:asciiTheme="minorEastAsia" w:hAnsiTheme="minorEastAsia"/>
                <w:color w:val="000000" w:themeColor="text1"/>
                <w:sz w:val="18"/>
                <w:szCs w:val="21"/>
                <w14:textFill>
                  <w14:solidFill>
                    <w14:schemeClr w14:val="tx1"/>
                  </w14:solidFill>
                </w14:textFill>
              </w:rPr>
              <w:t>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 xml:space="preserve">    </w:t>
            </w:r>
            <w:r>
              <w:rPr>
                <w:rFonts w:cs="宋体" w:asciiTheme="minorEastAsia" w:hAnsiTheme="minorEastAsia"/>
                <w:color w:val="000000" w:themeColor="text1"/>
                <w:sz w:val="18"/>
                <w:szCs w:val="21"/>
                <w14:textFill>
                  <w14:solidFill>
                    <w14:schemeClr w14:val="tx1"/>
                  </w14:solidFill>
                </w14:textFill>
              </w:rPr>
              <w:t xml:space="preserve"> </w:t>
            </w:r>
            <w:r>
              <w:rPr>
                <w:rFonts w:hint="eastAsia" w:cs="宋体" w:asciiTheme="minorEastAsia" w:hAnsiTheme="minorEastAsia"/>
                <w:color w:val="000000" w:themeColor="text1"/>
                <w:sz w:val="18"/>
                <w:szCs w:val="21"/>
                <w14:textFill>
                  <w14:solidFill>
                    <w14:schemeClr w14:val="tx1"/>
                  </w14:solidFill>
                </w14:textFill>
              </w:rPr>
              <w:t xml:space="preserve"> 债权</w:t>
            </w:r>
            <w:r>
              <w:rPr>
                <w:rFonts w:cs="宋体" w:asciiTheme="minorEastAsia" w:hAnsi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 xml:space="preserve">      其他</w:t>
            </w:r>
            <w:r>
              <w:rPr>
                <w:rFonts w:cs="宋体" w:asciiTheme="minorEastAsia" w:hAnsiTheme="minorEastAsia"/>
                <w:color w:val="000000" w:themeColor="text1"/>
                <w:sz w:val="18"/>
                <w:szCs w:val="21"/>
                <w14:textFill>
                  <w14:solidFill>
                    <w14:schemeClr w14:val="tx1"/>
                  </w14:solidFill>
                </w14:textFill>
              </w:rPr>
              <w:t>债权投资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 xml:space="preserve">      其他</w:t>
            </w:r>
            <w:r>
              <w:rPr>
                <w:rFonts w:cs="宋体" w:asciiTheme="minorEastAsia" w:hAnsiTheme="minorEastAsia"/>
                <w:color w:val="000000" w:themeColor="text1"/>
                <w:sz w:val="18"/>
                <w:szCs w:val="21"/>
                <w14:textFill>
                  <w14:solidFill>
                    <w14:schemeClr w14:val="tx1"/>
                  </w14:solidFill>
                </w14:textFill>
              </w:rPr>
              <w:t>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长期应收款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使用</w:t>
            </w:r>
            <w:r>
              <w:rPr>
                <w:rFonts w:cs="宋体" w:asciiTheme="minorEastAsia" w:hAnsiTheme="minorEastAsia"/>
                <w:color w:val="000000" w:themeColor="text1"/>
                <w:sz w:val="18"/>
                <w:szCs w:val="21"/>
                <w14:textFill>
                  <w14:solidFill>
                    <w14:schemeClr w14:val="tx1"/>
                  </w14:solidFill>
                </w14:textFill>
              </w:rPr>
              <w:t>权资产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无形</w:t>
            </w:r>
            <w:r>
              <w:rPr>
                <w:rFonts w:cs="宋体" w:asciiTheme="minorEastAsia" w:hAnsi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开发支出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资产总计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短期借款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应付短期融资款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交易性</w:t>
            </w:r>
            <w:r>
              <w:rPr>
                <w:rFonts w:cs="宋体" w:asciiTheme="minorEastAsia" w:hAnsiTheme="minorEastAsia"/>
                <w:color w:val="000000" w:themeColor="text1"/>
                <w:sz w:val="18"/>
                <w:szCs w:val="21"/>
                <w14:textFill>
                  <w14:solidFill>
                    <w14:schemeClr w14:val="tx1"/>
                  </w14:solidFill>
                </w14:textFill>
              </w:rPr>
              <w:t>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代理买卖证券款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代理承销证券款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合同负债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w:t>
            </w:r>
            <w:r>
              <w:rPr>
                <w:rFonts w:cs="宋体" w:asciiTheme="minorEastAsia" w:hAnsi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租赁负债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所有者权益（或股东权益）：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实收资本（或股本）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其他权益工具</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w:t>
            </w:r>
            <w:r>
              <w:rPr>
                <w:rFonts w:cs="宋体" w:asciiTheme="minorEastAsia" w:hAnsi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专项储备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bookmarkStart w:id="74" w:name="OLE_LINK7"/>
            <w:bookmarkStart w:id="75" w:name="OLE_LINK8"/>
            <w:r>
              <w:rPr>
                <w:rFonts w:hint="eastAsia" w:cs="宋体" w:asciiTheme="minorEastAsia" w:hAnsiTheme="minorEastAsia"/>
                <w:color w:val="000000" w:themeColor="text1"/>
                <w:sz w:val="18"/>
                <w:szCs w:val="21"/>
                <w14:textFill>
                  <w14:solidFill>
                    <w14:schemeClr w14:val="tx1"/>
                  </w14:solidFill>
                </w14:textFill>
              </w:rPr>
              <w:t>归属于母公司</w:t>
            </w:r>
            <w:bookmarkEnd w:id="74"/>
            <w:bookmarkEnd w:id="75"/>
            <w:r>
              <w:rPr>
                <w:rFonts w:hint="eastAsia" w:cs="宋体" w:asciiTheme="minorEastAsia" w:hAnsiTheme="minorEastAsia"/>
                <w:color w:val="000000" w:themeColor="text1"/>
                <w:sz w:val="18"/>
                <w:szCs w:val="21"/>
                <w14:textFill>
                  <w14:solidFill>
                    <w14:schemeClr w14:val="tx1"/>
                  </w14:solidFill>
                </w14:textFill>
              </w:rPr>
              <w:t>所有者权益（或股东权益）合计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少数股东权益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所有者权益（或股东权益）合计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highlight w:val="yellow"/>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highlight w:val="yellow"/>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highlight w:val="yellow"/>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负债和所有者权益（或股东权益）总计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bl>
    <w:p>
      <w:pPr>
        <w:rPr>
          <w:rFonts w:ascii="Arial" w:hAnsi="Arial" w:eastAsia="黑体" w:cs="Times New Roman"/>
          <w:b/>
          <w:bCs/>
          <w:sz w:val="22"/>
          <w:lang w:val="zh-CN"/>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b/>
          <w:color w:val="000000"/>
          <w:szCs w:val="44"/>
        </w:rPr>
      </w:pPr>
      <w:bookmarkStart w:id="76" w:name="_Toc6348"/>
      <w:bookmarkStart w:id="77" w:name="_Toc20412"/>
      <w:r>
        <w:rPr>
          <w:rFonts w:hint="eastAsia" w:ascii="Times New Roman" w:hAnsi="Times New Roman" w:eastAsia="宋体" w:cs="Times New Roman"/>
          <w:b/>
          <w:bCs/>
          <w:szCs w:val="32"/>
          <w:lang w:val="zh-CN"/>
        </w:rPr>
        <w:t>（二）母公司资产负债表</w:t>
      </w:r>
      <w:bookmarkEnd w:id="76"/>
      <w:bookmarkEnd w:id="77"/>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4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81"/>
        <w:gridCol w:w="1907"/>
        <w:gridCol w:w="2642"/>
        <w:gridCol w:w="234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2024年12月31日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货币资金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其中：客户资金存款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结算备付金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其中：客户备付金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融出资金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衍生金融资产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存出保证金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应收款项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合同资产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其中：交易性</w:t>
            </w:r>
            <w:r>
              <w:rPr>
                <w:rFonts w:cs="宋体" w:asciiTheme="minorEastAsia" w:hAnsiTheme="minorEastAsia"/>
                <w:color w:val="000000" w:themeColor="text1"/>
                <w:sz w:val="18"/>
                <w:szCs w:val="21"/>
                <w14:textFill>
                  <w14:solidFill>
                    <w14:schemeClr w14:val="tx1"/>
                  </w14:solidFill>
                </w14:textFill>
              </w:rPr>
              <w:t>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债权</w:t>
            </w:r>
            <w:r>
              <w:rPr>
                <w:rFonts w:cs="宋体" w:asciiTheme="minorEastAsia" w:hAnsi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其他债权</w:t>
            </w:r>
            <w:r>
              <w:rPr>
                <w:rFonts w:cs="宋体" w:asciiTheme="minorEastAsia" w:hAnsi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w:t>
            </w:r>
            <w:r>
              <w:rPr>
                <w:rFonts w:cs="宋体" w:asciiTheme="minorEastAsia" w:hAnsiTheme="minorEastAsia"/>
                <w:color w:val="000000" w:themeColor="text1"/>
                <w:sz w:val="18"/>
                <w:szCs w:val="21"/>
                <w14:textFill>
                  <w14:solidFill>
                    <w14:schemeClr w14:val="tx1"/>
                  </w14:solidFill>
                </w14:textFill>
              </w:rPr>
              <w:t>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长期应收款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使用权</w:t>
            </w:r>
            <w:r>
              <w:rPr>
                <w:rFonts w:cs="宋体" w:asciiTheme="minorEastAsia" w:hAnsi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无形</w:t>
            </w:r>
            <w:r>
              <w:rPr>
                <w:rFonts w:cs="宋体" w:asciiTheme="minorEastAsia" w:hAnsi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开发支出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资产总计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短期借款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应付短期融资款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交易性</w:t>
            </w:r>
            <w:r>
              <w:rPr>
                <w:rFonts w:cs="宋体" w:asciiTheme="minorEastAsia" w:hAnsiTheme="minorEastAsia"/>
                <w:color w:val="000000" w:themeColor="text1"/>
                <w:sz w:val="18"/>
                <w:szCs w:val="21"/>
                <w14:textFill>
                  <w14:solidFill>
                    <w14:schemeClr w14:val="tx1"/>
                  </w14:solidFill>
                </w14:textFill>
              </w:rPr>
              <w:t>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代理买卖证券款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代理承销证券款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合同负债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w:t>
            </w:r>
            <w:r>
              <w:rPr>
                <w:rFonts w:cs="宋体" w:asciiTheme="minorEastAsia" w:hAnsi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租赁负债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递延收益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所有者权益（或股东权益）：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实收资本（或股本）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其他权益工具</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其中</w:t>
            </w:r>
            <w:r>
              <w:rPr>
                <w:rFonts w:cs="宋体" w:asciiTheme="minorEastAsia" w:hAnsi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专项储备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所有者权益（或股东权益）合计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highlight w:val="yellow"/>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highlight w:val="yellow"/>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highlight w:val="yellow"/>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b/>
                <w:color w:val="000000" w:themeColor="text1"/>
                <w:sz w:val="18"/>
                <w:szCs w:val="21"/>
                <w14:textFill>
                  <w14:solidFill>
                    <w14:schemeClr w14:val="tx1"/>
                  </w14:solidFill>
                </w14:textFill>
              </w:rPr>
            </w:pPr>
            <w:r>
              <w:rPr>
                <w:rFonts w:hint="eastAsia" w:cs="宋体" w:asciiTheme="minorEastAsia" w:hAnsiTheme="minorEastAsia"/>
                <w:b/>
                <w:color w:val="000000" w:themeColor="text1"/>
                <w:sz w:val="18"/>
                <w:szCs w:val="21"/>
                <w14:textFill>
                  <w14:solidFill>
                    <w14:schemeClr w14:val="tx1"/>
                  </w14:solidFill>
                </w14:textFill>
              </w:rPr>
              <w:t>负债和所有者权益（或股东权益）总计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宋体" w:asciiTheme="minorEastAsia" w:hAnsi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宋体" w:asciiTheme="minorEastAsia" w:hAnsiTheme="minorEastAsia"/>
                <w:b/>
                <w:color w:val="000000" w:themeColor="text1"/>
                <w:sz w:val="18"/>
                <w:szCs w:val="21"/>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78" w:name="_Toc16179"/>
      <w:bookmarkStart w:id="79" w:name="_Toc29470"/>
      <w:r>
        <w:rPr>
          <w:rFonts w:hint="eastAsia" w:ascii="Times New Roman" w:hAnsi="Times New Roman" w:eastAsia="宋体" w:cs="Times New Roman"/>
          <w:b/>
          <w:bCs/>
          <w:szCs w:val="32"/>
          <w:lang w:val="zh-CN"/>
        </w:rPr>
        <w:t>（三）合并利润表</w:t>
      </w:r>
      <w:bookmarkEnd w:id="78"/>
      <w:bookmarkEnd w:id="79"/>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26"/>
        <w:gridCol w:w="1312"/>
        <w:gridCol w:w="2042"/>
        <w:gridCol w:w="233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附注</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一、营业收入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利息净收入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其中</w:t>
            </w:r>
            <w:r>
              <w:rPr>
                <w:rFonts w:ascii="Calibri" w:hAnsi="Calibri" w:eastAsia="宋体" w:cs="Times New Roman"/>
                <w:sz w:val="18"/>
                <w:szCs w:val="18"/>
              </w:rPr>
              <w:t>：</w:t>
            </w:r>
            <w:r>
              <w:rPr>
                <w:rFonts w:hint="eastAsia" w:ascii="Calibri" w:hAnsi="Calibri" w:eastAsia="宋体" w:cs="Times New Roman"/>
                <w:sz w:val="18"/>
                <w:szCs w:val="18"/>
              </w:rPr>
              <w:t>利息</w:t>
            </w:r>
            <w:r>
              <w:rPr>
                <w:rFonts w:ascii="Calibri" w:hAnsi="Calibri" w:eastAsia="宋体" w:cs="Times New Roman"/>
                <w:sz w:val="18"/>
                <w:szCs w:val="18"/>
              </w:rPr>
              <w:t>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ind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利息</w:t>
            </w:r>
            <w:r>
              <w:rPr>
                <w:rFonts w:ascii="Calibri" w:hAnsi="Calibri" w:eastAsia="宋体" w:cs="Times New Roman"/>
                <w:sz w:val="18"/>
                <w:szCs w:val="18"/>
              </w:rPr>
              <w:t>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手续费及佣金净收入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其中：经纪业务手续费净收入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ind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投资银行业务手续费净收入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ind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资产管理业务手续费净收入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投资收益（损失以</w:t>
            </w:r>
            <w:r>
              <w:rPr>
                <w:rFonts w:ascii="Calibri" w:hAnsi="Calibri" w:eastAsia="宋体" w:cs="Times New Roman"/>
                <w:sz w:val="18"/>
                <w:szCs w:val="18"/>
              </w:rPr>
              <w:t>“-”</w:t>
            </w:r>
            <w:r>
              <w:rPr>
                <w:rFonts w:hint="eastAsia" w:ascii="Calibri" w:hAnsi="Calibri" w:eastAsia="宋体" w:cs="Times New Roman"/>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其中：对联营企业和合营企业的投资收益（损失以“－”号填列）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以摊余成本计量的金融资产终止确认产生的收益（损失以“-”号填列）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净敞口套期</w:t>
            </w:r>
            <w:r>
              <w:rPr>
                <w:rFonts w:cs="Times New Roman" w:asciiTheme="minorEastAsia" w:hAnsiTheme="minorEastAsia"/>
                <w:sz w:val="18"/>
                <w:szCs w:val="18"/>
              </w:rPr>
              <w:t>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其他</w:t>
            </w:r>
            <w:r>
              <w:rPr>
                <w:rFonts w:cs="Times New Roman" w:asciiTheme="minorEastAsia" w:hAnsiTheme="minorEastAsia"/>
                <w:sz w:val="18"/>
                <w:szCs w:val="18"/>
              </w:rPr>
              <w:t>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公允价值变动收益（损失以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汇兑收益（损失以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其他业务收入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资产处置收益（损失以“-”号填列）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二、营业支出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税金及附加</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业务及管理费</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信用</w:t>
            </w:r>
            <w:r>
              <w:rPr>
                <w:rFonts w:cs="Times New Roman" w:asciiTheme="minorEastAsia" w:hAnsiTheme="minorEastAsia"/>
                <w:sz w:val="18"/>
                <w:szCs w:val="18"/>
              </w:rPr>
              <w:t>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其他资产减值损失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其他业务成本</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三、营业利润（亏损以</w:t>
            </w:r>
            <w:r>
              <w:rPr>
                <w:rFonts w:cs="Times New Roman" w:asciiTheme="minorEastAsia" w:hAnsiTheme="minorEastAsia"/>
                <w:b/>
                <w:sz w:val="18"/>
                <w:szCs w:val="18"/>
              </w:rPr>
              <w:t xml:space="preserve">“-” </w:t>
            </w:r>
            <w:r>
              <w:rPr>
                <w:rFonts w:hint="eastAsia" w:cs="Times New Roman" w:asciiTheme="minorEastAsia" w:hAnsi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加：营业外收入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减：营业外支出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四、利润总额（亏损总额以</w:t>
            </w:r>
            <w:r>
              <w:rPr>
                <w:rFonts w:cs="Times New Roman" w:asciiTheme="minorEastAsia" w:hAnsiTheme="minorEastAsia"/>
                <w:b/>
                <w:sz w:val="18"/>
                <w:szCs w:val="18"/>
              </w:rPr>
              <w:t>“-”</w:t>
            </w:r>
            <w:r>
              <w:rPr>
                <w:rFonts w:hint="eastAsia" w:cs="Times New Roman" w:asciiTheme="minorEastAsia" w:hAnsi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减：所得税费用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五、净利润（净亏损以</w:t>
            </w:r>
            <w:r>
              <w:rPr>
                <w:rFonts w:cs="Times New Roman" w:asciiTheme="minorEastAsia" w:hAnsiTheme="minorEastAsia"/>
                <w:b/>
                <w:sz w:val="18"/>
                <w:szCs w:val="18"/>
              </w:rPr>
              <w:t>“</w:t>
            </w:r>
            <w:r>
              <w:rPr>
                <w:rFonts w:hint="eastAsia" w:cs="Times New Roman" w:asciiTheme="minorEastAsia" w:hAnsiTheme="minorEastAsia"/>
                <w:b/>
                <w:sz w:val="18"/>
                <w:szCs w:val="18"/>
              </w:rPr>
              <w:t>－</w:t>
            </w:r>
            <w:r>
              <w:rPr>
                <w:rFonts w:cs="Times New Roman" w:asciiTheme="minorEastAsia" w:hAnsiTheme="minorEastAsia"/>
                <w:b/>
                <w:sz w:val="18"/>
                <w:szCs w:val="18"/>
              </w:rPr>
              <w:t>”</w:t>
            </w:r>
            <w:r>
              <w:rPr>
                <w:rFonts w:hint="eastAsia" w:cs="Times New Roman" w:asciiTheme="minorEastAsia" w:hAnsi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color w:val="000000" w:themeColor="text1"/>
                <w:sz w:val="18"/>
                <w:szCs w:val="18"/>
                <w14:textFill>
                  <w14:solidFill>
                    <w14:schemeClr w14:val="tx1"/>
                  </w14:solidFill>
                </w14:textFill>
              </w:rPr>
              <w:t>其中：被合并方在合并前实现的净利润</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（一）按经营持续性分类：</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1.持续经营净利润（净亏损以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2.终止经营净利润（净亏损以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（二）按所有权归属分类：</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Times New Roman" w:asciiTheme="minorEastAsia" w:hAnsiTheme="minorEastAsia"/>
                <w:sz w:val="18"/>
                <w:szCs w:val="18"/>
              </w:rPr>
            </w:pPr>
            <w:r>
              <w:rPr>
                <w:rFonts w:hint="eastAsia" w:cs="Times New Roman" w:asciiTheme="minorEastAsia" w:hAnsiTheme="minorEastAsia"/>
                <w:sz w:val="18"/>
                <w:szCs w:val="18"/>
              </w:rPr>
              <w:t>1.归属于母公司股东的净利润（净亏损以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Times New Roman" w:asciiTheme="minorEastAsia" w:hAnsiTheme="minorEastAsia"/>
                <w:sz w:val="18"/>
                <w:szCs w:val="18"/>
              </w:rPr>
            </w:pPr>
            <w:r>
              <w:rPr>
                <w:rFonts w:hint="eastAsia" w:cs="Times New Roman" w:asciiTheme="minorEastAsia" w:hAnsiTheme="minorEastAsia"/>
                <w:sz w:val="18"/>
                <w:szCs w:val="18"/>
              </w:rPr>
              <w:t>2. 少数股东损益（净亏损以</w:t>
            </w:r>
            <w:r>
              <w:rPr>
                <w:rFonts w:cs="Times New Roman" w:asciiTheme="minorEastAsia" w:hAnsiTheme="minorEastAsia"/>
                <w:sz w:val="18"/>
                <w:szCs w:val="18"/>
              </w:rPr>
              <w:t>“-”</w:t>
            </w:r>
            <w:r>
              <w:rPr>
                <w:rFonts w:hint="eastAsia" w:cs="Times New Roman" w:asciiTheme="minorEastAsia" w:hAnsi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六、其他综合收益的税后净额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Times New Roman" w:asciiTheme="minorEastAsia" w:hAnsiTheme="minorEastAsia"/>
                <w:sz w:val="18"/>
                <w:szCs w:val="18"/>
              </w:rPr>
            </w:pPr>
            <w:r>
              <w:rPr>
                <w:rFonts w:hint="eastAsia" w:cs="Times New Roman" w:asciiTheme="minorEastAsia" w:hAnsiTheme="minorEastAsia"/>
                <w:sz w:val="18"/>
                <w:szCs w:val="18"/>
              </w:rPr>
              <w:t>（一）归属母公司所有者的其他综合收益的税后净额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ind w:left="0" w:leftChars="0"/>
              <w:jc w:val="left"/>
              <w:rPr>
                <w:rFonts w:cs="Times New Roman" w:asciiTheme="minorEastAsia" w:hAnsiTheme="minorEastAsia"/>
                <w:sz w:val="18"/>
                <w:szCs w:val="18"/>
              </w:rPr>
            </w:pPr>
            <w:r>
              <w:rPr>
                <w:rFonts w:ascii="Calibri" w:hAnsi="Calibri" w:eastAsia="宋体" w:cs="Times New Roman"/>
                <w:sz w:val="18"/>
                <w:szCs w:val="18"/>
              </w:rPr>
              <w:t>1.</w:t>
            </w:r>
            <w:r>
              <w:rPr>
                <w:rFonts w:hint="eastAsia" w:ascii="Calibri" w:hAnsi="Calibri" w:eastAsia="宋体" w:cs="Times New Roman"/>
                <w:sz w:val="18"/>
                <w:szCs w:val="18"/>
              </w:rPr>
              <w:t>不能重分类进损益的其他综合收益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w:t>
            </w:r>
            <w:r>
              <w:rPr>
                <w:rFonts w:ascii="Calibri" w:hAnsi="Calibri" w:eastAsia="宋体" w:cs="Times New Roman"/>
                <w:sz w:val="18"/>
                <w:szCs w:val="18"/>
              </w:rPr>
              <w:t>1</w:t>
            </w:r>
            <w:r>
              <w:rPr>
                <w:rFonts w:hint="eastAsia" w:ascii="Calibri" w:hAnsi="Calibri" w:eastAsia="宋体" w:cs="Times New Roman"/>
                <w:sz w:val="18"/>
                <w:szCs w:val="18"/>
              </w:rPr>
              <w:t>）重新计量设定受益计划变动额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w:t>
            </w:r>
            <w:r>
              <w:rPr>
                <w:rFonts w:ascii="Calibri" w:hAnsi="Calibri" w:eastAsia="宋体" w:cs="Times New Roman"/>
                <w:sz w:val="18"/>
                <w:szCs w:val="18"/>
              </w:rPr>
              <w:t>2</w:t>
            </w:r>
            <w:r>
              <w:rPr>
                <w:rFonts w:hint="eastAsia" w:ascii="Calibri" w:hAnsi="Calibri" w:eastAsia="宋体" w:cs="Times New Roman"/>
                <w:sz w:val="18"/>
                <w:szCs w:val="18"/>
              </w:rPr>
              <w:t>）权益法不能转损益的其他综合收益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（3）其他权益工具投资公允价值变动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w:t>
            </w:r>
            <w:r>
              <w:rPr>
                <w:rFonts w:hint="eastAsia" w:cs="Times New Roman" w:asciiTheme="minorEastAsia" w:hAnsiTheme="minorEastAsia"/>
                <w:sz w:val="18"/>
                <w:szCs w:val="18"/>
              </w:rPr>
              <w:t>4）</w:t>
            </w:r>
            <w:r>
              <w:rPr>
                <w:rFonts w:hint="eastAsia" w:ascii="Calibri" w:hAnsi="Calibri" w:eastAsia="宋体" w:cs="Times New Roman"/>
                <w:sz w:val="18"/>
                <w:szCs w:val="18"/>
              </w:rPr>
              <w:t>企业自身信用风险公允价值变动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w:t>
            </w:r>
            <w:r>
              <w:rPr>
                <w:rFonts w:hint="eastAsia" w:cs="Times New Roman" w:asciiTheme="minorEastAsia" w:hAnsiTheme="minorEastAsia"/>
                <w:sz w:val="18"/>
                <w:szCs w:val="18"/>
              </w:rPr>
              <w:t>5）</w:t>
            </w:r>
            <w:r>
              <w:rPr>
                <w:rFonts w:hint="eastAsia" w:cs="Times New Roman" w:asciiTheme="minorEastAsia" w:hAnsiTheme="minorEastAsia"/>
                <w:color w:val="000000" w:themeColor="text1"/>
                <w:sz w:val="18"/>
                <w:szCs w:val="18"/>
                <w14:textFill>
                  <w14:solidFill>
                    <w14:schemeClr w14:val="tx1"/>
                  </w14:solidFill>
                </w14:textFill>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2.将重分类进损益的其他综合收益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1</w:t>
            </w:r>
            <w:r>
              <w:rPr>
                <w:rFonts w:hint="eastAsia" w:ascii="Calibri" w:hAnsi="Calibri" w:eastAsia="宋体" w:cs="Times New Roman"/>
                <w:sz w:val="18"/>
                <w:szCs w:val="18"/>
              </w:rPr>
              <w:t>）权益法下可转损益的其他综合收益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2</w:t>
            </w:r>
            <w:r>
              <w:rPr>
                <w:rFonts w:hint="eastAsia" w:ascii="Calibri" w:hAnsi="Calibri" w:eastAsia="宋体" w:cs="Times New Roman"/>
                <w:sz w:val="18"/>
                <w:szCs w:val="18"/>
              </w:rPr>
              <w:t>）其他债权投资公允价值变动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）金融资产重分类计入其他综合收益的金额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）其他债权投资信用损失准备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5</w:t>
            </w:r>
            <w:r>
              <w:rPr>
                <w:rFonts w:hint="eastAsia" w:ascii="Calibri" w:hAnsi="Calibri" w:eastAsia="宋体" w:cs="Times New Roman"/>
                <w:sz w:val="18"/>
                <w:szCs w:val="18"/>
              </w:rPr>
              <w:t>）现金流量套期储备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6</w:t>
            </w:r>
            <w:r>
              <w:rPr>
                <w:rFonts w:hint="eastAsia" w:ascii="Calibri" w:hAnsi="Calibri" w:eastAsia="宋体" w:cs="Times New Roman"/>
                <w:sz w:val="18"/>
                <w:szCs w:val="18"/>
              </w:rPr>
              <w:t>）外币财务报表折算差额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0CECE" w:themeFill="background2" w:themeFillShade="E6"/>
          </w:tcPr>
          <w:p>
            <w:pPr>
              <w:jc w:val="left"/>
              <w:rPr>
                <w:rFonts w:ascii="Calibri" w:hAnsi="Calibri"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7</w:t>
            </w:r>
            <w:r>
              <w:rPr>
                <w:rFonts w:hint="eastAsia" w:ascii="Calibri" w:hAnsi="Calibri" w:eastAsia="宋体" w:cs="Times New Roman"/>
                <w:sz w:val="18"/>
                <w:szCs w:val="18"/>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Times New Roman" w:asciiTheme="minorEastAsia" w:hAnsiTheme="minorEastAsia"/>
                <w:sz w:val="18"/>
                <w:szCs w:val="18"/>
              </w:rPr>
            </w:pPr>
            <w:r>
              <w:rPr>
                <w:rFonts w:hint="eastAsia" w:ascii="Calibri" w:hAnsi="Calibri" w:eastAsia="宋体" w:cs="Times New Roman"/>
                <w:sz w:val="18"/>
                <w:szCs w:val="18"/>
              </w:rPr>
              <w:t>（二）归属于少数股东的其他综合收益的税后净额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七、综合收益总额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（一）归属于母公司所有者的综合收益总额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（二）归属于少数股东的综合收益总额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八、每股收益：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（一）基本每股收益</w:t>
            </w:r>
            <w:r>
              <w:rPr>
                <w:rFonts w:cs="Times New Roman" w:asciiTheme="minorEastAsia" w:hAnsiTheme="minorEastAsia"/>
                <w:sz w:val="18"/>
                <w:szCs w:val="18"/>
              </w:rPr>
              <w:t>(</w:t>
            </w:r>
            <w:r>
              <w:rPr>
                <w:rFonts w:hint="eastAsia" w:cs="Times New Roman" w:asciiTheme="minorEastAsia" w:hAnsiTheme="minorEastAsia"/>
                <w:sz w:val="18"/>
                <w:szCs w:val="18"/>
              </w:rPr>
              <w:t>元</w:t>
            </w:r>
            <w:r>
              <w:rPr>
                <w:rFonts w:cs="Times New Roman" w:asciiTheme="minorEastAsia" w:hAnsiTheme="minorEastAsia"/>
                <w:sz w:val="18"/>
                <w:szCs w:val="18"/>
              </w:rPr>
              <w:t>/</w:t>
            </w:r>
            <w:r>
              <w:rPr>
                <w:rFonts w:hint="eastAsia" w:cs="Times New Roman" w:asciiTheme="minorEastAsia" w:hAnsiTheme="minorEastAsia"/>
                <w:sz w:val="18"/>
                <w:szCs w:val="18"/>
              </w:rPr>
              <w:t>股</w:t>
            </w:r>
            <w:r>
              <w:rPr>
                <w:rFonts w:cs="Times New Roman" w:asciiTheme="minorEastAsia" w:hAnsiTheme="minorEastAsia"/>
                <w:sz w:val="18"/>
                <w:szCs w:val="18"/>
              </w:rPr>
              <w:t>)</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（二）稀释每股收益</w:t>
            </w:r>
            <w:r>
              <w:rPr>
                <w:rFonts w:cs="Times New Roman" w:asciiTheme="minorEastAsia" w:hAnsiTheme="minorEastAsia"/>
                <w:sz w:val="18"/>
                <w:szCs w:val="18"/>
              </w:rPr>
              <w:t>(</w:t>
            </w:r>
            <w:r>
              <w:rPr>
                <w:rFonts w:hint="eastAsia" w:cs="Times New Roman" w:asciiTheme="minorEastAsia" w:hAnsiTheme="minorEastAsia"/>
                <w:sz w:val="18"/>
                <w:szCs w:val="18"/>
              </w:rPr>
              <w:t>元</w:t>
            </w:r>
            <w:r>
              <w:rPr>
                <w:rFonts w:cs="Times New Roman" w:asciiTheme="minorEastAsia" w:hAnsiTheme="minorEastAsia"/>
                <w:sz w:val="18"/>
                <w:szCs w:val="18"/>
              </w:rPr>
              <w:t>/</w:t>
            </w:r>
            <w:r>
              <w:rPr>
                <w:rFonts w:hint="eastAsia" w:cs="Times New Roman" w:asciiTheme="minorEastAsia" w:hAnsiTheme="minorEastAsia"/>
                <w:sz w:val="18"/>
                <w:szCs w:val="18"/>
              </w:rPr>
              <w:t>股</w:t>
            </w:r>
            <w:r>
              <w:rPr>
                <w:rFonts w:cs="Times New Roman" w:asciiTheme="minorEastAsia" w:hAnsiTheme="minorEastAsia"/>
                <w:sz w:val="18"/>
                <w:szCs w:val="18"/>
              </w:rPr>
              <w:t>)</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bl>
    <w:p>
      <w:pPr>
        <w:widowControl/>
        <w:jc w:val="left"/>
        <w:rPr>
          <w:rFonts w:ascii="宋体" w:hAnsi="宋体" w:eastAsia="宋体" w:cs="宋体"/>
          <w:kern w:val="0"/>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0" w:name="_Toc2570"/>
      <w:bookmarkStart w:id="81" w:name="_Toc16853"/>
      <w:r>
        <w:rPr>
          <w:rFonts w:hint="eastAsia" w:ascii="Times New Roman" w:hAnsi="Times New Roman" w:eastAsia="宋体" w:cs="Times New Roman"/>
          <w:b/>
          <w:bCs/>
          <w:szCs w:val="32"/>
          <w:lang w:val="zh-CN"/>
        </w:rPr>
        <w:t>（四）母公司利润表</w:t>
      </w:r>
      <w:bookmarkEnd w:id="80"/>
      <w:bookmarkEnd w:id="81"/>
    </w:p>
    <w:p>
      <w:pPr>
        <w:ind w:left="672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19"/>
        <w:gridCol w:w="1455"/>
        <w:gridCol w:w="1895"/>
        <w:gridCol w:w="204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附注</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一、营业收入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利息净收入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其中</w:t>
            </w:r>
            <w:r>
              <w:rPr>
                <w:rFonts w:ascii="Calibri" w:hAnsi="Calibri" w:eastAsia="宋体" w:cs="Times New Roman"/>
                <w:sz w:val="18"/>
                <w:szCs w:val="18"/>
              </w:rPr>
              <w:t>：</w:t>
            </w:r>
            <w:r>
              <w:rPr>
                <w:rFonts w:hint="eastAsia" w:ascii="Calibri" w:hAnsi="Calibri" w:eastAsia="宋体" w:cs="Times New Roman"/>
                <w:sz w:val="18"/>
                <w:szCs w:val="18"/>
              </w:rPr>
              <w:t>利息</w:t>
            </w:r>
            <w:r>
              <w:rPr>
                <w:rFonts w:ascii="Calibri" w:hAnsi="Calibri" w:eastAsia="宋体" w:cs="Times New Roman"/>
                <w:sz w:val="18"/>
                <w:szCs w:val="18"/>
              </w:rPr>
              <w:t>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tcPr>
          <w:p>
            <w:pPr>
              <w:ind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利息</w:t>
            </w:r>
            <w:r>
              <w:rPr>
                <w:rFonts w:ascii="Calibri" w:hAnsi="Calibri" w:eastAsia="宋体" w:cs="Times New Roman"/>
                <w:sz w:val="18"/>
                <w:szCs w:val="18"/>
              </w:rPr>
              <w:t>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手续费及佣金净收入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其中：经纪业务手续费净收入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Times New Roman" w:asciiTheme="minorEastAsia" w:hAnsiTheme="minorEastAsia"/>
                <w:sz w:val="18"/>
                <w:szCs w:val="18"/>
              </w:rPr>
            </w:pPr>
            <w:r>
              <w:rPr>
                <w:rFonts w:hint="eastAsia" w:cs="Times New Roman" w:asciiTheme="minorEastAsia" w:hAnsiTheme="minorEastAsia"/>
                <w:sz w:val="18"/>
                <w:szCs w:val="18"/>
              </w:rPr>
              <w:t>投资银行业务手续费净收入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540" w:firstLineChars="300"/>
              <w:jc w:val="left"/>
              <w:rPr>
                <w:rFonts w:cs="Times New Roman" w:asciiTheme="minorEastAsia" w:hAnsiTheme="minorEastAsia"/>
                <w:sz w:val="18"/>
                <w:szCs w:val="18"/>
              </w:rPr>
            </w:pPr>
            <w:r>
              <w:rPr>
                <w:rFonts w:hint="eastAsia" w:cs="Times New Roman" w:asciiTheme="minorEastAsia" w:hAnsiTheme="minorEastAsia"/>
                <w:sz w:val="18"/>
                <w:szCs w:val="18"/>
              </w:rPr>
              <w:t>资产管理业务手续费净收入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投资收益（损失以“－”号填列）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其中：对联营企业和合营企业的投资收益（损失以“－”号填列）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tcPr>
          <w:p>
            <w:pPr>
              <w:ind w:left="0" w:firstLine="540" w:firstLineChars="300"/>
              <w:jc w:val="left"/>
              <w:rPr>
                <w:rFonts w:cs="Times New Roman" w:asciiTheme="minorEastAsia" w:hAnsiTheme="minorEastAsia"/>
                <w:sz w:val="18"/>
                <w:szCs w:val="18"/>
              </w:rPr>
            </w:pPr>
            <w:r>
              <w:rPr>
                <w:rFonts w:hint="eastAsia" w:ascii="Calibri" w:hAnsi="Calibri" w:eastAsia="宋体" w:cs="Times New Roman"/>
                <w:sz w:val="18"/>
                <w:szCs w:val="18"/>
              </w:rPr>
              <w:t>以摊余成本计量的金融资产终止确认产生的收益（损失以“-”号填列）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净</w:t>
            </w:r>
            <w:r>
              <w:rPr>
                <w:rFonts w:ascii="Calibri" w:hAnsi="Calibri" w:eastAsia="宋体" w:cs="Times New Roman"/>
                <w:sz w:val="18"/>
                <w:szCs w:val="18"/>
              </w:rPr>
              <w:t>敞口套期收益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tcPr>
          <w:p>
            <w:pPr>
              <w:jc w:val="left"/>
              <w:rPr>
                <w:rFonts w:cs="Times New Roman" w:asciiTheme="minorEastAsia" w:hAnsiTheme="minorEastAsia"/>
                <w:sz w:val="18"/>
                <w:szCs w:val="18"/>
              </w:rPr>
            </w:pPr>
            <w:r>
              <w:rPr>
                <w:rFonts w:hint="eastAsia" w:ascii="Calibri" w:hAnsi="Calibri" w:eastAsia="宋体" w:cs="Times New Roman"/>
                <w:sz w:val="18"/>
                <w:szCs w:val="18"/>
              </w:rPr>
              <w:t>其他收益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公允价值变动收益（损失以“－”号填列）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汇兑收益（损失以“－”号填列）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其他业务收入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资产处置收益（损失以“-”号填列）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二、营业支出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税金及附加</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业务及管理费</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信用</w:t>
            </w:r>
            <w:r>
              <w:rPr>
                <w:rFonts w:cs="Times New Roman" w:asciiTheme="minorEastAsia" w:hAnsiTheme="minorEastAsia"/>
                <w:sz w:val="18"/>
                <w:szCs w:val="18"/>
              </w:rPr>
              <w:t>减值损失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其他资产减值损失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其他业务成本</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三、营业利润（亏损以“－”号填列）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加：营业外收入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减：营业外支出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四、利润总额（亏损总额以“－”号填列）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减：所得税费用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b/>
                <w:sz w:val="18"/>
                <w:szCs w:val="18"/>
              </w:rPr>
              <w:t>五、净利润（净亏损以“－”号填列</w:t>
            </w:r>
            <w:r>
              <w:rPr>
                <w:rFonts w:hint="eastAsia" w:cs="Times New Roman" w:asciiTheme="minorEastAsia" w:hAnsiTheme="minorEastAsia"/>
                <w:sz w:val="18"/>
                <w:szCs w:val="18"/>
              </w:rPr>
              <w:t>）</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（一）持续</w:t>
            </w:r>
            <w:r>
              <w:rPr>
                <w:rFonts w:cs="Times New Roman" w:asciiTheme="minorEastAsia" w:hAnsiTheme="minorEastAsia"/>
                <w:sz w:val="18"/>
                <w:szCs w:val="18"/>
              </w:rPr>
              <w:t>经营净利润</w:t>
            </w:r>
            <w:r>
              <w:rPr>
                <w:rFonts w:hint="eastAsia" w:cs="Times New Roman" w:asciiTheme="minorEastAsia" w:hAnsi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（二）终止经营</w:t>
            </w:r>
            <w:r>
              <w:rPr>
                <w:rFonts w:cs="Times New Roman" w:asciiTheme="minorEastAsia" w:hAnsiTheme="minorEastAsia"/>
                <w:sz w:val="18"/>
                <w:szCs w:val="18"/>
              </w:rPr>
              <w:t>净利润</w:t>
            </w:r>
            <w:r>
              <w:rPr>
                <w:rFonts w:hint="eastAsia" w:cs="Times New Roman" w:asciiTheme="minorEastAsia" w:hAnsi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六、其他综合收益的税后净额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（一）不能重分类进损益的其他综合收益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cs="Times New Roman" w:asciiTheme="minorEastAsia" w:hAnsiTheme="minorEastAsia"/>
                <w:sz w:val="18"/>
                <w:szCs w:val="18"/>
              </w:rPr>
              <w:t>1.</w:t>
            </w:r>
            <w:r>
              <w:rPr>
                <w:rFonts w:hint="eastAsia" w:cs="Times New Roman" w:asciiTheme="minorEastAsia" w:hAnsiTheme="minorEastAsia"/>
                <w:sz w:val="18"/>
                <w:szCs w:val="18"/>
              </w:rPr>
              <w:t xml:space="preserve"> 重新计量设定受益计划变动额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cs="Times New Roman" w:asciiTheme="minorEastAsia" w:hAnsiTheme="minorEastAsia"/>
                <w:sz w:val="18"/>
                <w:szCs w:val="18"/>
              </w:rPr>
              <w:t>2.</w:t>
            </w:r>
            <w:r>
              <w:rPr>
                <w:rFonts w:hint="eastAsia" w:cs="Times New Roman" w:asciiTheme="minorEastAsia" w:hAnsiTheme="minorEastAsia"/>
                <w:sz w:val="18"/>
                <w:szCs w:val="18"/>
              </w:rPr>
              <w:t xml:space="preserve"> 权益法下不能转损益的其他综合收益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3.</w:t>
            </w:r>
            <w:r>
              <w:rPr>
                <w:rFonts w:hint="eastAsia" w:ascii="Calibri" w:hAnsi="Calibri" w:eastAsia="宋体" w:cs="Times New Roman"/>
                <w:sz w:val="18"/>
                <w:szCs w:val="18"/>
              </w:rPr>
              <w:t xml:space="preserve"> 其他权益工具投资公允价值变动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4.</w:t>
            </w:r>
            <w:r>
              <w:rPr>
                <w:rFonts w:hint="eastAsia" w:ascii="Calibri" w:hAnsi="Calibri" w:eastAsia="宋体" w:cs="Times New Roman"/>
                <w:sz w:val="18"/>
                <w:szCs w:val="18"/>
              </w:rPr>
              <w:t xml:space="preserve"> 企业自身信用风险公允价值变动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hint="eastAsia" w:cs="Times New Roman" w:asciiTheme="minorEastAsia" w:hAnsiTheme="minorEastAsia"/>
                <w:sz w:val="18"/>
                <w:szCs w:val="18"/>
              </w:rPr>
              <w:t>5.其他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hint="eastAsia" w:cs="Times New Roman" w:asciiTheme="minorEastAsia" w:hAnsiTheme="minorEastAsia"/>
                <w:sz w:val="18"/>
                <w:szCs w:val="18"/>
              </w:rPr>
              <w:t>（二）将重分类进损益的其他综合收益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cs="Times New Roman" w:asciiTheme="minorEastAsia" w:hAnsiTheme="minorEastAsia"/>
                <w:sz w:val="18"/>
                <w:szCs w:val="18"/>
              </w:rPr>
              <w:t>1.</w:t>
            </w:r>
            <w:r>
              <w:rPr>
                <w:rFonts w:hint="eastAsia" w:cs="Times New Roman" w:asciiTheme="minorEastAsia" w:hAnsiTheme="minorEastAsia"/>
                <w:sz w:val="18"/>
                <w:szCs w:val="18"/>
              </w:rPr>
              <w:t>权益法下可转损益的其他综合收益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2</w:t>
            </w:r>
            <w:r>
              <w:rPr>
                <w:rFonts w:hint="eastAsia" w:cs="Times New Roman" w:asciiTheme="minorEastAsia" w:hAnsiTheme="minorEastAsia"/>
                <w:sz w:val="18"/>
                <w:szCs w:val="18"/>
              </w:rPr>
              <w:t>.其他债权投资公允价值变动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3</w:t>
            </w:r>
            <w:r>
              <w:rPr>
                <w:rFonts w:hint="eastAsia" w:cs="Times New Roman" w:asciiTheme="minorEastAsia" w:hAnsiTheme="minorEastAsia"/>
                <w:sz w:val="18"/>
                <w:szCs w:val="18"/>
              </w:rPr>
              <w:t>.金融资产重分类计入其他综合收益的金额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4</w:t>
            </w:r>
            <w:r>
              <w:rPr>
                <w:rFonts w:hint="eastAsia" w:cs="Times New Roman" w:asciiTheme="minorEastAsia" w:hAnsiTheme="minorEastAsia"/>
                <w:sz w:val="18"/>
                <w:szCs w:val="18"/>
              </w:rPr>
              <w:t>.其他债权投资信用损失准备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cs="Times New Roman" w:asciiTheme="minorEastAsia" w:hAnsiTheme="minorEastAsia"/>
                <w:sz w:val="18"/>
                <w:szCs w:val="18"/>
              </w:rPr>
              <w:t>5.现金流量套期</w:t>
            </w:r>
            <w:r>
              <w:rPr>
                <w:rFonts w:hint="eastAsia" w:cs="Times New Roman" w:asciiTheme="minorEastAsia" w:hAnsiTheme="minorEastAsia"/>
                <w:sz w:val="18"/>
                <w:szCs w:val="18"/>
              </w:rPr>
              <w:t>储备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sz w:val="18"/>
                <w:szCs w:val="18"/>
              </w:rPr>
            </w:pPr>
            <w:r>
              <w:rPr>
                <w:rFonts w:cs="Times New Roman" w:asciiTheme="minorEastAsia" w:hAnsiTheme="minorEastAsia"/>
                <w:sz w:val="18"/>
                <w:szCs w:val="18"/>
              </w:rPr>
              <w:t>6.外币财务报表折算差额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7.其他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七、综合收益总额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sz w:val="18"/>
                <w:szCs w:val="18"/>
              </w:rPr>
            </w:pPr>
            <w:r>
              <w:rPr>
                <w:rFonts w:hint="eastAsia" w:cs="Times New Roman" w:asciiTheme="minorEastAsia" w:hAnsiTheme="minorEastAsia"/>
                <w:b/>
                <w:sz w:val="18"/>
                <w:szCs w:val="18"/>
              </w:rPr>
              <w:t>八</w:t>
            </w:r>
            <w:r>
              <w:rPr>
                <w:rFonts w:cs="Times New Roman" w:asciiTheme="minorEastAsia" w:hAnsiTheme="minorEastAsia"/>
                <w:b/>
                <w:sz w:val="18"/>
                <w:szCs w:val="18"/>
              </w:rPr>
              <w:t>、每股收益：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（一）基本每股收益(元/股)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sz w:val="18"/>
                <w:szCs w:val="18"/>
              </w:rPr>
            </w:pPr>
            <w:r>
              <w:rPr>
                <w:rFonts w:cs="Times New Roman" w:asciiTheme="minorEastAsia" w:hAnsiTheme="minorEastAsia"/>
                <w:sz w:val="18"/>
                <w:szCs w:val="18"/>
              </w:rPr>
              <w:t>（二）稀释每股收益(元/股)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sz w:val="18"/>
                <w:szCs w:val="18"/>
              </w:rPr>
            </w:pPr>
          </w:p>
        </w:tc>
      </w:tr>
    </w:tbl>
    <w:p>
      <w:pPr>
        <w:rPr>
          <w:rFonts w:ascii="宋体" w:hAnsi="宋体" w:eastAsia="宋体" w:cs="Times New Roman"/>
          <w:sz w:val="18"/>
          <w:szCs w:val="18"/>
        </w:rPr>
      </w:pPr>
    </w:p>
    <w:p>
      <w:pPr>
        <w:keepNext/>
        <w:keepLines/>
        <w:spacing w:before="100" w:after="100"/>
        <w:outlineLvl w:val="2"/>
        <w:rPr>
          <w:rFonts w:ascii="Times New Roman" w:hAnsi="Times New Roman" w:eastAsia="宋体" w:cs="Times New Roman"/>
          <w:b/>
          <w:bCs/>
          <w:szCs w:val="32"/>
          <w:lang w:val="zh-CN"/>
        </w:rPr>
      </w:pPr>
      <w:bookmarkStart w:id="82" w:name="_Toc2251"/>
      <w:bookmarkStart w:id="83" w:name="_Toc17421"/>
      <w:r>
        <w:rPr>
          <w:rFonts w:hint="eastAsia" w:ascii="Times New Roman" w:hAnsi="Times New Roman" w:eastAsia="宋体" w:cs="Times New Roman"/>
          <w:b/>
          <w:bCs/>
          <w:szCs w:val="32"/>
          <w:lang w:val="zh-CN"/>
        </w:rPr>
        <w:t>（五）合并现金流量表</w:t>
      </w:r>
      <w:bookmarkEnd w:id="82"/>
      <w:bookmarkEnd w:id="83"/>
    </w:p>
    <w:p>
      <w:pPr>
        <w:ind w:left="7140"/>
        <w:jc w:val="right"/>
        <w:rPr>
          <w:rFonts w:ascii="Calibri" w:hAnsi="Calibri" w:eastAsia="宋体" w:cs="Times New Roman"/>
        </w:rPr>
      </w:pPr>
      <w:r>
        <w:rPr>
          <w:rFonts w:hint="eastAsia" w:ascii="Calibri" w:hAnsi="Calibri" w:eastAsia="宋体" w:cs="Times New Roman"/>
        </w:rPr>
        <w:t>单位：元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90"/>
        <w:gridCol w:w="1797"/>
        <w:gridCol w:w="1723"/>
        <w:gridCol w:w="17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color w:val="000000" w:themeColor="text1"/>
                <w:sz w:val="18"/>
                <w:szCs w:val="21"/>
                <w14:textFill>
                  <w14:solidFill>
                    <w14:schemeClr w14:val="tx1"/>
                  </w14:solidFill>
                </w14:textFill>
              </w:rPr>
            </w:pPr>
            <w:r>
              <w:rPr>
                <w:rFonts w:hint="eastAsia" w:ascii="宋体" w:hAnsi="宋体" w:eastAsia="宋体" w:cs="Times New Roman"/>
                <w:b/>
                <w:color w:val="000000" w:themeColor="text1"/>
                <w:sz w:val="18"/>
                <w:szCs w:val="21"/>
                <w14:textFill>
                  <w14:solidFill>
                    <w14:schemeClr w14:val="tx1"/>
                  </w14:solidFill>
                </w14:textFill>
              </w:rPr>
              <w:t>项目</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color w:val="000000" w:themeColor="text1"/>
                <w:sz w:val="18"/>
                <w:szCs w:val="21"/>
                <w14:textFill>
                  <w14:solidFill>
                    <w14:schemeClr w14:val="tx1"/>
                  </w14:solidFill>
                </w14:textFill>
              </w:rPr>
            </w:pPr>
            <w:r>
              <w:rPr>
                <w:rFonts w:hint="eastAsia" w:ascii="宋体" w:hAnsi="宋体" w:eastAsia="宋体" w:cs="Times New Roman"/>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一、经营活动产生的现金流量：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为交易目的而持有的金融资产净减少额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销售商品、提供劳务收到的现金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收取利息、手续费及佣金的现金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拆入资金净增加额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拆出资金</w:t>
            </w:r>
            <w:r>
              <w:rPr>
                <w:rFonts w:cs="Times New Roman" w:asciiTheme="minorEastAsia" w:hAnsiTheme="minorEastAsia"/>
                <w:sz w:val="18"/>
                <w:szCs w:val="21"/>
              </w:rPr>
              <w:t>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回购业务资金净增加额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返售业务资金净减少额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融出资金净减少额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代理买卖证券收到的现金净额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收到其他与经营活动有关的现金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kern w:val="0"/>
                <w:sz w:val="18"/>
                <w:szCs w:val="21"/>
                <w:lang w:val="en-AU"/>
                <w14:textFill>
                  <w14:solidFill>
                    <w14:schemeClr w14:val="tx1"/>
                  </w14:solidFill>
                </w14:textFill>
              </w:rPr>
            </w:pPr>
            <w:r>
              <w:rPr>
                <w:rFonts w:hint="eastAsia" w:cs="Times New Roman" w:asciiTheme="minorEastAsia" w:hAnsiTheme="minorEastAsia"/>
                <w:sz w:val="18"/>
                <w:szCs w:val="21"/>
              </w:rPr>
              <w:t>为交易目的而持有的金融资产净增加额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拆入资金净</w:t>
            </w:r>
            <w:r>
              <w:rPr>
                <w:rFonts w:hint="eastAsia" w:cs="Times New Roman" w:asciiTheme="minorEastAsia" w:hAnsiTheme="minorEastAsia"/>
                <w:sz w:val="18"/>
                <w:szCs w:val="21"/>
              </w:rPr>
              <w:t>减少</w:t>
            </w:r>
            <w:r>
              <w:rPr>
                <w:rFonts w:cs="Times New Roman" w:asciiTheme="minorEastAsia" w:hAnsi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拆出</w:t>
            </w:r>
            <w:r>
              <w:rPr>
                <w:rFonts w:cs="Times New Roman" w:asciiTheme="minorEastAsia" w:hAnsiTheme="minorEastAsia"/>
                <w:sz w:val="18"/>
                <w:szCs w:val="21"/>
              </w:rPr>
              <w:t>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回购业务资金净</w:t>
            </w:r>
            <w:r>
              <w:rPr>
                <w:rFonts w:hint="eastAsia" w:cs="Times New Roman" w:asciiTheme="minorEastAsia" w:hAnsiTheme="minorEastAsia"/>
                <w:sz w:val="18"/>
                <w:szCs w:val="21"/>
              </w:rPr>
              <w:t>减少</w:t>
            </w:r>
            <w:r>
              <w:rPr>
                <w:rFonts w:cs="Times New Roman" w:asciiTheme="minorEastAsia" w:hAnsi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返售业务资金净增加额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融出资金净增加额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代理买卖证券支付的现金净额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支付利息、手续费及佣金的现金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支付给职工以及为职工支付的现金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支付的各项税费</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21"/>
              </w:rPr>
              <w:t>支付其他与经营活动有关的现金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二、投资活动产生的现金流量：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收回投资收到的现金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取得投资收益收到的现金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0" w:left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处置</w:t>
            </w:r>
            <w:r>
              <w:rPr>
                <w:rFonts w:hint="eastAsia" w:cs="Times New Roman" w:asciiTheme="minorEastAsia" w:hAnsiTheme="minorEastAsia"/>
                <w:color w:val="000000" w:themeColor="text1"/>
                <w:sz w:val="18"/>
                <w:szCs w:val="21"/>
                <w14:textFill>
                  <w14:solidFill>
                    <w14:schemeClr w14:val="tx1"/>
                  </w14:solidFill>
                </w14:textFill>
              </w:rPr>
              <w:t>固定资产</w:t>
            </w:r>
            <w:r>
              <w:rPr>
                <w:rFonts w:cs="Times New Roman" w:asciiTheme="minorEastAsia" w:hAnsiTheme="minorEastAsia"/>
                <w:color w:val="000000" w:themeColor="text1"/>
                <w:sz w:val="18"/>
                <w:szCs w:val="21"/>
                <w14:textFill>
                  <w14:solidFill>
                    <w14:schemeClr w14:val="tx1"/>
                  </w14:solidFill>
                </w14:textFill>
              </w:rPr>
              <w:t>、无形资产和其他长期资产收</w:t>
            </w:r>
            <w:r>
              <w:rPr>
                <w:rFonts w:hint="eastAsia" w:cs="Times New Roman" w:asciiTheme="minorEastAsia" w:hAnsiTheme="minorEastAsia"/>
                <w:color w:val="000000" w:themeColor="text1"/>
                <w:sz w:val="18"/>
                <w:szCs w:val="21"/>
                <w14:textFill>
                  <w14:solidFill>
                    <w14:schemeClr w14:val="tx1"/>
                  </w14:solidFill>
                </w14:textFill>
              </w:rPr>
              <w:t>回</w:t>
            </w:r>
            <w:r>
              <w:rPr>
                <w:rFonts w:cs="Times New Roman" w:asciiTheme="minorEastAsia" w:hAnsi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color w:val="000000" w:themeColor="text1"/>
                <w:sz w:val="18"/>
                <w:szCs w:val="21"/>
                <w14:textFill>
                  <w14:solidFill>
                    <w14:schemeClr w14:val="tx1"/>
                  </w14:solidFill>
                </w14:textFill>
              </w:rPr>
              <w:t>处置</w:t>
            </w:r>
            <w:r>
              <w:rPr>
                <w:rFonts w:cs="Times New Roman" w:asciiTheme="minorEastAsia" w:hAnsiTheme="minorEastAsia"/>
                <w:color w:val="000000" w:themeColor="text1"/>
                <w:sz w:val="18"/>
                <w:szCs w:val="21"/>
                <w14:textFill>
                  <w14:solidFill>
                    <w14:schemeClr w14:val="tx1"/>
                  </w14:solidFill>
                </w14:textFill>
              </w:rPr>
              <w:t>子公司及其他营业单位</w:t>
            </w:r>
            <w:r>
              <w:rPr>
                <w:rFonts w:hint="eastAsia" w:cs="Times New Roman" w:asciiTheme="minorEastAsia" w:hAnsiTheme="minorEastAsia"/>
                <w:color w:val="000000" w:themeColor="text1"/>
                <w:sz w:val="18"/>
                <w:szCs w:val="21"/>
                <w14:textFill>
                  <w14:solidFill>
                    <w14:schemeClr w14:val="tx1"/>
                  </w14:solidFill>
                </w14:textFill>
              </w:rPr>
              <w:t>收到</w:t>
            </w:r>
            <w:r>
              <w:rPr>
                <w:rFonts w:cs="Times New Roman" w:asciiTheme="minorEastAsia" w:hAnsi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收到其他与投资活动有关的现金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投资支付的现金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购建固定资产、无形资产和其他长期资产支付的现金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取得子公司及其他营业单位支付的现金净额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支付其他与投资活动有关的现金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三、筹资活动产生的现金流量：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吸收投资收到的现金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其中：子公司吸收少数股东投资收到的现金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取得借款收到的现金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发行债券收到的现金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收到其他与筹资活动有关的现金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偿还债务支付的现金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分配股利、利润或偿付利息支付的现金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其中：子公司支付给少数股东的股利、利润</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支付其他与筹资活动有关的现金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四、汇率变动对现金及现金等价物的影响</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五、现金及现金等价物净增加额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加：期初现金及现金等价物余额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六、期末现金及现金等价物余额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bl>
    <w:p>
      <w:pPr>
        <w:ind w:left="7140"/>
        <w:jc w:val="right"/>
        <w:rPr>
          <w:rFonts w:ascii="Calibri" w:hAnsi="Calibri" w:eastAsia="宋体" w:cs="Times New Roman"/>
        </w:rPr>
      </w:pPr>
    </w:p>
    <w:p>
      <w:pPr>
        <w:ind w:left="7140"/>
        <w:jc w:val="right"/>
        <w:rPr>
          <w:rFonts w:ascii="Calibri" w:hAnsi="Calibri" w:eastAsia="宋体" w:cs="Times New Roman"/>
        </w:rPr>
      </w:pPr>
    </w:p>
    <w:p>
      <w:pPr>
        <w:widowControl/>
        <w:ind w:right="-382"/>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4" w:name="_Toc2143"/>
      <w:bookmarkStart w:id="85" w:name="_Toc16771"/>
      <w:r>
        <w:rPr>
          <w:rFonts w:hint="eastAsia" w:ascii="Times New Roman" w:hAnsi="Times New Roman" w:eastAsia="宋体" w:cs="Times New Roman"/>
          <w:b/>
          <w:bCs/>
          <w:szCs w:val="32"/>
          <w:lang w:val="zh-CN"/>
        </w:rPr>
        <w:t>（六）母公司现金流量表</w:t>
      </w:r>
      <w:bookmarkEnd w:id="84"/>
      <w:bookmarkEnd w:id="85"/>
    </w:p>
    <w:p>
      <w:pPr>
        <w:ind w:left="6720" w:firstLine="420"/>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5844" w:type="pct"/>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91"/>
        <w:gridCol w:w="1796"/>
        <w:gridCol w:w="1723"/>
        <w:gridCol w:w="17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color w:val="000000" w:themeColor="text1"/>
                <w:sz w:val="18"/>
                <w:szCs w:val="21"/>
                <w14:textFill>
                  <w14:solidFill>
                    <w14:schemeClr w14:val="tx1"/>
                  </w14:solidFill>
                </w14:textFill>
              </w:rPr>
            </w:pPr>
            <w:r>
              <w:rPr>
                <w:rFonts w:hint="eastAsia" w:ascii="宋体" w:hAnsi="宋体" w:eastAsia="宋体" w:cs="Times New Roman"/>
                <w:b/>
                <w:color w:val="000000" w:themeColor="text1"/>
                <w:sz w:val="18"/>
                <w:szCs w:val="21"/>
                <w14:textFill>
                  <w14:solidFill>
                    <w14:schemeClr w14:val="tx1"/>
                  </w14:solidFill>
                </w14:textFill>
              </w:rPr>
              <w:t>项目</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eastAsia="宋体" w:cs="Times New Roman"/>
                <w:b/>
                <w:color w:val="000000" w:themeColor="text1"/>
                <w:sz w:val="18"/>
                <w:szCs w:val="21"/>
                <w14:textFill>
                  <w14:solidFill>
                    <w14:schemeClr w14:val="tx1"/>
                  </w14:solidFill>
                </w14:textFill>
              </w:rPr>
            </w:pPr>
            <w:r>
              <w:rPr>
                <w:rFonts w:hint="eastAsia" w:ascii="宋体" w:hAnsi="宋体" w:eastAsia="宋体" w:cs="Times New Roman"/>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一、经营活动产生的现金流量：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kern w:val="0"/>
                <w:sz w:val="18"/>
                <w:szCs w:val="21"/>
                <w:lang w:val="en-AU"/>
                <w14:textFill>
                  <w14:solidFill>
                    <w14:schemeClr w14:val="tx1"/>
                  </w14:solidFill>
                </w14:textFill>
              </w:rPr>
            </w:pPr>
            <w:r>
              <w:rPr>
                <w:rFonts w:hint="eastAsia" w:cs="Times New Roman" w:asciiTheme="minorEastAsia" w:hAnsiTheme="minorEastAsia"/>
                <w:sz w:val="18"/>
                <w:szCs w:val="21"/>
              </w:rPr>
              <w:t>为交易</w:t>
            </w:r>
            <w:r>
              <w:rPr>
                <w:rFonts w:hint="eastAsia" w:cs="Times New Roman" w:asciiTheme="minorEastAsia" w:hAnsiTheme="minorEastAsia"/>
                <w:sz w:val="18"/>
                <w:szCs w:val="18"/>
              </w:rPr>
              <w:t>目的</w:t>
            </w:r>
            <w:r>
              <w:rPr>
                <w:rFonts w:hint="eastAsia" w:cs="Times New Roman" w:asciiTheme="minorEastAsia" w:hAnsiTheme="minorEastAsia"/>
                <w:sz w:val="18"/>
                <w:szCs w:val="21"/>
              </w:rPr>
              <w:t>而持有的金融资产净减少额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销售</w:t>
            </w:r>
            <w:r>
              <w:rPr>
                <w:rFonts w:hint="eastAsia" w:cs="Times New Roman" w:asciiTheme="minorEastAsia" w:hAnsiTheme="minorEastAsia"/>
                <w:sz w:val="18"/>
                <w:szCs w:val="18"/>
              </w:rPr>
              <w:t>商品</w:t>
            </w:r>
            <w:r>
              <w:rPr>
                <w:rFonts w:hint="eastAsia" w:cs="Times New Roman" w:asciiTheme="minorEastAsia" w:hAnsiTheme="minorEastAsia"/>
                <w:sz w:val="18"/>
                <w:szCs w:val="21"/>
              </w:rPr>
              <w:t>、提供劳务收到的现金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收取利息、手续费及佣金的现金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拆入资金净增加额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拆出资金</w:t>
            </w:r>
            <w:r>
              <w:rPr>
                <w:rFonts w:cs="Times New Roman" w:asciiTheme="minorEastAsia" w:hAnsiTheme="minorEastAsia"/>
                <w:sz w:val="18"/>
                <w:szCs w:val="21"/>
              </w:rPr>
              <w:t>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回购业务资金净增加额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返售业务资金净减少额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融出资金净减少额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代理买卖证券收到的现金净额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收到其他与经营活动有关的现金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kern w:val="0"/>
                <w:sz w:val="18"/>
                <w:szCs w:val="21"/>
                <w:lang w:val="en-AU"/>
                <w14:textFill>
                  <w14:solidFill>
                    <w14:schemeClr w14:val="tx1"/>
                  </w14:solidFill>
                </w14:textFill>
              </w:rPr>
            </w:pPr>
            <w:r>
              <w:rPr>
                <w:rFonts w:hint="eastAsia" w:cs="Times New Roman" w:asciiTheme="minorEastAsia" w:hAnsiTheme="minorEastAsia"/>
                <w:sz w:val="18"/>
                <w:szCs w:val="21"/>
              </w:rPr>
              <w:t>为交易目的而持有的金融资产净增加额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拆入资金净</w:t>
            </w:r>
            <w:r>
              <w:rPr>
                <w:rFonts w:hint="eastAsia" w:cs="Times New Roman" w:asciiTheme="minorEastAsia" w:hAnsiTheme="minorEastAsia"/>
                <w:sz w:val="18"/>
                <w:szCs w:val="18"/>
              </w:rPr>
              <w:t>减少</w:t>
            </w:r>
            <w:r>
              <w:rPr>
                <w:rFonts w:cs="Times New Roman" w:asciiTheme="minorEastAsia" w:hAnsiTheme="minorEastAsia"/>
                <w:sz w:val="18"/>
                <w:szCs w:val="18"/>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21"/>
              </w:rPr>
              <w:t>拆出资金</w:t>
            </w:r>
            <w:r>
              <w:rPr>
                <w:rFonts w:cs="Times New Roman" w:asciiTheme="minorEastAsia" w:hAnsiTheme="minorEastAsia"/>
                <w:sz w:val="18"/>
                <w:szCs w:val="21"/>
              </w:rPr>
              <w:t>净</w:t>
            </w:r>
            <w:r>
              <w:rPr>
                <w:rFonts w:hint="eastAsia" w:cs="Times New Roman" w:asciiTheme="minorEastAsia" w:hAnsiTheme="minorEastAsia"/>
                <w:sz w:val="18"/>
                <w:szCs w:val="21"/>
              </w:rPr>
              <w:t>增加</w:t>
            </w:r>
            <w:r>
              <w:rPr>
                <w:rFonts w:cs="Times New Roman" w:asciiTheme="minorEastAsia" w:hAnsi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回购业务资金净</w:t>
            </w:r>
            <w:r>
              <w:rPr>
                <w:rFonts w:hint="eastAsia" w:cs="Times New Roman" w:asciiTheme="minorEastAsia" w:hAnsiTheme="minorEastAsia"/>
                <w:sz w:val="18"/>
                <w:szCs w:val="18"/>
              </w:rPr>
              <w:t>减少</w:t>
            </w:r>
            <w:r>
              <w:rPr>
                <w:rFonts w:cs="Times New Roman" w:asciiTheme="minorEastAsia" w:hAnsiTheme="minorEastAsia"/>
                <w:sz w:val="18"/>
                <w:szCs w:val="18"/>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返售</w:t>
            </w:r>
            <w:r>
              <w:rPr>
                <w:rFonts w:cs="Times New Roman" w:asciiTheme="minorEastAsia" w:hAnsiTheme="minorEastAsia"/>
                <w:sz w:val="18"/>
                <w:szCs w:val="18"/>
              </w:rPr>
              <w:t>业务</w:t>
            </w:r>
            <w:r>
              <w:rPr>
                <w:rFonts w:hint="eastAsia" w:cs="Times New Roman" w:asciiTheme="minorEastAsia" w:hAnsiTheme="minorEastAsia"/>
                <w:sz w:val="18"/>
                <w:szCs w:val="18"/>
              </w:rPr>
              <w:t>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融出资金净增加额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sz w:val="18"/>
                <w:szCs w:val="18"/>
              </w:rPr>
              <w:t>代理买卖证券支付的现金净额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支付利息、手续费及佣金的现金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支付给职工以及为职工支付的现金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支付的各项税费</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sz w:val="18"/>
                <w:szCs w:val="18"/>
              </w:rPr>
              <w:t>支付其他与经营活动有关的现金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经营活动产生的现金流量净额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二、投资活动产生的现金流量：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收回投资收到的现金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取得投资收益收到的现金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80"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color w:val="000000" w:themeColor="text1"/>
                <w:sz w:val="18"/>
                <w:szCs w:val="21"/>
                <w14:textFill>
                  <w14:solidFill>
                    <w14:schemeClr w14:val="tx1"/>
                  </w14:solidFill>
                </w14:textFill>
              </w:rPr>
              <w:t xml:space="preserve">  处置</w:t>
            </w:r>
            <w:r>
              <w:rPr>
                <w:rFonts w:cs="Times New Roman" w:asciiTheme="minorEastAsia" w:hAnsiTheme="minorEastAsia"/>
                <w:color w:val="000000" w:themeColor="text1"/>
                <w:sz w:val="18"/>
                <w:szCs w:val="21"/>
                <w14:textFill>
                  <w14:solidFill>
                    <w14:schemeClr w14:val="tx1"/>
                  </w14:solidFill>
                </w14:textFill>
              </w:rPr>
              <w:t>固定资产、无形资产和其他长期资产收回的现金净额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color w:val="000000" w:themeColor="text1"/>
                <w:sz w:val="18"/>
                <w:szCs w:val="21"/>
                <w14:textFill>
                  <w14:solidFill>
                    <w14:schemeClr w14:val="tx1"/>
                  </w14:solidFill>
                </w14:textFill>
              </w:rPr>
              <w:t>处置</w:t>
            </w:r>
            <w:r>
              <w:rPr>
                <w:rFonts w:cs="Times New Roman" w:asciiTheme="minorEastAsia" w:hAnsiTheme="minorEastAsia"/>
                <w:color w:val="000000" w:themeColor="text1"/>
                <w:sz w:val="18"/>
                <w:szCs w:val="21"/>
                <w14:textFill>
                  <w14:solidFill>
                    <w14:schemeClr w14:val="tx1"/>
                  </w14:solidFill>
                </w14:textFill>
              </w:rPr>
              <w:t>子公司及其他营业单位</w:t>
            </w:r>
            <w:r>
              <w:rPr>
                <w:rFonts w:hint="eastAsia" w:cs="Times New Roman" w:asciiTheme="minorEastAsia" w:hAnsiTheme="minorEastAsia"/>
                <w:color w:val="000000" w:themeColor="text1"/>
                <w:sz w:val="18"/>
                <w:szCs w:val="21"/>
                <w14:textFill>
                  <w14:solidFill>
                    <w14:schemeClr w14:val="tx1"/>
                  </w14:solidFill>
                </w14:textFill>
              </w:rPr>
              <w:t>收到</w:t>
            </w:r>
            <w:r>
              <w:rPr>
                <w:rFonts w:cs="Times New Roman" w:asciiTheme="minorEastAsia" w:hAnsi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收到其他与投资活动有关的现金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投资支付的现金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购建固定资产、无形资产和其他长期资产支付的现金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取得子公司及其他营业单位支付的现金净额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支付其他与投资活动有关的现金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投资活动产生的现金流量净额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三、筹资活动产生的现金流量：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吸收投资收到的现金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color w:val="000000" w:themeColor="text1"/>
                <w:sz w:val="18"/>
                <w:szCs w:val="21"/>
                <w14:textFill>
                  <w14:solidFill>
                    <w14:schemeClr w14:val="tx1"/>
                  </w14:solidFill>
                </w14:textFill>
              </w:rPr>
              <w:t>取得借款收到的现金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发行债券收到的现金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收到其他与筹资活动有关的现金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偿还债务支付的现金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分配股利、利润或偿付利息支付的现金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cs="Times New Roman" w:asciiTheme="minorEastAsia" w:hAnsiTheme="minorEastAsia"/>
                <w:color w:val="000000" w:themeColor="text1"/>
                <w:sz w:val="18"/>
                <w:szCs w:val="21"/>
                <w14:textFill>
                  <w14:solidFill>
                    <w14:schemeClr w14:val="tx1"/>
                  </w14:solidFill>
                </w14:textFill>
              </w:rPr>
              <w:t>支付其他与筹资活动有关的现金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筹资活动产生的现金流量净额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CFCECE" w:themeFill="background2" w:themeFillShade="E5"/>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四、汇率变动对现金及现金等价物的影响</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五、现金及现金等价物净增加额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0" w:firstLineChars="0"/>
              <w:jc w:val="left"/>
              <w:rPr>
                <w:rFonts w:cs="Times New Roman" w:asciiTheme="minorEastAsia" w:hAnsiTheme="minorEastAsia"/>
                <w:color w:val="000000" w:themeColor="text1"/>
                <w:sz w:val="18"/>
                <w:szCs w:val="21"/>
                <w14:textFill>
                  <w14:solidFill>
                    <w14:schemeClr w14:val="tx1"/>
                  </w14:solidFill>
                </w14:textFill>
              </w:rPr>
            </w:pPr>
            <w:r>
              <w:rPr>
                <w:rFonts w:hint="eastAsia" w:cs="Times New Roman" w:asciiTheme="minorEastAsia" w:hAnsiTheme="minorEastAsia"/>
                <w:color w:val="000000" w:themeColor="text1"/>
                <w:sz w:val="18"/>
                <w:szCs w:val="21"/>
                <w14:textFill>
                  <w14:solidFill>
                    <w14:schemeClr w14:val="tx1"/>
                  </w14:solidFill>
                </w14:textFill>
              </w:rPr>
              <w:t>加：期初现金及现金等价物余额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Times New Roman" w:asciiTheme="minorEastAsia" w:hAnsiTheme="minorEastAsia"/>
                <w:b/>
                <w:color w:val="000000" w:themeColor="text1"/>
                <w:sz w:val="18"/>
                <w:szCs w:val="21"/>
                <w14:textFill>
                  <w14:solidFill>
                    <w14:schemeClr w14:val="tx1"/>
                  </w14:solidFill>
                </w14:textFill>
              </w:rPr>
            </w:pPr>
            <w:r>
              <w:rPr>
                <w:rFonts w:cs="Times New Roman" w:asciiTheme="minorEastAsia" w:hAnsiTheme="minorEastAsia"/>
                <w:b/>
                <w:color w:val="000000" w:themeColor="text1"/>
                <w:sz w:val="18"/>
                <w:szCs w:val="21"/>
                <w14:textFill>
                  <w14:solidFill>
                    <w14:schemeClr w14:val="tx1"/>
                  </w14:solidFill>
                </w14:textFill>
              </w:rPr>
              <w:t>六、期末现金及现金等价物余额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Times New Roman" w:asciiTheme="minorEastAsia" w:hAnsi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Times New Roman" w:asciiTheme="minorEastAsia" w:hAnsiTheme="minorEastAsia"/>
                <w:b/>
                <w:color w:val="000000" w:themeColor="text1"/>
                <w:sz w:val="18"/>
                <w:szCs w:val="21"/>
                <w14:textFill>
                  <w14:solidFill>
                    <w14:schemeClr w14:val="tx1"/>
                  </w14:solidFill>
                </w14:textFill>
              </w:rPr>
            </w:pPr>
          </w:p>
        </w:tc>
      </w:tr>
    </w:tbl>
    <w:p>
      <w:pPr>
        <w:widowControl/>
        <w:ind w:right="272"/>
        <w:jc w:val="left"/>
        <w:rPr>
          <w:rFonts w:ascii="宋体" w:hAnsi="宋体" w:eastAsia="宋体" w:cs="Times New Roman"/>
          <w:b/>
          <w:bCs/>
          <w:color w:val="000000"/>
          <w:szCs w:val="18"/>
        </w:rPr>
        <w:sectPr>
          <w:pgSz w:w="11907" w:h="16839"/>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6" w:name="_Toc14783"/>
      <w:bookmarkStart w:id="87" w:name="_Toc24206"/>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6"/>
      <w:bookmarkEnd w:id="87"/>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Theme="minorEastAsia"/>
                <w:b/>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D9D9D9"/>
            <w:vAlign w:val="center"/>
          </w:tcPr>
          <w:p>
            <w:pPr>
              <w:jc w:val="center"/>
              <w:rPr>
                <w:rFonts w:ascii="宋体" w:hAnsi="宋体" w:eastAsia="宋体" w:cs="Times New Roman"/>
                <w:b/>
                <w:color w:val="000000"/>
                <w:sz w:val="18"/>
                <w:szCs w:val="18"/>
              </w:rPr>
            </w:pPr>
          </w:p>
        </w:tc>
        <w:tc>
          <w:tcPr>
            <w:tcW w:w="9146"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992"/>
        <w:gridCol w:w="709"/>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123" w:type="dxa"/>
            <w:gridSpan w:val="13"/>
            <w:shd w:val="clear" w:color="auto" w:fill="D9D9D9"/>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97" w:hRule="atLeast"/>
          <w:jc w:val="center"/>
        </w:trPr>
        <w:tc>
          <w:tcPr>
            <w:tcW w:w="4106" w:type="dxa"/>
            <w:vMerge w:val="continue"/>
            <w:shd w:val="clear" w:color="auto" w:fill="D9D9D9"/>
            <w:vAlign w:val="center"/>
          </w:tcPr>
          <w:p>
            <w:pPr>
              <w:jc w:val="center"/>
              <w:rPr>
                <w:rFonts w:ascii="宋体" w:hAnsi="宋体" w:eastAsia="宋体" w:cs="Times New Roman"/>
                <w:b/>
                <w:color w:val="000000"/>
                <w:sz w:val="18"/>
                <w:szCs w:val="18"/>
              </w:rPr>
            </w:pPr>
          </w:p>
        </w:tc>
        <w:tc>
          <w:tcPr>
            <w:tcW w:w="9214"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917"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10"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709"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8"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continue"/>
            <w:shd w:val="clear" w:color="auto" w:fill="D9D9D9"/>
          </w:tcPr>
          <w:p>
            <w:pPr>
              <w:jc w:val="center"/>
              <w:rPr>
                <w:rFonts w:ascii="Calibri" w:hAnsi="Calibri" w:eastAsia="宋体" w:cs="Times New Roman"/>
                <w:b/>
                <w:color w:val="000000"/>
                <w:sz w:val="18"/>
                <w:szCs w:val="18"/>
              </w:rPr>
            </w:pPr>
          </w:p>
        </w:tc>
        <w:tc>
          <w:tcPr>
            <w:tcW w:w="992"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709"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09"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709"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8" w:name="_Toc18508"/>
      <w:bookmarkStart w:id="89" w:name="_Toc17406"/>
      <w:r>
        <w:rPr>
          <w:rFonts w:hint="eastAsia" w:ascii="Times New Roman" w:hAnsi="Times New Roman" w:eastAsia="宋体" w:cs="Times New Roman"/>
          <w:b/>
          <w:bCs/>
          <w:szCs w:val="32"/>
          <w:lang w:val="zh-CN"/>
        </w:rPr>
        <w:t>（八）母公司股东权益变动表</w:t>
      </w:r>
      <w:bookmarkEnd w:id="88"/>
      <w:bookmarkEnd w:id="89"/>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CCCCCC"/>
          </w:tcPr>
          <w:p>
            <w:pPr>
              <w:ind w:firstLine="440"/>
              <w:jc w:val="center"/>
              <w:rPr>
                <w:rFonts w:ascii="宋体" w:hAnsi="宋体"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CCCCCC"/>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CCCCCC"/>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CCCCCC"/>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CCCCCC"/>
          </w:tcPr>
          <w:p>
            <w:pPr>
              <w:ind w:firstLine="440"/>
              <w:jc w:val="center"/>
              <w:rPr>
                <w:rFonts w:ascii="宋体" w:hAnsi="宋体" w:eastAsia="宋体" w:cs="Times New Roman"/>
                <w:b/>
                <w:color w:val="000000"/>
                <w:sz w:val="18"/>
                <w:szCs w:val="18"/>
              </w:rPr>
            </w:pPr>
            <w:bookmarkStart w:id="94" w:name="_GoBack"/>
            <w:r>
              <w:rPr>
                <w:rFonts w:hint="default" w:ascii="Times New Roman" w:hAnsi="Times New Roman" w:eastAsia="宋体" w:cs="Times New Roman"/>
                <w:b/>
                <w:color w:val="000000"/>
                <w:sz w:val="18"/>
                <w:szCs w:val="18"/>
              </w:rPr>
              <w:t>2023</w:t>
            </w:r>
            <w:bookmarkEnd w:id="94"/>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CCCCCC"/>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CCCCCC"/>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CCCCCC"/>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CCCCC"/>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pgSz w:w="21633" w:h="11906" w:orient="landscape"/>
          <w:pgMar w:top="1797" w:right="6235" w:bottom="1797" w:left="1440" w:header="851" w:footer="992" w:gutter="0"/>
          <w:cols w:space="425" w:num="1"/>
          <w:docGrid w:type="linesAndChars" w:linePitch="312" w:charSpace="0"/>
        </w:sectPr>
      </w:pPr>
    </w:p>
    <w:bookmarkEnd w:id="68"/>
    <w:bookmarkEnd w:id="69"/>
    <w:bookmarkEnd w:id="70"/>
    <w:bookmarkEnd w:id="71"/>
    <w:p>
      <w:pPr>
        <w:tabs>
          <w:tab w:val="left" w:pos="5140"/>
        </w:tabs>
        <w:rPr>
          <w:rFonts w:ascii="宋体" w:hAnsi="宋体" w:eastAsia="宋体" w:cs="Times New Roman"/>
          <w:b/>
          <w:color w:val="FF0000"/>
          <w:sz w:val="24"/>
          <w:szCs w:val="21"/>
        </w:rPr>
      </w:pPr>
      <w:bookmarkStart w:id="90" w:name="_Toc10081"/>
      <w:bookmarkStart w:id="91" w:name="_Toc2344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90"/>
      <w:bookmarkEnd w:id="91"/>
    </w:p>
    <w:p>
      <w:pPr>
        <w:keepNext/>
        <w:keepLines/>
        <w:spacing w:before="100" w:after="100"/>
        <w:outlineLvl w:val="1"/>
        <w:rPr>
          <w:rFonts w:ascii="Calibri Light" w:hAnsi="Calibri Light" w:eastAsia="微软雅黑" w:cs="Times New Roman"/>
          <w:b/>
          <w:bCs/>
          <w:sz w:val="22"/>
          <w:szCs w:val="32"/>
        </w:rPr>
      </w:pPr>
      <w:bookmarkStart w:id="92" w:name="_Toc3016"/>
      <w:bookmarkStart w:id="93" w:name="_Toc23833"/>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92"/>
      <w:bookmarkEnd w:id="93"/>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16</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31</w:t>
        </w:r>
        <w: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DC088"/>
    <w:multiLevelType w:val="singleLevel"/>
    <w:tmpl w:val="FD8DC0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mM2ODkzYTMxOWY0NzQwNWE2MTA0MDZlNTYyZDYifQ=="/>
  </w:docVars>
  <w:rsids>
    <w:rsidRoot w:val="006C1562"/>
    <w:rsid w:val="00005D98"/>
    <w:rsid w:val="0002409F"/>
    <w:rsid w:val="00024C99"/>
    <w:rsid w:val="000473CC"/>
    <w:rsid w:val="000520E2"/>
    <w:rsid w:val="000569D0"/>
    <w:rsid w:val="00064DCD"/>
    <w:rsid w:val="00077348"/>
    <w:rsid w:val="000907EF"/>
    <w:rsid w:val="00091D4B"/>
    <w:rsid w:val="00096D23"/>
    <w:rsid w:val="000D42F1"/>
    <w:rsid w:val="000F78A5"/>
    <w:rsid w:val="00194E96"/>
    <w:rsid w:val="00196321"/>
    <w:rsid w:val="001C3D27"/>
    <w:rsid w:val="001C6B30"/>
    <w:rsid w:val="001D457E"/>
    <w:rsid w:val="001E568E"/>
    <w:rsid w:val="00233D01"/>
    <w:rsid w:val="00241328"/>
    <w:rsid w:val="00252F1E"/>
    <w:rsid w:val="00271BDC"/>
    <w:rsid w:val="00272B19"/>
    <w:rsid w:val="00273B81"/>
    <w:rsid w:val="00296596"/>
    <w:rsid w:val="002B0B66"/>
    <w:rsid w:val="002D0FAF"/>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3506"/>
    <w:rsid w:val="00506480"/>
    <w:rsid w:val="00506875"/>
    <w:rsid w:val="005141A7"/>
    <w:rsid w:val="00534E45"/>
    <w:rsid w:val="00541500"/>
    <w:rsid w:val="005A5826"/>
    <w:rsid w:val="005C1BB7"/>
    <w:rsid w:val="005E417C"/>
    <w:rsid w:val="005F4CDD"/>
    <w:rsid w:val="005F6466"/>
    <w:rsid w:val="0060663A"/>
    <w:rsid w:val="00645834"/>
    <w:rsid w:val="00674CBE"/>
    <w:rsid w:val="00681962"/>
    <w:rsid w:val="00690756"/>
    <w:rsid w:val="006C1562"/>
    <w:rsid w:val="006C5002"/>
    <w:rsid w:val="006E7C10"/>
    <w:rsid w:val="006F0092"/>
    <w:rsid w:val="007112C2"/>
    <w:rsid w:val="007329DA"/>
    <w:rsid w:val="0075546D"/>
    <w:rsid w:val="00755BA5"/>
    <w:rsid w:val="00782E31"/>
    <w:rsid w:val="0079347F"/>
    <w:rsid w:val="007A4B7B"/>
    <w:rsid w:val="007B7D00"/>
    <w:rsid w:val="007D07A7"/>
    <w:rsid w:val="007E0DFC"/>
    <w:rsid w:val="0082424C"/>
    <w:rsid w:val="00833B0E"/>
    <w:rsid w:val="00834694"/>
    <w:rsid w:val="0083638B"/>
    <w:rsid w:val="00837BA9"/>
    <w:rsid w:val="00846AA5"/>
    <w:rsid w:val="0085287A"/>
    <w:rsid w:val="0086369C"/>
    <w:rsid w:val="00896507"/>
    <w:rsid w:val="008B7FD0"/>
    <w:rsid w:val="00920AFE"/>
    <w:rsid w:val="00981982"/>
    <w:rsid w:val="009A5B79"/>
    <w:rsid w:val="009A7A65"/>
    <w:rsid w:val="009E303B"/>
    <w:rsid w:val="00A14725"/>
    <w:rsid w:val="00A36191"/>
    <w:rsid w:val="00A70E43"/>
    <w:rsid w:val="00A83B1A"/>
    <w:rsid w:val="00AB3142"/>
    <w:rsid w:val="00BA18E8"/>
    <w:rsid w:val="00BA7EC7"/>
    <w:rsid w:val="00BB3026"/>
    <w:rsid w:val="00BE098F"/>
    <w:rsid w:val="00BF544C"/>
    <w:rsid w:val="00C35F3E"/>
    <w:rsid w:val="00C52B10"/>
    <w:rsid w:val="00C83150"/>
    <w:rsid w:val="00CA1118"/>
    <w:rsid w:val="00CA7076"/>
    <w:rsid w:val="00CC64C8"/>
    <w:rsid w:val="00CC6A2B"/>
    <w:rsid w:val="00D224CB"/>
    <w:rsid w:val="00D54C2A"/>
    <w:rsid w:val="00D75D32"/>
    <w:rsid w:val="00DB4315"/>
    <w:rsid w:val="00DC4B5A"/>
    <w:rsid w:val="00E84A74"/>
    <w:rsid w:val="00E92D6B"/>
    <w:rsid w:val="00E92F9A"/>
    <w:rsid w:val="00EA2B40"/>
    <w:rsid w:val="00EC1D78"/>
    <w:rsid w:val="00EC48ED"/>
    <w:rsid w:val="00ED28ED"/>
    <w:rsid w:val="00EE30B4"/>
    <w:rsid w:val="00EE7195"/>
    <w:rsid w:val="00F05360"/>
    <w:rsid w:val="00F10843"/>
    <w:rsid w:val="00F52CC1"/>
    <w:rsid w:val="00F55814"/>
    <w:rsid w:val="00FA41FD"/>
    <w:rsid w:val="00FB5F11"/>
    <w:rsid w:val="00FB7B06"/>
    <w:rsid w:val="00FF2B61"/>
    <w:rsid w:val="01744F7A"/>
    <w:rsid w:val="05AF5A20"/>
    <w:rsid w:val="0A1A4C43"/>
    <w:rsid w:val="15D014E9"/>
    <w:rsid w:val="17AC7D72"/>
    <w:rsid w:val="2EE63F14"/>
    <w:rsid w:val="36F46E45"/>
    <w:rsid w:val="4C672D4A"/>
    <w:rsid w:val="4DF905D3"/>
    <w:rsid w:val="59206B69"/>
    <w:rsid w:val="66DF18F3"/>
    <w:rsid w:val="6700124D"/>
    <w:rsid w:val="72032F0D"/>
    <w:rsid w:val="75AD73FD"/>
    <w:rsid w:val="BB57A3A3"/>
    <w:rsid w:val="FCFFA104"/>
    <w:rsid w:val="FDEBE28A"/>
    <w:rsid w:val="FF93C53A"/>
    <w:rsid w:val="FFCF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4">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0">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修订2"/>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6">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197">
    <w:name w:val="网格型37"/>
    <w:basedOn w:val="45"/>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5052</Words>
  <Characters>28797</Characters>
  <Lines>239</Lines>
  <Paragraphs>67</Paragraphs>
  <TotalTime>37</TotalTime>
  <ScaleCrop>false</ScaleCrop>
  <LinksUpToDate>false</LinksUpToDate>
  <CharactersWithSpaces>33782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2023-09-27T01:46:00Z</dcterms:created>
  <dc:creator>黄伊晨hyc </dc:creator>
  <cp:lastModifiedBy>cuiyq</cp:lastModifiedBy>
  <dcterms:modified xsi:type="dcterms:W3CDTF">2024-12-24T15:24:44Z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0FD55EC285A043DEA5538E45067ABDEB_12</vt:lpwstr>
  </property>
</Properties>
</file>