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商业银行</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挂牌公司年度报告内容与格式模板（</w:t>
                      </w:r>
                      <w:r>
                        <w:rPr>
                          <w:rFonts w:hint="eastAsia" w:ascii="Times New Roman" w:hAnsi="Times New Roman" w:eastAsia="方正大标宋简体"/>
                          <w:color w:val="000000"/>
                          <w:sz w:val="42"/>
                          <w:szCs w:val="42"/>
                        </w:rPr>
                        <w:t>商业银行</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6"/>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6"/>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六、本年度报告已在“第二节会计数据、经营情况和管理层分析”之“十三</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0"/>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行业信息</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第七节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6"/>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6"/>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17493"/>
      <w:bookmarkStart w:id="5" w:name="_Toc20290"/>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（二）行业情况</w:t>
      </w:r>
      <w:r>
        <w:rPr>
          <w:rFonts w:hint="eastAsia" w:ascii="Calibri" w:hAnsi="Calibri" w:eastAsia="宋体" w:cs="Times New Roman"/>
          <w:b/>
          <w:color w:val="FF0000"/>
        </w:rPr>
        <w:t>（创新层公司适用）</w:t>
      </w:r>
    </w:p>
    <w:tbl>
      <w:tblPr>
        <w:tblStyle w:val="175"/>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w:t>
            </w:r>
            <w:r>
              <w:rPr>
                <w:rFonts w:ascii="宋体" w:hAnsi="宋体" w:eastAsia="宋体" w:cs="Times New Roman"/>
                <w:i/>
                <w:color w:val="FF0000"/>
                <w:kern w:val="0"/>
                <w:sz w:val="20"/>
                <w:szCs w:val="44"/>
              </w:rPr>
              <w:t>应当分析</w:t>
            </w:r>
            <w:r>
              <w:rPr>
                <w:rFonts w:hint="eastAsia" w:ascii="宋体" w:hAnsi="宋体" w:eastAsia="宋体" w:cs="Times New Roman"/>
                <w:i/>
                <w:color w:val="FF0000"/>
                <w:kern w:val="0"/>
                <w:sz w:val="20"/>
                <w:szCs w:val="44"/>
              </w:rPr>
              <w:t>报告期内行业发展、周期波动等情况；应说明行业发展因素、行业法律法规等的变动及对公司经营情况的影响。</w:t>
            </w:r>
            <w:r>
              <w:rPr>
                <w:rFonts w:ascii="宋体" w:hAnsi="宋体" w:eastAsia="宋体" w:cs="Times New Roman"/>
                <w:i/>
                <w:color w:val="FF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9211" w:type="dxa"/>
        <w:jc w:val="center"/>
        <w:tblLayout w:type="autofit"/>
        <w:tblCellMar>
          <w:top w:w="0" w:type="dxa"/>
          <w:left w:w="108" w:type="dxa"/>
          <w:bottom w:w="0" w:type="dxa"/>
          <w:right w:w="108" w:type="dxa"/>
        </w:tblCellMar>
      </w:tblPr>
      <w:tblGrid>
        <w:gridCol w:w="4997"/>
        <w:gridCol w:w="1451"/>
        <w:gridCol w:w="1375"/>
        <w:gridCol w:w="1388"/>
      </w:tblGrid>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451"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75"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88"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451"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375"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388"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451"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75"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88"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451"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451"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single" w:color="5B9BD5" w:sz="8" w:space="0"/>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451" w:type="dxa"/>
            <w:tcBorders>
              <w:top w:val="single" w:color="5B9BD5" w:sz="8" w:space="0"/>
              <w:left w:val="nil"/>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single" w:color="5B9BD5" w:sz="8" w:space="0"/>
              <w:left w:val="nil"/>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single" w:color="5B9BD5" w:sz="8" w:space="0"/>
              <w:left w:val="nil"/>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451" w:type="dxa"/>
            <w:tcBorders>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75" w:type="dxa"/>
            <w:tcBorders>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88" w:type="dxa"/>
            <w:tcBorders>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行业主要财务指标及监管指标成长情况</w:t>
            </w:r>
          </w:p>
        </w:tc>
        <w:tc>
          <w:tcPr>
            <w:tcW w:w="1451"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375"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388"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资本充足率%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一级资本充足率%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核心一级资本充足率%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不良贷款率%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存贷比%</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流动性覆盖率%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净稳定资金比例%</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流动性比例%</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流动性匹配率%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优质流动性资产充足率%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单一最大客户贷款集中度%</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最大十家客户贷款集中度%</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正常类贷款迁徙率%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关注类贷款迁徙率%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次级类贷款迁徙率%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可疑类贷款迁徙率%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拨备覆盖率%</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拨贷比%%</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成本收入比%</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净利差%</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eastAsia="宋体" w:cs="宋体"/>
                <w:color w:val="000000"/>
                <w:kern w:val="0"/>
                <w:sz w:val="22"/>
              </w:rPr>
            </w:pPr>
            <w:r>
              <w:rPr>
                <w:rFonts w:hint="eastAsia" w:ascii="宋体" w:hAnsi="宋体"/>
                <w:color w:val="000000"/>
                <w:kern w:val="0"/>
                <w:sz w:val="22"/>
              </w:rPr>
              <w:t>净息差%</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tcPr>
          <w:p>
            <w:pPr>
              <w:widowControl/>
              <w:jc w:val="center"/>
              <w:rPr>
                <w:rFonts w:ascii="宋体" w:hAnsi="宋体" w:eastAsia="宋体" w:cs="宋体"/>
                <w:color w:val="000000"/>
                <w:kern w:val="0"/>
                <w:sz w:val="22"/>
              </w:rPr>
            </w:pP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color w:val="000000"/>
                <w:kern w:val="0"/>
                <w:sz w:val="22"/>
              </w:rPr>
            </w:pPr>
            <w:r>
              <w:rPr>
                <w:rFonts w:hint="eastAsia" w:ascii="宋体" w:hAnsi="宋体"/>
              </w:rPr>
              <w:t>…</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4997" w:type="dxa"/>
            <w:tcBorders>
              <w:top w:val="nil"/>
              <w:left w:val="single" w:color="5B9BD5" w:sz="8" w:space="0"/>
              <w:bottom w:val="single" w:color="5B9BD5" w:sz="8" w:space="0"/>
              <w:right w:val="single" w:color="5B9BD5" w:sz="8" w:space="0"/>
            </w:tcBorders>
            <w:shd w:val="clear" w:color="auto" w:fill="auto"/>
          </w:tcPr>
          <w:p>
            <w:pPr>
              <w:widowControl/>
              <w:jc w:val="left"/>
              <w:rPr>
                <w:rFonts w:ascii="宋体" w:hAnsi="宋体"/>
                <w:color w:val="000000"/>
                <w:kern w:val="0"/>
                <w:sz w:val="22"/>
              </w:rPr>
            </w:pPr>
            <w:r>
              <w:rPr>
                <w:rFonts w:hint="eastAsia" w:ascii="宋体" w:hAnsi="宋体"/>
                <w:i/>
                <w:color w:val="FF0000"/>
              </w:rPr>
              <w:t>（根据相关行业监管要求应当披露的其他指标，可添加行）</w:t>
            </w:r>
          </w:p>
        </w:tc>
        <w:tc>
          <w:tcPr>
            <w:tcW w:w="1451"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75"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388"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bl>
    <w:p>
      <w:pPr>
        <w:rPr>
          <w:rFonts w:cs="Times New Roman" w:asciiTheme="minorEastAsia" w:hAnsiTheme="minorEastAsia"/>
          <w:i/>
          <w:color w:val="FF0000"/>
          <w:szCs w:val="44"/>
        </w:rPr>
      </w:pPr>
      <w:r>
        <w:rPr>
          <w:rFonts w:hint="eastAsia" w:cs="Times New Roman" w:asciiTheme="minorEastAsia" w:hAnsiTheme="minorEastAsia"/>
          <w:i/>
          <w:color w:val="FF0000"/>
          <w:szCs w:val="44"/>
        </w:rPr>
        <w:t>（根据《商业银行流动性风险管理办法》中关于流动性风险监管指标的规定，资产规模不小于2000亿元</w:t>
      </w:r>
      <w:r>
        <w:rPr>
          <w:rFonts w:cs="Times New Roman" w:asciiTheme="minorEastAsia" w:hAnsiTheme="minorEastAsia"/>
          <w:i/>
          <w:color w:val="FF0000"/>
          <w:szCs w:val="44"/>
        </w:rPr>
        <w:t>人民币的商业银行应当持续达到流动性覆盖率</w:t>
      </w:r>
      <w:r>
        <w:rPr>
          <w:rFonts w:hint="eastAsia" w:cs="Times New Roman" w:asciiTheme="minorEastAsia" w:hAnsiTheme="minorEastAsia"/>
          <w:i/>
          <w:color w:val="FF0000"/>
          <w:szCs w:val="44"/>
        </w:rPr>
        <w:t>、</w:t>
      </w:r>
      <w:r>
        <w:rPr>
          <w:rFonts w:cs="Times New Roman" w:asciiTheme="minorEastAsia" w:hAnsiTheme="minorEastAsia"/>
          <w:i/>
          <w:color w:val="FF0000"/>
          <w:szCs w:val="44"/>
        </w:rPr>
        <w:t>净稳定资金比例、</w:t>
      </w:r>
      <w:r>
        <w:rPr>
          <w:rFonts w:hint="eastAsia" w:cs="Times New Roman" w:asciiTheme="minorEastAsia" w:hAnsiTheme="minorEastAsia"/>
          <w:i/>
          <w:color w:val="FF0000"/>
          <w:szCs w:val="44"/>
        </w:rPr>
        <w:t>流动性</w:t>
      </w:r>
      <w:r>
        <w:rPr>
          <w:rFonts w:cs="Times New Roman" w:asciiTheme="minorEastAsia" w:hAnsiTheme="minorEastAsia"/>
          <w:i/>
          <w:color w:val="FF0000"/>
          <w:szCs w:val="44"/>
        </w:rPr>
        <w:t>比例</w:t>
      </w:r>
      <w:r>
        <w:rPr>
          <w:rFonts w:hint="eastAsia" w:cs="Times New Roman" w:asciiTheme="minorEastAsia" w:hAnsiTheme="minorEastAsia"/>
          <w:i/>
          <w:color w:val="FF0000"/>
          <w:szCs w:val="44"/>
        </w:rPr>
        <w:t>和</w:t>
      </w:r>
      <w:r>
        <w:rPr>
          <w:rFonts w:cs="Times New Roman" w:asciiTheme="minorEastAsia" w:hAnsiTheme="minorEastAsia"/>
          <w:i/>
          <w:color w:val="FF0000"/>
          <w:szCs w:val="44"/>
        </w:rPr>
        <w:t>流动性匹配率的</w:t>
      </w:r>
      <w:r>
        <w:rPr>
          <w:rFonts w:hint="eastAsia" w:cs="Times New Roman" w:asciiTheme="minorEastAsia" w:hAnsiTheme="minorEastAsia"/>
          <w:i/>
          <w:color w:val="FF0000"/>
          <w:szCs w:val="44"/>
        </w:rPr>
        <w:t>最低</w:t>
      </w:r>
      <w:r>
        <w:rPr>
          <w:rFonts w:cs="Times New Roman" w:asciiTheme="minorEastAsia" w:hAnsiTheme="minorEastAsia"/>
          <w:i/>
          <w:color w:val="FF0000"/>
          <w:szCs w:val="44"/>
        </w:rPr>
        <w:t>监管标准；资产规模小于</w:t>
      </w:r>
      <w:r>
        <w:rPr>
          <w:rFonts w:hint="eastAsia" w:cs="Times New Roman" w:asciiTheme="minorEastAsia" w:hAnsiTheme="minorEastAsia"/>
          <w:i/>
          <w:color w:val="FF0000"/>
          <w:szCs w:val="44"/>
        </w:rPr>
        <w:t>2000亿元人民币</w:t>
      </w:r>
      <w:r>
        <w:rPr>
          <w:rFonts w:cs="Times New Roman" w:asciiTheme="minorEastAsia" w:hAnsiTheme="minorEastAsia"/>
          <w:i/>
          <w:color w:val="FF0000"/>
          <w:szCs w:val="44"/>
        </w:rPr>
        <w:t>的</w:t>
      </w:r>
      <w:r>
        <w:rPr>
          <w:rFonts w:hint="eastAsia" w:cs="Times New Roman" w:asciiTheme="minorEastAsia" w:hAnsiTheme="minorEastAsia"/>
          <w:i/>
          <w:color w:val="FF0000"/>
          <w:szCs w:val="44"/>
        </w:rPr>
        <w:t>商业</w:t>
      </w:r>
      <w:r>
        <w:rPr>
          <w:rFonts w:cs="Times New Roman" w:asciiTheme="minorEastAsia" w:hAnsiTheme="minorEastAsia"/>
          <w:i/>
          <w:color w:val="FF0000"/>
          <w:szCs w:val="44"/>
        </w:rPr>
        <w:t>银行应当持续达到优质流动性资产充足率、流动性</w:t>
      </w:r>
      <w:r>
        <w:rPr>
          <w:rFonts w:hint="eastAsia" w:cs="Times New Roman" w:asciiTheme="minorEastAsia" w:hAnsiTheme="minorEastAsia"/>
          <w:i/>
          <w:color w:val="FF0000"/>
          <w:szCs w:val="44"/>
        </w:rPr>
        <w:t>比例</w:t>
      </w:r>
      <w:r>
        <w:rPr>
          <w:rFonts w:cs="Times New Roman" w:asciiTheme="minorEastAsia" w:hAnsiTheme="minorEastAsia"/>
          <w:i/>
          <w:color w:val="FF0000"/>
          <w:szCs w:val="44"/>
        </w:rPr>
        <w:t>和</w:t>
      </w:r>
      <w:r>
        <w:rPr>
          <w:rFonts w:hint="eastAsia" w:cs="Times New Roman" w:asciiTheme="minorEastAsia" w:hAnsiTheme="minorEastAsia"/>
          <w:i/>
          <w:color w:val="FF0000"/>
          <w:szCs w:val="44"/>
        </w:rPr>
        <w:t>流动性</w:t>
      </w:r>
      <w:r>
        <w:rPr>
          <w:rFonts w:cs="Times New Roman" w:asciiTheme="minorEastAsia" w:hAnsiTheme="minorEastAsia"/>
          <w:i/>
          <w:color w:val="FF0000"/>
          <w:szCs w:val="44"/>
        </w:rPr>
        <w:t>匹配率</w:t>
      </w:r>
      <w:r>
        <w:rPr>
          <w:rFonts w:hint="eastAsia" w:cs="Times New Roman" w:asciiTheme="minorEastAsia" w:hAnsiTheme="minorEastAsia"/>
          <w:i/>
          <w:color w:val="FF0000"/>
          <w:szCs w:val="44"/>
        </w:rPr>
        <w:t>的</w:t>
      </w:r>
      <w:r>
        <w:rPr>
          <w:rFonts w:cs="Times New Roman" w:asciiTheme="minorEastAsia" w:hAnsiTheme="minorEastAsia"/>
          <w:i/>
          <w:color w:val="FF0000"/>
          <w:szCs w:val="44"/>
        </w:rPr>
        <w:t>最低监管</w:t>
      </w:r>
      <w:r>
        <w:rPr>
          <w:rFonts w:hint="eastAsia" w:cs="Times New Roman" w:asciiTheme="minorEastAsia" w:hAnsiTheme="minorEastAsia"/>
          <w:i/>
          <w:color w:val="FF0000"/>
          <w:szCs w:val="44"/>
        </w:rPr>
        <w:t>表标准</w:t>
      </w:r>
      <w:r>
        <w:rPr>
          <w:rFonts w:cs="Times New Roman" w:asciiTheme="minorEastAsia" w:hAnsiTheme="minorEastAsia"/>
          <w:i/>
          <w:color w:val="FF0000"/>
          <w:szCs w:val="44"/>
        </w:rPr>
        <w:t>，请挂牌公司参照适用。</w:t>
      </w:r>
      <w:r>
        <w:rPr>
          <w:rFonts w:hint="eastAsia" w:cs="Times New Roman" w:asciiTheme="minorEastAsia" w:hAnsiTheme="minorEastAsia"/>
          <w:i/>
          <w:color w:val="FF0000"/>
          <w:szCs w:val="44"/>
        </w:rPr>
        <w:t>如不适用</w:t>
      </w:r>
      <w:r>
        <w:rPr>
          <w:rFonts w:cs="Times New Roman" w:asciiTheme="minorEastAsia" w:hAnsiTheme="minorEastAsia"/>
          <w:i/>
          <w:color w:val="FF0000"/>
          <w:szCs w:val="44"/>
        </w:rPr>
        <w:t>，请填写“-”</w:t>
      </w:r>
      <w:r>
        <w:rPr>
          <w:rFonts w:hint="eastAsia" w:cs="Times New Roman" w:asciiTheme="minorEastAsia" w:hAnsiTheme="minorEastAsia"/>
          <w:i/>
          <w:color w:val="FF0000"/>
          <w:szCs w:val="44"/>
        </w:rPr>
        <w:t>。）</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905"/>
        <w:gridCol w:w="1385"/>
        <w:gridCol w:w="1386"/>
        <w:gridCol w:w="1157"/>
        <w:gridCol w:w="1529"/>
        <w:gridCol w:w="156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771"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686"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56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Merge w:val="continue"/>
            <w:vAlign w:val="center"/>
          </w:tcPr>
          <w:p>
            <w:pPr>
              <w:tabs>
                <w:tab w:val="left" w:pos="5140"/>
              </w:tabs>
              <w:jc w:val="center"/>
              <w:rPr>
                <w:rFonts w:ascii="宋体" w:hAnsi="宋体" w:eastAsia="宋体" w:cs="Times New Roman"/>
                <w:color w:val="000000"/>
                <w:sz w:val="22"/>
              </w:rPr>
            </w:pPr>
          </w:p>
        </w:tc>
        <w:tc>
          <w:tcPr>
            <w:tcW w:w="138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3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15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52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56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tcPr>
          <w:p>
            <w:pPr>
              <w:tabs>
                <w:tab w:val="left" w:pos="5140"/>
              </w:tabs>
              <w:rPr>
                <w:rFonts w:ascii="宋体" w:hAnsi="宋体" w:eastAsia="宋体" w:cs="Times New Roman"/>
                <w:color w:val="000000"/>
                <w:sz w:val="22"/>
              </w:rPr>
            </w:pPr>
            <w:r>
              <w:rPr>
                <w:rFonts w:hint="eastAsia" w:asciiTheme="minorEastAsia" w:hAnsiTheme="minorEastAsia"/>
                <w:color w:val="000000"/>
                <w:sz w:val="22"/>
              </w:rPr>
              <w:t>利息净收入</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手续费及佣金净收入</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其他非利息收益</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营业收入</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税金及附加</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业务及管理费</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资产减值损失</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其他业务成本</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营业支出</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sz w:val="22"/>
              </w:rPr>
              <w:t>营业外收支净额</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利润总额</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所得税</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净利润</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905" w:type="dxa"/>
            <w:vAlign w:val="center"/>
          </w:tcPr>
          <w:p>
            <w:pPr>
              <w:tabs>
                <w:tab w:val="left" w:pos="5140"/>
              </w:tabs>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其中：归属本行股东净利润</w:t>
            </w:r>
          </w:p>
        </w:tc>
        <w:tc>
          <w:tcPr>
            <w:tcW w:w="1385" w:type="dxa"/>
          </w:tcPr>
          <w:p>
            <w:pPr>
              <w:tabs>
                <w:tab w:val="left" w:pos="5140"/>
              </w:tabs>
              <w:rPr>
                <w:rFonts w:ascii="宋体" w:hAnsi="宋体" w:eastAsia="宋体" w:cs="Times New Roman"/>
                <w:color w:val="000000"/>
                <w:sz w:val="22"/>
              </w:rPr>
            </w:pPr>
          </w:p>
        </w:tc>
        <w:tc>
          <w:tcPr>
            <w:tcW w:w="1386" w:type="dxa"/>
          </w:tcPr>
          <w:p>
            <w:pPr>
              <w:tabs>
                <w:tab w:val="left" w:pos="5140"/>
              </w:tabs>
              <w:rPr>
                <w:rFonts w:ascii="宋体" w:hAnsi="宋体" w:eastAsia="宋体" w:cs="Times New Roman"/>
                <w:color w:val="000000"/>
                <w:sz w:val="22"/>
              </w:rPr>
            </w:pPr>
          </w:p>
        </w:tc>
        <w:tc>
          <w:tcPr>
            <w:tcW w:w="1157" w:type="dxa"/>
          </w:tcPr>
          <w:p>
            <w:pPr>
              <w:tabs>
                <w:tab w:val="left" w:pos="5140"/>
              </w:tabs>
              <w:rPr>
                <w:rFonts w:ascii="宋体" w:hAnsi="宋体" w:eastAsia="宋体" w:cs="Times New Roman"/>
                <w:color w:val="000000"/>
                <w:sz w:val="22"/>
              </w:rPr>
            </w:pPr>
          </w:p>
        </w:tc>
        <w:tc>
          <w:tcPr>
            <w:tcW w:w="1529" w:type="dxa"/>
          </w:tcPr>
          <w:p>
            <w:pPr>
              <w:tabs>
                <w:tab w:val="left" w:pos="5140"/>
              </w:tabs>
              <w:rPr>
                <w:rFonts w:ascii="宋体" w:hAnsi="宋体" w:eastAsia="宋体" w:cs="Times New Roman"/>
                <w:color w:val="000000"/>
                <w:sz w:val="22"/>
              </w:rPr>
            </w:pPr>
          </w:p>
        </w:tc>
        <w:tc>
          <w:tcPr>
            <w:tcW w:w="1569" w:type="dxa"/>
          </w:tcPr>
          <w:p>
            <w:pPr>
              <w:tabs>
                <w:tab w:val="left" w:pos="5140"/>
              </w:tabs>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eastAsia="宋体" w:cs="Times New Roman" w:asciiTheme="minorEastAsia" w:hAnsi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ascii="宋体" w:hAnsi="宋体" w:eastAsia="宋体" w:cs="Times New Roman"/>
                <w:i/>
                <w:color w:val="FF0000"/>
                <w:kern w:val="0"/>
                <w:sz w:val="20"/>
                <w:szCs w:val="44"/>
              </w:rPr>
              <w:t>基础层</w:t>
            </w:r>
            <w:r>
              <w:rPr>
                <w:rFonts w:hint="eastAsia" w:eastAsia="宋体" w:cs="Times New Roman" w:asciiTheme="minorEastAsia" w:hAnsiTheme="minorEastAsia"/>
                <w:i/>
                <w:color w:val="FF0000"/>
                <w:kern w:val="0"/>
                <w:sz w:val="20"/>
                <w:szCs w:val="44"/>
              </w:rPr>
              <w:t>公司可免于分析金额占营业收入</w:t>
            </w:r>
            <w:r>
              <w:rPr>
                <w:rFonts w:eastAsia="宋体" w:cs="Times New Roman" w:asciiTheme="minorEastAsia" w:hAnsi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2、利息</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32"/>
        <w:gridCol w:w="2233"/>
        <w:gridCol w:w="2233"/>
        <w:gridCol w:w="22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sz w:val="22"/>
              </w:rPr>
              <w:t>发放贷款和</w:t>
            </w:r>
            <w:r>
              <w:rPr>
                <w:rFonts w:asciiTheme="minorEastAsia" w:hAnsiTheme="minorEastAsia"/>
                <w:color w:val="000000"/>
                <w:sz w:val="22"/>
              </w:rPr>
              <w:t>垫款</w:t>
            </w:r>
            <w:r>
              <w:rPr>
                <w:rFonts w:hint="eastAsia" w:asciiTheme="minorEastAsia" w:hAnsiTheme="minorEastAsia"/>
                <w:color w:val="000000"/>
                <w:sz w:val="22"/>
              </w:rPr>
              <w:t>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sz w:val="22"/>
              </w:rPr>
              <w:t>拆出</w:t>
            </w:r>
            <w:r>
              <w:rPr>
                <w:rFonts w:asciiTheme="minorEastAsia" w:hAnsiTheme="minorEastAsia"/>
                <w:color w:val="000000"/>
                <w:sz w:val="22"/>
              </w:rPr>
              <w:t>资金</w:t>
            </w:r>
            <w:r>
              <w:rPr>
                <w:rFonts w:hint="eastAsia" w:asciiTheme="minorEastAsia" w:hAnsiTheme="minorEastAsia"/>
                <w:color w:val="000000"/>
                <w:sz w:val="22"/>
              </w:rPr>
              <w:t>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sz w:val="22"/>
              </w:rPr>
              <w:t>存放中央银行款项利息收入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存放同业和</w:t>
            </w:r>
            <w:r>
              <w:rPr>
                <w:rFonts w:asciiTheme="minorEastAsia" w:hAnsiTheme="minorEastAsia"/>
                <w:color w:val="000000" w:themeColor="text1"/>
                <w:sz w:val="22"/>
                <w14:textFill>
                  <w14:solidFill>
                    <w14:schemeClr w14:val="tx1"/>
                  </w14:solidFill>
                </w14:textFill>
              </w:rPr>
              <w:t>其他金融机构款项</w:t>
            </w:r>
            <w:r>
              <w:rPr>
                <w:rFonts w:hint="eastAsia" w:asciiTheme="minorEastAsia" w:hAnsiTheme="minorEastAsia"/>
                <w:color w:val="000000" w:themeColor="text1"/>
                <w:sz w:val="22"/>
                <w14:textFill>
                  <w14:solidFill>
                    <w14:schemeClr w14:val="tx1"/>
                  </w14:solidFill>
                </w14:textFill>
              </w:rPr>
              <w:t>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买入返售金融资产利息收入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Ansi="宋体"/>
                <w:b/>
                <w:color w:val="000000"/>
                <w:sz w:val="22"/>
              </w:rPr>
              <w:t>合计</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bl>
    <w:p>
      <w:pPr>
        <w:tabs>
          <w:tab w:val="left" w:pos="5140"/>
        </w:tabs>
        <w:rPr>
          <w:rFonts w:cs="Times New Roman" w:asciiTheme="minorEastAsia" w:hAnsiTheme="minorEastAsia"/>
          <w:b/>
          <w:color w:val="000000" w:themeColor="text1"/>
          <w:szCs w:val="44"/>
          <w14:textFill>
            <w14:solidFill>
              <w14:schemeClr w14:val="tx1"/>
            </w14:solidFill>
          </w14:textFill>
        </w:rPr>
      </w:pPr>
      <w:r>
        <w:rPr>
          <w:rFonts w:hint="eastAsia" w:cs="Times New Roman" w:asciiTheme="minorEastAsia" w:hAnsiTheme="minorEastAsia"/>
          <w:b/>
          <w:color w:val="000000" w:themeColor="text1"/>
          <w:szCs w:val="44"/>
          <w14:textFill>
            <w14:solidFill>
              <w14:schemeClr w14:val="tx1"/>
            </w14:solidFill>
          </w14:textFill>
        </w:rPr>
        <w:t>利息收入构成变动的原因：</w:t>
      </w:r>
    </w:p>
    <w:tbl>
      <w:tblPr>
        <w:tblStyle w:val="46"/>
        <w:tblW w:w="8972" w:type="dxa"/>
        <w:tblInd w:w="-299"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97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972" w:type="dxa"/>
          </w:tcPr>
          <w:p>
            <w:pPr>
              <w:tabs>
                <w:tab w:val="left" w:pos="5140"/>
              </w:tabs>
              <w:ind w:firstLine="420" w:firstLineChars="200"/>
              <w:rPr>
                <w:rFonts w:cs="Times New Roman" w:asciiTheme="minorEastAsia" w:hAnsiTheme="minorEastAsia"/>
                <w:i/>
                <w:color w:val="FF0000"/>
                <w:szCs w:val="44"/>
              </w:rPr>
            </w:pPr>
            <w:r>
              <w:rPr>
                <w:rFonts w:hint="eastAsia" w:cs="Times New Roman" w:asciiTheme="minorEastAsia" w:hAnsiTheme="minorEastAsia"/>
                <w:i/>
                <w:color w:val="FF0000"/>
                <w:szCs w:val="44"/>
              </w:rPr>
              <w:t>注：若利息收入构成发生重大变动，应当详细说明具体变动情况及原因。对与上一年度相比变动达到或超过30%的项目，应充分解释导致变动的原因。基础层公司可免于分析金额占营业收入</w:t>
            </w:r>
            <w:r>
              <w:rPr>
                <w:rFonts w:cs="Times New Roman" w:asciiTheme="minorEastAsia" w:hAnsiTheme="minorEastAsia"/>
                <w:i/>
                <w:color w:val="FF0000"/>
                <w:szCs w:val="44"/>
              </w:rPr>
              <w:t>10%以下的利润表科目。</w:t>
            </w:r>
          </w:p>
        </w:tc>
      </w:tr>
    </w:tbl>
    <w:p>
      <w:pPr>
        <w:tabs>
          <w:tab w:val="left" w:pos="5140"/>
        </w:tabs>
        <w:rPr>
          <w:rFonts w:cs="Times New Roman" w:asciiTheme="minorEastAsia" w:hAnsiTheme="minorEastAsia"/>
          <w:b/>
          <w:color w:val="000000" w:themeColor="text1"/>
          <w:szCs w:val="44"/>
          <w14:textFill>
            <w14:solidFill>
              <w14:schemeClr w14:val="tx1"/>
            </w14:solidFill>
          </w14:textFill>
        </w:rPr>
      </w:pPr>
      <w:r>
        <w:rPr>
          <w:rFonts w:hint="eastAsia" w:cs="Times New Roman" w:asciiTheme="minorEastAsia" w:hAnsiTheme="minorEastAsia"/>
          <w:b/>
          <w:color w:val="000000" w:themeColor="text1"/>
          <w:szCs w:val="44"/>
          <w14:textFill>
            <w14:solidFill>
              <w14:schemeClr w14:val="tx1"/>
            </w14:solidFill>
          </w14:textFill>
        </w:rPr>
        <w:t>生息资产和付息负债的平均余额、利息收入和支出、平均收息率和平均付息率</w:t>
      </w:r>
    </w:p>
    <w:p>
      <w:pPr>
        <w:tabs>
          <w:tab w:val="left" w:pos="5140"/>
        </w:tabs>
        <w:jc w:val="right"/>
        <w:rPr>
          <w:rFonts w:cs="Times New Roman" w:asciiTheme="minorEastAsia" w:hAnsiTheme="minorEastAsia"/>
          <w:color w:val="000000" w:themeColor="text1"/>
          <w:szCs w:val="44"/>
          <w14:textFill>
            <w14:solidFill>
              <w14:schemeClr w14:val="tx1"/>
            </w14:solidFill>
          </w14:textFill>
        </w:rPr>
      </w:pPr>
      <w:r>
        <w:rPr>
          <w:rFonts w:hint="eastAsia" w:cs="Times New Roman" w:asciiTheme="minorEastAsia" w:hAnsiTheme="minorEastAsia"/>
          <w:color w:val="000000" w:themeColor="text1"/>
          <w:szCs w:val="44"/>
          <w14:textFill>
            <w14:solidFill>
              <w14:schemeClr w14:val="tx1"/>
            </w14:solidFill>
          </w14:textFill>
        </w:rPr>
        <w:t>单位</w:t>
      </w:r>
      <w:r>
        <w:rPr>
          <w:rFonts w:cs="Times New Roman" w:asciiTheme="minorEastAsia" w:hAnsiTheme="minorEastAsia"/>
          <w:color w:val="000000" w:themeColor="text1"/>
          <w:szCs w:val="44"/>
          <w14:textFill>
            <w14:solidFill>
              <w14:schemeClr w14:val="tx1"/>
            </w14:solidFill>
          </w14:textFill>
        </w:rPr>
        <w:t>：元</w:t>
      </w:r>
    </w:p>
    <w:tbl>
      <w:tblPr>
        <w:tblStyle w:val="46"/>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40"/>
        <w:gridCol w:w="1730"/>
        <w:gridCol w:w="992"/>
        <w:gridCol w:w="1134"/>
        <w:gridCol w:w="1559"/>
        <w:gridCol w:w="992"/>
        <w:gridCol w:w="11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vMerge w:val="restart"/>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856" w:type="dxa"/>
            <w:gridSpan w:val="3"/>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3685" w:type="dxa"/>
            <w:gridSpan w:val="3"/>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vMerge w:val="continue"/>
            <w:shd w:val="clear" w:color="auto" w:fill="E7E6E6" w:themeFill="background2"/>
          </w:tcPr>
          <w:p>
            <w:pPr>
              <w:tabs>
                <w:tab w:val="left" w:pos="5140"/>
              </w:tabs>
              <w:jc w:val="center"/>
              <w:rPr>
                <w:rFonts w:ascii="宋体" w:hAnsi="宋体" w:eastAsia="宋体" w:cs="Times New Roman"/>
                <w:b/>
                <w:color w:val="000000"/>
                <w:sz w:val="22"/>
              </w:rPr>
            </w:pPr>
          </w:p>
        </w:tc>
        <w:tc>
          <w:tcPr>
            <w:tcW w:w="1730"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平均余额</w:t>
            </w:r>
          </w:p>
        </w:tc>
        <w:tc>
          <w:tcPr>
            <w:tcW w:w="992"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利息</w:t>
            </w:r>
          </w:p>
        </w:tc>
        <w:tc>
          <w:tcPr>
            <w:tcW w:w="1134"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平均收益率╱成本率（</w:t>
            </w:r>
            <w:r>
              <w:rPr>
                <w:rFonts w:ascii="宋体" w:hAnsi="宋体" w:eastAsia="宋体" w:cs="Times New Roman"/>
                <w:b/>
                <w:color w:val="000000"/>
                <w:sz w:val="22"/>
              </w:rPr>
              <w:t>%）</w:t>
            </w:r>
          </w:p>
        </w:tc>
        <w:tc>
          <w:tcPr>
            <w:tcW w:w="1559"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平均余额</w:t>
            </w:r>
          </w:p>
        </w:tc>
        <w:tc>
          <w:tcPr>
            <w:tcW w:w="992"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利息</w:t>
            </w:r>
          </w:p>
        </w:tc>
        <w:tc>
          <w:tcPr>
            <w:tcW w:w="1134" w:type="dxa"/>
            <w:shd w:val="clear" w:color="auto" w:fill="E7E6E6" w:themeFill="background2"/>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平均收益率╱成本率（</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gridSpan w:val="7"/>
            <w:shd w:val="clear" w:color="auto" w:fill="auto"/>
          </w:tcPr>
          <w:p>
            <w:pPr>
              <w:jc w:val="left"/>
              <w:rPr>
                <w:rFonts w:ascii="Calibri" w:hAnsi="Calibri" w:eastAsia="宋体" w:cs="Times New Roman"/>
                <w:b/>
                <w:color w:val="000000"/>
                <w:sz w:val="22"/>
              </w:rPr>
            </w:pPr>
            <w:r>
              <w:rPr>
                <w:rFonts w:hint="eastAsia" w:ascii="Calibri" w:hAnsi="Calibri" w:eastAsia="宋体" w:cs="Times New Roman"/>
                <w:b/>
                <w:color w:val="000000"/>
                <w:sz w:val="22"/>
              </w:rPr>
              <w:t>生息资产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40" w:type="dxa"/>
            <w:shd w:val="clear" w:color="auto" w:fill="auto"/>
          </w:tcPr>
          <w:p>
            <w:pPr>
              <w:tabs>
                <w:tab w:val="left" w:pos="5140"/>
              </w:tabs>
              <w:rPr>
                <w:rFonts w:ascii="Calibri" w:hAnsi="Calibri" w:eastAsia="宋体" w:cs="Times New Roman"/>
                <w:color w:val="000000"/>
                <w:sz w:val="22"/>
              </w:rPr>
            </w:pPr>
          </w:p>
        </w:tc>
        <w:tc>
          <w:tcPr>
            <w:tcW w:w="1730" w:type="dxa"/>
            <w:shd w:val="clear" w:color="auto" w:fill="auto"/>
          </w:tcPr>
          <w:p>
            <w:pPr>
              <w:tabs>
                <w:tab w:val="left" w:pos="5140"/>
              </w:tabs>
              <w:jc w:val="right"/>
              <w:rPr>
                <w:rFonts w:ascii="Calibri" w:hAnsi="Calibri" w:eastAsia="宋体" w:cs="Times New Roman"/>
                <w:color w:val="000000"/>
                <w:sz w:val="22"/>
              </w:rPr>
            </w:pPr>
          </w:p>
        </w:tc>
        <w:tc>
          <w:tcPr>
            <w:tcW w:w="992" w:type="dxa"/>
          </w:tcPr>
          <w:p>
            <w:pPr>
              <w:jc w:val="right"/>
              <w:rPr>
                <w:rFonts w:ascii="Calibri" w:hAnsi="Calibri" w:eastAsia="宋体" w:cs="Times New Roman"/>
                <w:color w:val="000000"/>
                <w:sz w:val="22"/>
              </w:rPr>
            </w:pPr>
          </w:p>
        </w:tc>
        <w:tc>
          <w:tcPr>
            <w:tcW w:w="1134" w:type="dxa"/>
            <w:shd w:val="clear" w:color="auto" w:fill="auto"/>
          </w:tcPr>
          <w:p>
            <w:pPr>
              <w:jc w:val="right"/>
              <w:rPr>
                <w:rFonts w:ascii="Calibri" w:hAnsi="Calibri" w:eastAsia="宋体" w:cs="Times New Roman"/>
                <w:color w:val="000000"/>
                <w:sz w:val="22"/>
              </w:rPr>
            </w:pPr>
          </w:p>
        </w:tc>
        <w:tc>
          <w:tcPr>
            <w:tcW w:w="1559" w:type="dxa"/>
            <w:shd w:val="clear" w:color="auto" w:fill="auto"/>
          </w:tcPr>
          <w:p>
            <w:pPr>
              <w:tabs>
                <w:tab w:val="left" w:pos="5140"/>
              </w:tabs>
              <w:jc w:val="right"/>
              <w:rPr>
                <w:rFonts w:ascii="Calibri" w:hAnsi="Calibri" w:eastAsia="宋体" w:cs="Times New Roman"/>
                <w:color w:val="000000"/>
                <w:sz w:val="22"/>
              </w:rPr>
            </w:pPr>
          </w:p>
        </w:tc>
        <w:tc>
          <w:tcPr>
            <w:tcW w:w="992" w:type="dxa"/>
          </w:tcPr>
          <w:p>
            <w:pPr>
              <w:jc w:val="right"/>
              <w:rPr>
                <w:rFonts w:ascii="Calibri" w:hAnsi="Calibri" w:eastAsia="宋体" w:cs="Times New Roman"/>
                <w:color w:val="000000"/>
                <w:sz w:val="22"/>
              </w:rPr>
            </w:pPr>
          </w:p>
        </w:tc>
        <w:tc>
          <w:tcPr>
            <w:tcW w:w="1134" w:type="dxa"/>
            <w:shd w:val="clear" w:color="auto" w:fill="auto"/>
          </w:tcPr>
          <w:p>
            <w:pPr>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shd w:val="clear" w:color="auto" w:fill="auto"/>
          </w:tcPr>
          <w:p>
            <w:pPr>
              <w:tabs>
                <w:tab w:val="left" w:pos="5140"/>
              </w:tabs>
              <w:rPr>
                <w:rFonts w:ascii="Calibri" w:hAnsi="Calibri" w:eastAsia="宋体" w:cs="Times New Roman"/>
                <w:color w:val="000000"/>
                <w:sz w:val="22"/>
              </w:rPr>
            </w:pPr>
            <w:r>
              <w:rPr>
                <w:rFonts w:hint="eastAsia" w:ascii="Calibri" w:hAnsi="Calibri" w:eastAsia="宋体" w:cs="Times New Roman"/>
                <w:color w:val="000000"/>
                <w:sz w:val="22"/>
              </w:rPr>
              <w:t>（自动添加）</w:t>
            </w:r>
          </w:p>
        </w:tc>
        <w:tc>
          <w:tcPr>
            <w:tcW w:w="1730" w:type="dxa"/>
            <w:shd w:val="clear" w:color="auto" w:fill="auto"/>
          </w:tcPr>
          <w:p>
            <w:pPr>
              <w:tabs>
                <w:tab w:val="left" w:pos="5140"/>
              </w:tabs>
              <w:jc w:val="right"/>
              <w:rPr>
                <w:rFonts w:ascii="Calibri" w:hAnsi="Calibri" w:eastAsia="宋体" w:cs="Times New Roman"/>
                <w:color w:val="000000"/>
                <w:sz w:val="22"/>
              </w:rPr>
            </w:pPr>
          </w:p>
        </w:tc>
        <w:tc>
          <w:tcPr>
            <w:tcW w:w="992" w:type="dxa"/>
          </w:tcPr>
          <w:p>
            <w:pPr>
              <w:jc w:val="right"/>
              <w:rPr>
                <w:rFonts w:ascii="Calibri" w:hAnsi="Calibri" w:eastAsia="宋体" w:cs="Times New Roman"/>
                <w:color w:val="000000"/>
                <w:sz w:val="22"/>
              </w:rPr>
            </w:pPr>
          </w:p>
        </w:tc>
        <w:tc>
          <w:tcPr>
            <w:tcW w:w="1134" w:type="dxa"/>
            <w:shd w:val="clear" w:color="auto" w:fill="auto"/>
          </w:tcPr>
          <w:p>
            <w:pPr>
              <w:jc w:val="right"/>
              <w:rPr>
                <w:rFonts w:ascii="Calibri" w:hAnsi="Calibri" w:eastAsia="宋体" w:cs="Times New Roman"/>
                <w:color w:val="000000"/>
                <w:sz w:val="22"/>
              </w:rPr>
            </w:pPr>
          </w:p>
        </w:tc>
        <w:tc>
          <w:tcPr>
            <w:tcW w:w="1559" w:type="dxa"/>
            <w:shd w:val="clear" w:color="auto" w:fill="auto"/>
          </w:tcPr>
          <w:p>
            <w:pPr>
              <w:tabs>
                <w:tab w:val="left" w:pos="5140"/>
              </w:tabs>
              <w:jc w:val="right"/>
              <w:rPr>
                <w:rFonts w:ascii="Calibri" w:hAnsi="Calibri" w:eastAsia="宋体" w:cs="Times New Roman"/>
                <w:color w:val="000000"/>
                <w:sz w:val="22"/>
              </w:rPr>
            </w:pPr>
          </w:p>
        </w:tc>
        <w:tc>
          <w:tcPr>
            <w:tcW w:w="992" w:type="dxa"/>
          </w:tcPr>
          <w:p>
            <w:pPr>
              <w:jc w:val="right"/>
              <w:rPr>
                <w:rFonts w:ascii="Calibri" w:hAnsi="Calibri" w:eastAsia="宋体" w:cs="Times New Roman"/>
                <w:color w:val="000000"/>
                <w:sz w:val="22"/>
              </w:rPr>
            </w:pPr>
          </w:p>
        </w:tc>
        <w:tc>
          <w:tcPr>
            <w:tcW w:w="1134" w:type="dxa"/>
            <w:shd w:val="clear" w:color="auto" w:fill="auto"/>
          </w:tcPr>
          <w:p>
            <w:pPr>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shd w:val="clear" w:color="auto" w:fill="auto"/>
          </w:tcPr>
          <w:p>
            <w:pPr>
              <w:tabs>
                <w:tab w:val="left" w:pos="5140"/>
              </w:tabs>
              <w:rPr>
                <w:rFonts w:ascii="Calibri" w:hAnsi="Calibri" w:eastAsia="宋体" w:cs="Times New Roman"/>
                <w:color w:val="000000"/>
                <w:sz w:val="22"/>
              </w:rPr>
            </w:pPr>
            <w:r>
              <w:rPr>
                <w:rFonts w:hint="eastAsia" w:ascii="Calibri" w:hAnsi="Calibri" w:eastAsia="宋体" w:cs="Times New Roman"/>
                <w:color w:val="000000"/>
                <w:sz w:val="22"/>
              </w:rPr>
              <w:t>小计</w:t>
            </w:r>
          </w:p>
        </w:tc>
        <w:tc>
          <w:tcPr>
            <w:tcW w:w="1730"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c>
          <w:tcPr>
            <w:tcW w:w="1559"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gridSpan w:val="7"/>
            <w:shd w:val="clear" w:color="auto" w:fill="auto"/>
          </w:tcPr>
          <w:p>
            <w:pPr>
              <w:jc w:val="left"/>
              <w:rPr>
                <w:rFonts w:ascii="Calibri" w:hAnsi="Calibri" w:eastAsia="宋体" w:cs="Times New Roman"/>
                <w:b/>
                <w:color w:val="000000"/>
                <w:sz w:val="22"/>
              </w:rPr>
            </w:pPr>
            <w:r>
              <w:rPr>
                <w:rFonts w:hint="eastAsia" w:ascii="Calibri" w:hAnsi="Calibri" w:eastAsia="宋体" w:cs="Times New Roman"/>
                <w:b/>
                <w:color w:val="000000"/>
                <w:sz w:val="22"/>
              </w:rPr>
              <w:t>付息负债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40" w:type="dxa"/>
            <w:shd w:val="clear" w:color="auto" w:fill="auto"/>
          </w:tcPr>
          <w:p>
            <w:pPr>
              <w:tabs>
                <w:tab w:val="left" w:pos="5140"/>
              </w:tabs>
              <w:rPr>
                <w:rFonts w:ascii="Calibri" w:hAnsi="Calibri" w:eastAsia="宋体" w:cs="Times New Roman"/>
                <w:color w:val="000000"/>
                <w:sz w:val="22"/>
              </w:rPr>
            </w:pPr>
          </w:p>
        </w:tc>
        <w:tc>
          <w:tcPr>
            <w:tcW w:w="1730"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c>
          <w:tcPr>
            <w:tcW w:w="1559"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shd w:val="clear" w:color="auto" w:fill="auto"/>
          </w:tcPr>
          <w:p>
            <w:pPr>
              <w:tabs>
                <w:tab w:val="left" w:pos="5140"/>
              </w:tabs>
              <w:rPr>
                <w:rFonts w:ascii="Calibri" w:hAnsi="Calibri" w:eastAsia="宋体" w:cs="Times New Roman"/>
                <w:color w:val="000000"/>
                <w:sz w:val="22"/>
              </w:rPr>
            </w:pPr>
            <w:r>
              <w:rPr>
                <w:rFonts w:hint="eastAsia" w:ascii="Calibri" w:hAnsi="Calibri" w:eastAsia="宋体" w:cs="Times New Roman"/>
                <w:color w:val="000000"/>
                <w:sz w:val="22"/>
              </w:rPr>
              <w:t>（自动添加）</w:t>
            </w:r>
          </w:p>
        </w:tc>
        <w:tc>
          <w:tcPr>
            <w:tcW w:w="1730"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c>
          <w:tcPr>
            <w:tcW w:w="1559"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shd w:val="clear" w:color="auto" w:fill="auto"/>
          </w:tcPr>
          <w:p>
            <w:pPr>
              <w:tabs>
                <w:tab w:val="left" w:pos="5140"/>
              </w:tabs>
              <w:rPr>
                <w:rFonts w:ascii="Calibri" w:hAnsi="Calibri" w:eastAsia="宋体" w:cs="Times New Roman"/>
                <w:color w:val="000000"/>
                <w:sz w:val="22"/>
              </w:rPr>
            </w:pPr>
            <w:r>
              <w:rPr>
                <w:rFonts w:hint="eastAsia" w:ascii="Calibri" w:hAnsi="Calibri" w:eastAsia="宋体" w:cs="Times New Roman"/>
                <w:color w:val="000000"/>
                <w:sz w:val="22"/>
              </w:rPr>
              <w:t>小计</w:t>
            </w:r>
          </w:p>
        </w:tc>
        <w:tc>
          <w:tcPr>
            <w:tcW w:w="1730"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c>
          <w:tcPr>
            <w:tcW w:w="1559" w:type="dxa"/>
            <w:shd w:val="clear" w:color="auto" w:fill="auto"/>
          </w:tcPr>
          <w:p>
            <w:pPr>
              <w:tabs>
                <w:tab w:val="left" w:pos="5140"/>
              </w:tabs>
              <w:jc w:val="right"/>
              <w:rPr>
                <w:rFonts w:ascii="Calibri" w:hAnsi="Calibri" w:eastAsia="宋体" w:cs="Times New Roman"/>
                <w:b/>
                <w:color w:val="000000"/>
                <w:sz w:val="22"/>
              </w:rPr>
            </w:pP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40" w:type="dxa"/>
            <w:shd w:val="clear" w:color="auto" w:fill="auto"/>
          </w:tcPr>
          <w:p>
            <w:pPr>
              <w:tabs>
                <w:tab w:val="left" w:pos="5140"/>
              </w:tabs>
              <w:rPr>
                <w:rFonts w:ascii="Calibri" w:hAnsi="Calibri" w:eastAsia="宋体" w:cs="Times New Roman"/>
                <w:b/>
                <w:color w:val="000000"/>
                <w:sz w:val="22"/>
              </w:rPr>
            </w:pPr>
            <w:r>
              <w:rPr>
                <w:rFonts w:hint="eastAsia" w:ascii="Calibri" w:hAnsi="Calibri" w:eastAsia="宋体" w:cs="Times New Roman"/>
                <w:b/>
                <w:color w:val="000000"/>
                <w:sz w:val="22"/>
              </w:rPr>
              <w:t>利息净收入</w:t>
            </w:r>
          </w:p>
        </w:tc>
        <w:tc>
          <w:tcPr>
            <w:tcW w:w="1730" w:type="dxa"/>
            <w:shd w:val="clear" w:color="auto" w:fill="auto"/>
          </w:tcPr>
          <w:p>
            <w:pPr>
              <w:tabs>
                <w:tab w:val="left" w:pos="5140"/>
              </w:tabs>
              <w:jc w:val="right"/>
              <w:rPr>
                <w:rFonts w:ascii="Calibri" w:hAnsi="Calibri" w:eastAsia="宋体" w:cs="Times New Roman"/>
                <w:b/>
                <w:color w:val="000000"/>
                <w:sz w:val="22"/>
              </w:rPr>
            </w:pPr>
            <w:r>
              <w:rPr>
                <w:rFonts w:hint="eastAsia" w:ascii="Calibri" w:hAnsi="Calibri" w:eastAsia="宋体" w:cs="Times New Roman"/>
                <w:b/>
                <w:color w:val="000000"/>
                <w:sz w:val="22"/>
              </w:rPr>
              <w:t>-</w:t>
            </w: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r>
              <w:rPr>
                <w:rFonts w:hint="eastAsia" w:ascii="Calibri" w:hAnsi="Calibri" w:eastAsia="宋体" w:cs="Times New Roman"/>
                <w:b/>
                <w:color w:val="000000"/>
                <w:sz w:val="22"/>
              </w:rPr>
              <w:t>-</w:t>
            </w:r>
          </w:p>
        </w:tc>
        <w:tc>
          <w:tcPr>
            <w:tcW w:w="1559" w:type="dxa"/>
            <w:shd w:val="clear" w:color="auto" w:fill="auto"/>
          </w:tcPr>
          <w:p>
            <w:pPr>
              <w:tabs>
                <w:tab w:val="left" w:pos="5140"/>
              </w:tabs>
              <w:jc w:val="right"/>
              <w:rPr>
                <w:rFonts w:ascii="Calibri" w:hAnsi="Calibri" w:eastAsia="宋体" w:cs="Times New Roman"/>
                <w:b/>
                <w:color w:val="000000"/>
                <w:sz w:val="22"/>
              </w:rPr>
            </w:pPr>
            <w:r>
              <w:rPr>
                <w:rFonts w:hint="eastAsia" w:ascii="Calibri" w:hAnsi="Calibri" w:eastAsia="宋体" w:cs="Times New Roman"/>
                <w:b/>
                <w:color w:val="000000"/>
                <w:sz w:val="22"/>
              </w:rPr>
              <w:t>-</w:t>
            </w:r>
          </w:p>
        </w:tc>
        <w:tc>
          <w:tcPr>
            <w:tcW w:w="992" w:type="dxa"/>
          </w:tcPr>
          <w:p>
            <w:pPr>
              <w:jc w:val="right"/>
              <w:rPr>
                <w:rFonts w:ascii="Calibri" w:hAnsi="Calibri" w:eastAsia="宋体" w:cs="Times New Roman"/>
                <w:b/>
                <w:color w:val="000000"/>
                <w:sz w:val="22"/>
              </w:rPr>
            </w:pPr>
          </w:p>
        </w:tc>
        <w:tc>
          <w:tcPr>
            <w:tcW w:w="1134" w:type="dxa"/>
            <w:shd w:val="clear" w:color="auto" w:fill="auto"/>
          </w:tcPr>
          <w:p>
            <w:pPr>
              <w:jc w:val="right"/>
              <w:rPr>
                <w:rFonts w:ascii="Calibri" w:hAnsi="Calibri" w:eastAsia="宋体" w:cs="Times New Roman"/>
                <w:b/>
                <w:color w:val="000000"/>
                <w:sz w:val="22"/>
              </w:rPr>
            </w:pPr>
            <w:r>
              <w:rPr>
                <w:rFonts w:hint="eastAsia" w:ascii="Calibri" w:hAnsi="Calibri" w:eastAsia="宋体" w:cs="Times New Roman"/>
                <w:b/>
                <w:color w:val="000000"/>
                <w:sz w:val="22"/>
              </w:rPr>
              <w:t>-</w:t>
            </w:r>
          </w:p>
        </w:tc>
      </w:tr>
    </w:tbl>
    <w:p>
      <w:pPr>
        <w:tabs>
          <w:tab w:val="left" w:pos="5140"/>
        </w:tabs>
        <w:rPr>
          <w:rFonts w:cs="Times New Roman" w:asciiTheme="minorEastAsia" w:hAnsiTheme="minorEastAsia"/>
          <w:b/>
          <w:color w:val="000000" w:themeColor="text1"/>
          <w:szCs w:val="44"/>
          <w14:textFill>
            <w14:solidFill>
              <w14:schemeClr w14:val="tx1"/>
            </w14:solidFill>
          </w14:textFill>
        </w:rPr>
      </w:pPr>
      <w:r>
        <w:rPr>
          <w:rFonts w:hint="eastAsia" w:cs="Times New Roman" w:asciiTheme="minorEastAsia" w:hAnsiTheme="minorEastAsia"/>
          <w:b/>
          <w:color w:val="000000" w:themeColor="text1"/>
          <w:szCs w:val="44"/>
          <w14:textFill>
            <w14:solidFill>
              <w14:schemeClr w14:val="tx1"/>
            </w14:solidFill>
          </w14:textFill>
        </w:rPr>
        <w:t>利息净收入构成变动的原因：</w:t>
      </w:r>
    </w:p>
    <w:tbl>
      <w:tblPr>
        <w:tblStyle w:val="47"/>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cs="Times New Roman" w:asciiTheme="minorEastAsia" w:hAnsiTheme="minorEastAsia"/>
                <w:color w:val="000000" w:themeColor="text1"/>
                <w:szCs w:val="44"/>
                <w14:textFill>
                  <w14:solidFill>
                    <w14:schemeClr w14:val="tx1"/>
                  </w14:solidFill>
                </w14:textFill>
              </w:rPr>
            </w:pPr>
            <w:r>
              <w:rPr>
                <w:rFonts w:hint="eastAsia" w:cs="Times New Roman" w:asciiTheme="minorEastAsia" w:hAnsiTheme="minorEastAsia"/>
                <w:i/>
                <w:color w:val="FF0000"/>
                <w:szCs w:val="44"/>
              </w:rPr>
              <w:t>注：对于上述分类列示项目的重大变动（达到或超过</w:t>
            </w:r>
            <w:r>
              <w:rPr>
                <w:rFonts w:cs="Times New Roman" w:asciiTheme="minorEastAsia" w:hAnsiTheme="minorEastAsia"/>
                <w:i/>
                <w:color w:val="FF0000"/>
                <w:szCs w:val="44"/>
              </w:rPr>
              <w:t>1</w:t>
            </w:r>
            <w:r>
              <w:rPr>
                <w:rFonts w:hint="eastAsia" w:cs="Times New Roman" w:asciiTheme="minorEastAsia" w:hAnsiTheme="minorEastAsia"/>
                <w:i/>
                <w:color w:val="FF0000"/>
                <w:szCs w:val="44"/>
              </w:rPr>
              <w:t>0%），应充分解释导致变动的原因。</w:t>
            </w: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rPr>
          <w:rFonts w:cs="Times New Roman" w:asciiTheme="minorEastAsia" w:hAnsiTheme="minorEastAsia"/>
          <w:i/>
          <w:color w:val="FF0000"/>
          <w:szCs w:val="44"/>
        </w:rPr>
      </w:pPr>
      <w:r>
        <w:rPr>
          <w:rFonts w:hint="eastAsia" w:cs="Times New Roman" w:asciiTheme="minorEastAsia" w:hAnsiTheme="minorEastAsia"/>
          <w:b/>
          <w:color w:val="000000" w:themeColor="text1"/>
          <w:szCs w:val="44"/>
          <w14:textFill>
            <w14:solidFill>
              <w14:schemeClr w14:val="tx1"/>
            </w14:solidFill>
          </w14:textFill>
        </w:rPr>
        <w:t>3、业务及</w:t>
      </w:r>
      <w:r>
        <w:rPr>
          <w:rFonts w:cs="Times New Roman" w:asciiTheme="minorEastAsia" w:hAnsiTheme="minorEastAsia"/>
          <w:b/>
          <w:color w:val="000000" w:themeColor="text1"/>
          <w:szCs w:val="44"/>
          <w14:textFill>
            <w14:solidFill>
              <w14:schemeClr w14:val="tx1"/>
            </w14:solidFill>
          </w14:textFill>
        </w:rPr>
        <w:t>管理费</w:t>
      </w:r>
      <w:r>
        <w:rPr>
          <w:rFonts w:hint="eastAsia" w:cs="Times New Roman" w:asciiTheme="minorEastAsia" w:hAnsiTheme="minorEastAsia"/>
          <w:b/>
          <w:color w:val="000000" w:themeColor="text1"/>
          <w:szCs w:val="44"/>
          <w14:textFill>
            <w14:solidFill>
              <w14:schemeClr w14:val="tx1"/>
            </w14:solidFill>
          </w14:textFill>
        </w:rPr>
        <w:t>构成</w:t>
      </w:r>
    </w:p>
    <w:tbl>
      <w:tblPr>
        <w:tblStyle w:val="47"/>
        <w:tblW w:w="978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403"/>
        <w:gridCol w:w="3402"/>
        <w:gridCol w:w="29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40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97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w:t>
            </w:r>
            <w:r>
              <w:rPr>
                <w:rFonts w:ascii="宋体" w:hAnsi="宋体" w:eastAsia="宋体" w:cs="Times New Roman"/>
                <w:b/>
                <w:color w:val="000000"/>
                <w:sz w:val="22"/>
              </w:rPr>
              <w:t>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97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97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97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cs="Times New Roman" w:asciiTheme="minorEastAsia" w:hAnsiTheme="minorEastAsia"/>
                <w:color w:val="000000" w:themeColor="text1"/>
                <w:sz w:val="22"/>
                <w14:textFill>
                  <w14:solidFill>
                    <w14:schemeClr w14:val="tx1"/>
                  </w14:solidFill>
                </w14:textFill>
              </w:rPr>
              <w:t xml:space="preserve">     （自动添行）</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97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合计</w:t>
            </w:r>
          </w:p>
        </w:tc>
        <w:tc>
          <w:tcPr>
            <w:tcW w:w="3402"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975"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bl>
    <w:p>
      <w:pPr>
        <w:tabs>
          <w:tab w:val="left" w:pos="5140"/>
        </w:tabs>
        <w:rPr>
          <w:rFonts w:cs="Times New Roman" w:asciiTheme="minorEastAsia" w:hAnsiTheme="minorEastAsia"/>
          <w:b/>
          <w:color w:val="000000" w:themeColor="text1"/>
          <w:szCs w:val="44"/>
          <w14:textFill>
            <w14:solidFill>
              <w14:schemeClr w14:val="tx1"/>
            </w14:solidFill>
          </w14:textFill>
        </w:rPr>
      </w:pPr>
      <w:r>
        <w:rPr>
          <w:rFonts w:hint="eastAsia" w:cs="Times New Roman" w:asciiTheme="minorEastAsia" w:hAnsiTheme="minorEastAsia"/>
          <w:b/>
          <w:color w:val="000000" w:themeColor="text1"/>
          <w:szCs w:val="44"/>
          <w14:textFill>
            <w14:solidFill>
              <w14:schemeClr w14:val="tx1"/>
            </w14:solidFill>
          </w14:textFill>
        </w:rPr>
        <w:t>业务及</w:t>
      </w:r>
      <w:r>
        <w:rPr>
          <w:rFonts w:cs="Times New Roman" w:asciiTheme="minorEastAsia" w:hAnsiTheme="minorEastAsia"/>
          <w:b/>
          <w:color w:val="000000" w:themeColor="text1"/>
          <w:szCs w:val="44"/>
          <w14:textFill>
            <w14:solidFill>
              <w14:schemeClr w14:val="tx1"/>
            </w14:solidFill>
          </w14:textFill>
        </w:rPr>
        <w:t>管理费</w:t>
      </w:r>
      <w:r>
        <w:rPr>
          <w:rFonts w:hint="eastAsia" w:cs="Times New Roman" w:asciiTheme="minorEastAsia" w:hAnsiTheme="minorEastAsia"/>
          <w:b/>
          <w:color w:val="000000" w:themeColor="text1"/>
          <w:szCs w:val="44"/>
          <w14:textFill>
            <w14:solidFill>
              <w14:schemeClr w14:val="tx1"/>
            </w14:solidFill>
          </w14:textFill>
        </w:rPr>
        <w:t>构成变动的原因：</w:t>
      </w:r>
    </w:p>
    <w:tbl>
      <w:tblPr>
        <w:tblStyle w:val="47"/>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cs="Times New Roman" w:asciiTheme="minorEastAsia" w:hAnsiTheme="minorEastAsia"/>
                <w:i/>
                <w:color w:val="FF0000"/>
                <w:szCs w:val="44"/>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 xml:space="preserve"> </w:t>
            </w:r>
            <w:r>
              <w:rPr>
                <w:rFonts w:hint="eastAsia" w:cs="Times New Roman" w:asciiTheme="minorEastAsia" w:hAnsiTheme="minorEastAsia"/>
                <w:i/>
                <w:color w:val="FF0000"/>
                <w:szCs w:val="44"/>
              </w:rPr>
              <w:t>对于上述分类列示项目的重大变动（达到或超过</w:t>
            </w:r>
            <w:r>
              <w:rPr>
                <w:rFonts w:cs="Times New Roman" w:asciiTheme="minorEastAsia" w:hAnsiTheme="minorEastAsia"/>
                <w:i/>
                <w:color w:val="FF0000"/>
                <w:szCs w:val="44"/>
              </w:rPr>
              <w:t>1</w:t>
            </w:r>
            <w:r>
              <w:rPr>
                <w:rFonts w:hint="eastAsia" w:cs="Times New Roman" w:asciiTheme="minorEastAsia" w:hAnsiTheme="minorEastAsia"/>
                <w:i/>
                <w:color w:val="FF0000"/>
                <w:szCs w:val="44"/>
              </w:rPr>
              <w:t>0%），应充分解释导致变动的原因。</w:t>
            </w: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6"/>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2"/>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6"/>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rPr>
          <w:rFonts w:ascii="Calibri" w:hAnsi="Calibri" w:eastAsia="宋体" w:cs="Times New Roman"/>
          <w:b/>
        </w:rPr>
      </w:pPr>
      <w:r>
        <w:rPr>
          <w:rFonts w:hint="eastAsia" w:ascii="Calibri" w:hAnsi="Calibri" w:eastAsia="宋体" w:cs="Times New Roman"/>
          <w:b/>
        </w:rPr>
        <w:t>报告期内取得和处置子公司的情况</w:t>
      </w:r>
      <w:r>
        <w:rPr>
          <w:rFonts w:hint="eastAsia" w:ascii="Calibri" w:hAnsi="Calibri" w:eastAsia="宋体" w:cs="Times New Roman"/>
          <w:b/>
          <w:color w:val="FF0000"/>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3348"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报告期内取得和处置子公司方式</w:t>
            </w:r>
          </w:p>
        </w:tc>
        <w:tc>
          <w:tcPr>
            <w:tcW w:w="3261"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对整体生产经营和业绩的影响</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3"/>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5"/>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（五）持有金融债券情况</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cs="Times New Roman" w:asciiTheme="minorEastAsia" w:hAnsiTheme="minorEastAsia"/>
                <w:color w:val="000000" w:themeColor="text1"/>
                <w:szCs w:val="44"/>
                <w14:textFill>
                  <w14:solidFill>
                    <w14:schemeClr w14:val="tx1"/>
                  </w14:solidFill>
                </w14:textFill>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说明报告期内持有的金融债券的类别和金额，面值最大的十只金融债券的面值、年利率及到期日，计提减值准备情况。</w:t>
            </w:r>
            <w:r>
              <w:rPr>
                <w:rFonts w:ascii="Calibri" w:hAnsi="Calibri" w:eastAsia="宋体" w:cs="Times New Roman"/>
                <w:color w:val="FF0000"/>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（六）其他金融资产情况</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cs="Times New Roman" w:asciiTheme="minorEastAsia" w:hAnsiTheme="minorEastAsia"/>
                <w:color w:val="000000" w:themeColor="text1"/>
                <w:szCs w:val="44"/>
                <w14:textFill>
                  <w14:solidFill>
                    <w14:schemeClr w14:val="tx1"/>
                  </w14:solidFill>
                </w14:textFill>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披露报告期理财业务、资产证券化、托管、信托、财富管理等业务的开展和损益情况，包括但不限于披露为开展该业务而设立的载体的性质、目的、融资方式以及是否将该载体纳入合并范围的判断原则，并区分是否纳入合并财务报表的合并范围和业务类型，披露所涉及业务的规模。对于未纳入合并范围的载体，还应披露在该载体中权益的最大损失敞口及其确定方法。</w:t>
            </w:r>
          </w:p>
        </w:tc>
      </w:tr>
    </w:tbl>
    <w:p>
      <w:pPr>
        <w:keepNext/>
        <w:keepLines/>
        <w:spacing w:before="100" w:after="100"/>
        <w:outlineLvl w:val="1"/>
        <w:rPr>
          <w:rFonts w:ascii="Calibri" w:hAnsi="Calibri" w:eastAsia="宋体" w:cs="Times New Roman"/>
          <w:b/>
          <w:color w:val="000000"/>
          <w:szCs w:val="21"/>
        </w:rPr>
      </w:pPr>
      <w:r>
        <w:rPr>
          <w:rFonts w:hint="eastAsia" w:ascii="微软雅黑" w:hAnsi="微软雅黑" w:eastAsia="微软雅黑" w:cs="Times New Roman"/>
          <w:b/>
          <w:bCs/>
          <w:sz w:val="22"/>
        </w:rPr>
        <w:t>五、研发情况</w:t>
      </w:r>
      <w:r>
        <w:rPr>
          <w:rFonts w:hint="eastAsia" w:ascii="微软雅黑" w:hAnsi="微软雅黑" w:eastAsia="微软雅黑" w:cs="Times New Roman"/>
          <w:b/>
          <w:bCs/>
          <w:color w:val="FF0000"/>
          <w:sz w:val="22"/>
        </w:rPr>
        <w:t>（创新层公司适用）</w:t>
      </w:r>
    </w:p>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（一）研发支出情况</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23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项目</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本期金额/比例</w:t>
            </w:r>
          </w:p>
        </w:tc>
        <w:tc>
          <w:tcPr>
            <w:tcW w:w="297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上期金额/比例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vAlign w:val="center"/>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研发支出金额</w:t>
            </w:r>
          </w:p>
        </w:tc>
        <w:tc>
          <w:tcPr>
            <w:tcW w:w="2976"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研发支出占营业收入的比例%</w:t>
            </w:r>
          </w:p>
        </w:tc>
        <w:tc>
          <w:tcPr>
            <w:tcW w:w="2976"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研发支出中资本化的比例%</w:t>
            </w:r>
          </w:p>
        </w:tc>
        <w:tc>
          <w:tcPr>
            <w:tcW w:w="2976"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（二）研发人员情况</w:t>
      </w:r>
    </w:p>
    <w:tbl>
      <w:tblPr>
        <w:tblStyle w:val="23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2976"/>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教育程度</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期初人数</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博士</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硕士</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本科以下</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研发人员合计</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Borders>
              <w:top w:val="single" w:color="5B9BD5" w:sz="4" w:space="0"/>
              <w:left w:val="single" w:color="5B9BD5" w:sz="4" w:space="0"/>
              <w:bottom w:val="single" w:color="5B9BD5" w:sz="4" w:space="0"/>
              <w:right w:val="single" w:color="5B9BD5" w:sz="4" w:space="0"/>
            </w:tcBorders>
          </w:tcPr>
          <w:p>
            <w:pPr>
              <w:tabs>
                <w:tab w:val="left" w:pos="5140"/>
              </w:tabs>
              <w:jc w:val="center"/>
              <w:rPr>
                <w:rFonts w:hint="eastAsia" w:asciiTheme="minorEastAsia" w:hAnsiTheme="minorEastAsia" w:eastAsiaTheme="minorEastAsia" w:cstheme="minorEastAsia"/>
                <w:color w:val="000000"/>
                <w:kern w:val="0"/>
                <w:sz w:val="22"/>
                <w:szCs w:val="20"/>
              </w:rPr>
            </w:pPr>
            <w:r>
              <w:rPr>
                <w:rFonts w:hint="eastAsia" w:asciiTheme="minorEastAsia" w:hAnsiTheme="minorEastAsia" w:eastAsiaTheme="minorEastAsia" w:cstheme="minorEastAsia"/>
                <w:color w:val="000000"/>
                <w:kern w:val="0"/>
                <w:sz w:val="22"/>
                <w:szCs w:val="20"/>
              </w:rPr>
              <w:t>研发人员占员工总量的比例%</w:t>
            </w: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c>
          <w:tcPr>
            <w:tcW w:w="297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（三）专利情况</w:t>
      </w:r>
    </w:p>
    <w:tbl>
      <w:tblPr>
        <w:tblStyle w:val="23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2976"/>
        <w:gridCol w:w="297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项目</w:t>
            </w:r>
          </w:p>
        </w:tc>
        <w:tc>
          <w:tcPr>
            <w:tcW w:w="2976"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本期数量</w:t>
            </w:r>
          </w:p>
        </w:tc>
        <w:tc>
          <w:tcPr>
            <w:tcW w:w="2977" w:type="dxa"/>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上期数量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公司拥有的专利数量</w:t>
            </w:r>
          </w:p>
        </w:tc>
        <w:tc>
          <w:tcPr>
            <w:tcW w:w="2976"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Borders>
              <w:top w:val="single" w:color="5B9BD5" w:sz="4" w:space="0"/>
              <w:left w:val="single" w:color="5B9BD5" w:sz="4" w:space="0"/>
              <w:bottom w:val="single" w:color="5B9BD5" w:sz="4" w:space="0"/>
              <w:right w:val="single" w:color="5B9BD5" w:sz="4" w:space="0"/>
            </w:tcBorders>
          </w:tcPr>
          <w:p>
            <w:pPr>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公司拥有的发明专利数量</w:t>
            </w:r>
          </w:p>
        </w:tc>
        <w:tc>
          <w:tcPr>
            <w:tcW w:w="2976"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c>
          <w:tcPr>
            <w:tcW w:w="2977" w:type="dxa"/>
            <w:tcBorders>
              <w:top w:val="single" w:color="5B9BD5" w:sz="4" w:space="0"/>
              <w:left w:val="single" w:color="5B9BD5" w:sz="4" w:space="0"/>
              <w:bottom w:val="single" w:color="5B9BD5" w:sz="4" w:space="0"/>
              <w:right w:val="single" w:color="5B9BD5" w:sz="4" w:space="0"/>
            </w:tcBorders>
          </w:tcPr>
          <w:p>
            <w:pPr>
              <w:rPr>
                <w:rFonts w:hint="eastAsia" w:asciiTheme="minorEastAsia" w:hAnsiTheme="minorEastAsia" w:eastAsiaTheme="minorEastAsia" w:cstheme="minorEastAsia"/>
                <w:color w:val="000000"/>
                <w:kern w:val="0"/>
                <w:sz w:val="22"/>
              </w:rPr>
            </w:pPr>
          </w:p>
        </w:tc>
      </w:tr>
    </w:tbl>
    <w:p>
      <w:pPr>
        <w:keepNext/>
        <w:keepLines/>
        <w:spacing w:before="100" w:after="100"/>
        <w:outlineLvl w:val="2"/>
        <w:rPr>
          <w:rFonts w:ascii="Times New Roman" w:hAnsi="Times New Roman" w:eastAsia="宋体" w:cs="Times New Roman"/>
          <w:b/>
          <w:bCs/>
          <w:szCs w:val="21"/>
        </w:rPr>
      </w:pPr>
      <w:r>
        <w:rPr>
          <w:rFonts w:hint="eastAsia" w:ascii="宋体" w:hAnsi="宋体" w:eastAsia="宋体" w:cs="Times New Roman"/>
          <w:b/>
          <w:bCs/>
          <w:szCs w:val="21"/>
        </w:rPr>
        <w:t>（四）研发项目情况</w:t>
      </w:r>
    </w:p>
    <w:tbl>
      <w:tblPr>
        <w:tblStyle w:val="23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rPr>
                <w:rFonts w:ascii="宋体" w:hAnsi="宋体" w:eastAsia="Times New Roman" w:cs="Times New Roman"/>
                <w:i/>
                <w:color w:val="FF0000"/>
                <w:kern w:val="0"/>
                <w:sz w:val="20"/>
                <w:szCs w:val="20"/>
              </w:rPr>
            </w:pPr>
            <w:r>
              <w:rPr>
                <w:rFonts w:hint="eastAsia" w:ascii="宋体" w:hAnsi="宋体" w:eastAsia="Times New Roman" w:cs="Times New Roman"/>
                <w:i/>
                <w:color w:val="FF0000"/>
                <w:kern w:val="0"/>
                <w:sz w:val="20"/>
                <w:szCs w:val="20"/>
              </w:rPr>
              <w:t>注：描述企业研发项目的目的、所处阶段和拟达到的目标，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六、贷款相关情况</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Calibri" w:hAnsi="Calibri" w:eastAsia="宋体" w:cs="Times New Roman"/>
                <w:color w:val="FF0000"/>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说明报告期内贷款相关情况。</w:t>
            </w:r>
            <w:r>
              <w:rPr>
                <w:rFonts w:ascii="Calibri" w:hAnsi="Calibri" w:eastAsia="宋体" w:cs="Times New Roman"/>
                <w:color w:val="FF0000"/>
              </w:rPr>
              <w:t xml:space="preserve"> </w:t>
            </w:r>
          </w:p>
          <w:p>
            <w:pPr>
              <w:tabs>
                <w:tab w:val="left" w:pos="5140"/>
              </w:tabs>
              <w:rPr>
                <w:rFonts w:cs="Times New Roman" w:asciiTheme="minorEastAsia" w:hAnsiTheme="minorEastAsia"/>
                <w:i/>
                <w:color w:val="000000" w:themeColor="text1"/>
                <w:szCs w:val="44"/>
                <w14:textFill>
                  <w14:solidFill>
                    <w14:schemeClr w14:val="tx1"/>
                  </w14:solidFill>
                </w14:textFill>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（一）贷款风险分类方法及各类不良贷款的结构</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Calibri" w:hAnsi="Calibri" w:eastAsia="宋体" w:cs="Times New Roman"/>
                <w:color w:val="FF0000"/>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说明贷款风险分类方法。</w:t>
            </w:r>
            <w:r>
              <w:rPr>
                <w:rFonts w:ascii="Calibri" w:hAnsi="Calibri" w:eastAsia="宋体" w:cs="Times New Roman"/>
                <w:color w:val="FF0000"/>
              </w:rPr>
              <w:t xml:space="preserve"> </w:t>
            </w:r>
          </w:p>
          <w:p>
            <w:pPr>
              <w:tabs>
                <w:tab w:val="left" w:pos="5140"/>
              </w:tabs>
              <w:rPr>
                <w:rFonts w:cs="Times New Roman" w:asciiTheme="minorEastAsia" w:hAnsiTheme="minorEastAsia"/>
                <w:i/>
                <w:color w:val="000000" w:themeColor="text1"/>
                <w:szCs w:val="44"/>
                <w14:textFill>
                  <w14:solidFill>
                    <w14:schemeClr w14:val="tx1"/>
                  </w14:solidFill>
                </w14:textFill>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spacing w:before="93" w:beforeLines="30" w:after="93" w:afterLines="30"/>
        <w:jc w:val="right"/>
        <w:rPr>
          <w:rFonts w:ascii="Calibri" w:hAnsi="宋体" w:eastAsia="宋体" w:cs="Times New Roman"/>
          <w:color w:val="000000"/>
          <w:szCs w:val="44"/>
        </w:rPr>
      </w:pPr>
      <w:r>
        <w:rPr>
          <w:rFonts w:hint="eastAsia" w:ascii="Calibri" w:hAnsi="宋体" w:eastAsia="宋体" w:cs="Times New Roman"/>
          <w:color w:val="000000"/>
          <w:szCs w:val="44"/>
        </w:rPr>
        <w:t>单位</w:t>
      </w:r>
      <w:r>
        <w:rPr>
          <w:rFonts w:ascii="Calibri" w:hAnsi="宋体" w:eastAsia="宋体" w:cs="Times New Roman"/>
          <w:color w:val="000000"/>
          <w:szCs w:val="44"/>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840"/>
        <w:gridCol w:w="1699"/>
        <w:gridCol w:w="1700"/>
        <w:gridCol w:w="169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2840" w:type="dxa"/>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1699" w:type="dxa"/>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1700" w:type="dxa"/>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占总额</w:t>
            </w:r>
            <w:r>
              <w:rPr>
                <w:rFonts w:ascii="Calibri" w:hAnsi="Calibri" w:eastAsia="宋体" w:cs="Times New Roman"/>
                <w:b/>
                <w:sz w:val="22"/>
              </w:rPr>
              <w:t xml:space="preserve">    </w:t>
            </w:r>
          </w:p>
          <w:p>
            <w:pPr>
              <w:spacing w:line="240" w:lineRule="exact"/>
              <w:jc w:val="center"/>
              <w:rPr>
                <w:rFonts w:ascii="Calibri" w:hAnsi="Calibri" w:eastAsia="宋体" w:cs="Times New Roman"/>
                <w:b/>
                <w:sz w:val="22"/>
              </w:rPr>
            </w:pPr>
            <w:r>
              <w:rPr>
                <w:rFonts w:ascii="Calibri" w:hAnsi="Calibri" w:eastAsia="宋体" w:cs="Times New Roman"/>
                <w:b/>
                <w:sz w:val="22"/>
              </w:rPr>
              <w:t xml:space="preserve">  </w:t>
            </w:r>
            <w:r>
              <w:rPr>
                <w:rFonts w:hint="eastAsia" w:ascii="Calibri" w:hAnsi="Calibri" w:eastAsia="宋体" w:cs="Times New Roman"/>
                <w:b/>
                <w:sz w:val="22"/>
              </w:rPr>
              <w:t>百分比</w:t>
            </w:r>
            <w:r>
              <w:rPr>
                <w:rFonts w:ascii="Calibri" w:hAnsi="Calibri" w:eastAsia="宋体" w:cs="Times New Roman"/>
                <w:b/>
                <w:sz w:val="22"/>
              </w:rPr>
              <w:t>%</w:t>
            </w:r>
          </w:p>
        </w:tc>
        <w:tc>
          <w:tcPr>
            <w:tcW w:w="1699" w:type="dxa"/>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1701" w:type="dxa"/>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占总额</w:t>
            </w:r>
            <w:r>
              <w:rPr>
                <w:rFonts w:ascii="Calibri" w:hAnsi="Calibri" w:eastAsia="宋体" w:cs="Times New Roman"/>
                <w:b/>
                <w:sz w:val="22"/>
              </w:rPr>
              <w:t xml:space="preserve">    </w:t>
            </w:r>
          </w:p>
          <w:p>
            <w:pPr>
              <w:spacing w:line="240" w:lineRule="exact"/>
              <w:jc w:val="center"/>
              <w:rPr>
                <w:rFonts w:ascii="Calibri" w:hAnsi="Calibri" w:eastAsia="宋体" w:cs="Times New Roman"/>
                <w:b/>
                <w:sz w:val="22"/>
              </w:rPr>
            </w:pPr>
            <w:r>
              <w:rPr>
                <w:rFonts w:ascii="Calibri" w:hAnsi="Calibri" w:eastAsia="宋体" w:cs="Times New Roman"/>
                <w:b/>
                <w:sz w:val="22"/>
              </w:rPr>
              <w:t xml:space="preserve">  </w:t>
            </w: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正常贷款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关注贷款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不良贷款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firstLine="440" w:firstLineChars="200"/>
              <w:rPr>
                <w:rFonts w:ascii="Calibri" w:hAnsi="Calibri" w:eastAsia="宋体" w:cs="Times New Roman"/>
                <w:sz w:val="22"/>
              </w:rPr>
            </w:pPr>
            <w:r>
              <w:rPr>
                <w:rFonts w:hint="eastAsia" w:ascii="Calibri" w:hAnsi="Calibri" w:eastAsia="宋体" w:cs="Times New Roman"/>
                <w:sz w:val="22"/>
              </w:rPr>
              <w:t>次级贷款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firstLine="440" w:firstLineChars="200"/>
              <w:rPr>
                <w:rFonts w:ascii="Calibri" w:hAnsi="Calibri" w:eastAsia="宋体" w:cs="Times New Roman"/>
                <w:sz w:val="22"/>
              </w:rPr>
            </w:pPr>
            <w:r>
              <w:rPr>
                <w:rFonts w:hint="eastAsia" w:ascii="Calibri" w:hAnsi="Calibri" w:eastAsia="宋体" w:cs="Times New Roman"/>
                <w:sz w:val="22"/>
              </w:rPr>
              <w:t>可疑贷款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firstLine="440" w:firstLineChars="200"/>
              <w:rPr>
                <w:rFonts w:ascii="Calibri" w:hAnsi="Calibri" w:eastAsia="宋体" w:cs="Times New Roman"/>
                <w:sz w:val="22"/>
              </w:rPr>
            </w:pPr>
            <w:r>
              <w:rPr>
                <w:rFonts w:hint="eastAsia" w:ascii="Calibri" w:hAnsi="Calibri" w:eastAsia="宋体" w:cs="Times New Roman"/>
                <w:sz w:val="22"/>
              </w:rPr>
              <w:t>损失贷款</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2840" w:type="dxa"/>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b/>
                <w:bCs/>
                <w:sz w:val="22"/>
              </w:rPr>
              <w:t>贷款合计</w:t>
            </w:r>
          </w:p>
        </w:tc>
        <w:tc>
          <w:tcPr>
            <w:tcW w:w="1699" w:type="dxa"/>
            <w:vAlign w:val="bottom"/>
          </w:tcPr>
          <w:p>
            <w:pPr>
              <w:jc w:val="right"/>
              <w:rPr>
                <w:rFonts w:ascii="Calibri" w:hAnsi="Calibri" w:eastAsia="宋体" w:cs="Times New Roman"/>
                <w:sz w:val="22"/>
              </w:rPr>
            </w:pPr>
          </w:p>
        </w:tc>
        <w:tc>
          <w:tcPr>
            <w:tcW w:w="1700" w:type="dxa"/>
            <w:vAlign w:val="bottom"/>
          </w:tcPr>
          <w:p>
            <w:pPr>
              <w:jc w:val="right"/>
              <w:rPr>
                <w:rFonts w:ascii="Calibri" w:hAnsi="Calibri" w:eastAsia="宋体" w:cs="Times New Roman"/>
                <w:sz w:val="22"/>
              </w:rPr>
            </w:pPr>
          </w:p>
        </w:tc>
        <w:tc>
          <w:tcPr>
            <w:tcW w:w="1699" w:type="dxa"/>
            <w:vAlign w:val="bottom"/>
          </w:tcPr>
          <w:p>
            <w:pPr>
              <w:jc w:val="right"/>
              <w:rPr>
                <w:rFonts w:ascii="Calibri" w:hAnsi="Calibri" w:eastAsia="宋体" w:cs="Times New Roman"/>
                <w:sz w:val="22"/>
              </w:rPr>
            </w:pPr>
          </w:p>
        </w:tc>
        <w:tc>
          <w:tcPr>
            <w:tcW w:w="1701" w:type="dxa"/>
            <w:vAlign w:val="bottom"/>
          </w:tcPr>
          <w:p>
            <w:pPr>
              <w:jc w:val="right"/>
              <w:rPr>
                <w:rFonts w:ascii="Calibri" w:hAnsi="Calibri" w:eastAsia="宋体" w:cs="Times New Roman"/>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（二）贷款的主要行业分布情况</w:t>
      </w:r>
      <w:r>
        <w:rPr>
          <w:rFonts w:ascii="Times New Roman" w:hAnsi="Times New Roman" w:eastAsia="宋体" w:cs="Times New Roman"/>
          <w:b/>
          <w:bCs/>
          <w:szCs w:val="32"/>
          <w:lang w:val="zh-CN"/>
        </w:rPr>
        <w:t xml:space="preserve">                                            </w:t>
      </w:r>
    </w:p>
    <w:p>
      <w:pPr>
        <w:tabs>
          <w:tab w:val="left" w:pos="5140"/>
        </w:tabs>
        <w:spacing w:before="93" w:beforeLines="30" w:after="93" w:afterLines="30"/>
        <w:jc w:val="right"/>
        <w:rPr>
          <w:rFonts w:ascii="Calibri" w:hAnsi="Calibri" w:eastAsia="宋体" w:cs="Times New Roman"/>
          <w:color w:val="000000"/>
          <w:szCs w:val="21"/>
        </w:rPr>
      </w:pPr>
      <w:r>
        <w:rPr>
          <w:rFonts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06"/>
        <w:gridCol w:w="1749"/>
        <w:gridCol w:w="1749"/>
        <w:gridCol w:w="1749"/>
        <w:gridCol w:w="174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1467"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883"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883"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占总额</w:t>
            </w:r>
            <w:r>
              <w:rPr>
                <w:rFonts w:ascii="Calibri" w:hAnsi="Calibri" w:eastAsia="宋体" w:cs="Times New Roman"/>
                <w:b/>
                <w:sz w:val="22"/>
              </w:rPr>
              <w:t xml:space="preserve">    </w:t>
            </w:r>
          </w:p>
          <w:p>
            <w:pPr>
              <w:spacing w:line="240" w:lineRule="exact"/>
              <w:jc w:val="center"/>
              <w:rPr>
                <w:rFonts w:ascii="Calibri" w:hAnsi="Calibri" w:eastAsia="宋体" w:cs="Times New Roman"/>
                <w:b/>
                <w:sz w:val="22"/>
              </w:rPr>
            </w:pPr>
            <w:r>
              <w:rPr>
                <w:rFonts w:ascii="Calibri" w:hAnsi="Calibri" w:eastAsia="宋体" w:cs="Times New Roman"/>
                <w:b/>
                <w:sz w:val="22"/>
              </w:rPr>
              <w:t xml:space="preserve">  </w:t>
            </w:r>
            <w:r>
              <w:rPr>
                <w:rFonts w:hint="eastAsia" w:ascii="Calibri" w:hAnsi="Calibri" w:eastAsia="宋体" w:cs="Times New Roman"/>
                <w:b/>
                <w:sz w:val="22"/>
              </w:rPr>
              <w:t>百分比</w:t>
            </w:r>
            <w:r>
              <w:rPr>
                <w:rFonts w:ascii="Calibri" w:hAnsi="Calibri" w:eastAsia="宋体" w:cs="Times New Roman"/>
                <w:b/>
                <w:sz w:val="22"/>
              </w:rPr>
              <w:t>%</w:t>
            </w:r>
          </w:p>
        </w:tc>
        <w:tc>
          <w:tcPr>
            <w:tcW w:w="883"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883"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占总额</w:t>
            </w:r>
            <w:r>
              <w:rPr>
                <w:rFonts w:ascii="Calibri" w:hAnsi="Calibri" w:eastAsia="宋体" w:cs="Times New Roman"/>
                <w:b/>
                <w:sz w:val="22"/>
              </w:rPr>
              <w:t xml:space="preserve">    </w:t>
            </w:r>
          </w:p>
          <w:p>
            <w:pPr>
              <w:spacing w:line="240" w:lineRule="exact"/>
              <w:jc w:val="center"/>
              <w:rPr>
                <w:rFonts w:ascii="Calibri" w:hAnsi="Calibri" w:eastAsia="宋体" w:cs="Times New Roman"/>
                <w:b/>
                <w:sz w:val="22"/>
              </w:rPr>
            </w:pPr>
            <w:r>
              <w:rPr>
                <w:rFonts w:ascii="Calibri" w:hAnsi="Calibri" w:eastAsia="宋体" w:cs="Times New Roman"/>
                <w:b/>
                <w:sz w:val="22"/>
              </w:rPr>
              <w:t xml:space="preserve">  </w:t>
            </w: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467" w:type="pct"/>
            <w:vAlign w:val="center"/>
          </w:tcPr>
          <w:p>
            <w:pPr>
              <w:spacing w:line="240" w:lineRule="exact"/>
              <w:ind w:right="-141" w:rightChars="-67"/>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467" w:type="pct"/>
            <w:vAlign w:val="center"/>
          </w:tcPr>
          <w:p>
            <w:pPr>
              <w:spacing w:line="240" w:lineRule="exact"/>
              <w:ind w:right="-141" w:rightChars="-67"/>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467" w:type="pct"/>
            <w:vAlign w:val="center"/>
          </w:tcPr>
          <w:p>
            <w:pPr>
              <w:spacing w:line="240" w:lineRule="exact"/>
              <w:ind w:right="-141" w:rightChars="-67"/>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467" w:type="pct"/>
            <w:vAlign w:val="center"/>
          </w:tcPr>
          <w:p>
            <w:pPr>
              <w:spacing w:line="240" w:lineRule="exact"/>
              <w:ind w:right="-141" w:rightChars="-67"/>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467"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（自动添加）</w:t>
            </w: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c>
          <w:tcPr>
            <w:tcW w:w="883" w:type="pct"/>
            <w:vAlign w:val="bottom"/>
          </w:tcPr>
          <w:p>
            <w:pPr>
              <w:jc w:val="right"/>
              <w:rPr>
                <w:rFonts w:ascii="Calibri" w:hAnsi="Calibri" w:eastAsia="宋体" w:cs="Times New Roman"/>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（三）前十大单一借款人的贷款情况</w:t>
      </w:r>
      <w:r>
        <w:rPr>
          <w:rFonts w:ascii="Times New Roman" w:hAnsi="Times New Roman" w:eastAsia="宋体" w:cs="Times New Roman"/>
          <w:b/>
          <w:bCs/>
          <w:szCs w:val="32"/>
          <w:lang w:val="zh-CN"/>
        </w:rPr>
        <w:t xml:space="preserve">                                         </w:t>
      </w:r>
    </w:p>
    <w:p>
      <w:pPr>
        <w:tabs>
          <w:tab w:val="left" w:pos="5140"/>
        </w:tabs>
        <w:spacing w:before="93" w:beforeLines="30" w:after="93" w:afterLines="30"/>
        <w:jc w:val="right"/>
        <w:rPr>
          <w:rFonts w:ascii="Calibri" w:hAnsi="宋体" w:eastAsia="宋体" w:cs="Times New Roman"/>
          <w:b/>
          <w:color w:val="000000"/>
          <w:szCs w:val="44"/>
        </w:rPr>
      </w:pPr>
      <w:r>
        <w:rPr>
          <w:rFonts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0" w:type="dxa"/>
          <w:bottom w:w="0" w:type="dxa"/>
          <w:right w:w="0" w:type="dxa"/>
        </w:tblCellMar>
      </w:tblPr>
      <w:tblGrid>
        <w:gridCol w:w="788"/>
        <w:gridCol w:w="3197"/>
        <w:gridCol w:w="1960"/>
        <w:gridCol w:w="1885"/>
        <w:gridCol w:w="184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shd w:val="clear" w:color="auto" w:fill="D0CECE" w:themeFill="background2" w:themeFillShade="E6"/>
            <w:noWrap/>
            <w:tcMar>
              <w:top w:w="15" w:type="dxa"/>
              <w:left w:w="15" w:type="dxa"/>
              <w:bottom w:w="0" w:type="dxa"/>
              <w:right w:w="15" w:type="dxa"/>
            </w:tcMar>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序号</w:t>
            </w:r>
          </w:p>
        </w:tc>
        <w:tc>
          <w:tcPr>
            <w:tcW w:w="1651" w:type="pct"/>
            <w:shd w:val="clear" w:color="auto" w:fill="D0CECE" w:themeFill="background2" w:themeFillShade="E6"/>
            <w:tcMar>
              <w:top w:w="15" w:type="dxa"/>
              <w:left w:w="15" w:type="dxa"/>
              <w:bottom w:w="0" w:type="dxa"/>
              <w:right w:w="15" w:type="dxa"/>
            </w:tcMar>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所属行业</w:t>
            </w:r>
          </w:p>
        </w:tc>
        <w:tc>
          <w:tcPr>
            <w:tcW w:w="1013" w:type="pct"/>
            <w:shd w:val="clear" w:color="auto" w:fill="D0CECE" w:themeFill="background2" w:themeFillShade="E6"/>
            <w:noWrap/>
            <w:tcMar>
              <w:top w:w="15" w:type="dxa"/>
              <w:left w:w="15" w:type="dxa"/>
              <w:bottom w:w="0" w:type="dxa"/>
              <w:right w:w="15" w:type="dxa"/>
            </w:tcMar>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期末贷款余额</w:t>
            </w:r>
          </w:p>
        </w:tc>
        <w:tc>
          <w:tcPr>
            <w:tcW w:w="974" w:type="pct"/>
            <w:shd w:val="clear" w:color="auto" w:fill="D0CECE" w:themeFill="background2" w:themeFillShade="E6"/>
            <w:noWrap/>
            <w:tcMar>
              <w:top w:w="15" w:type="dxa"/>
              <w:left w:w="15" w:type="dxa"/>
              <w:bottom w:w="0" w:type="dxa"/>
              <w:right w:w="15" w:type="dxa"/>
            </w:tcMar>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占贷款总额比例%</w:t>
            </w:r>
          </w:p>
        </w:tc>
        <w:tc>
          <w:tcPr>
            <w:tcW w:w="954"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占资本净额比例%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sz w:val="22"/>
              </w:rPr>
            </w:pPr>
          </w:p>
        </w:tc>
        <w:tc>
          <w:tcPr>
            <w:tcW w:w="974"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407" w:type="pct"/>
            <w:noWrap/>
            <w:tcMar>
              <w:top w:w="15" w:type="dxa"/>
              <w:left w:w="15" w:type="dxa"/>
              <w:bottom w:w="0" w:type="dxa"/>
              <w:right w:w="15" w:type="dxa"/>
            </w:tcMar>
            <w:vAlign w:val="center"/>
          </w:tcPr>
          <w:p>
            <w:pPr>
              <w:spacing w:line="240" w:lineRule="exact"/>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1651" w:type="pct"/>
            <w:tcMar>
              <w:top w:w="15" w:type="dxa"/>
              <w:left w:w="15" w:type="dxa"/>
              <w:bottom w:w="0" w:type="dxa"/>
              <w:right w:w="15" w:type="dxa"/>
            </w:tcMar>
            <w:vAlign w:val="center"/>
          </w:tcPr>
          <w:p>
            <w:pPr>
              <w:spacing w:line="240" w:lineRule="exact"/>
              <w:rPr>
                <w:rFonts w:ascii="Calibri" w:hAnsi="Calibri" w:eastAsia="宋体" w:cs="Times New Roman"/>
                <w:sz w:val="22"/>
              </w:rPr>
            </w:pP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0" w:type="dxa"/>
            <w:bottom w:w="0" w:type="dxa"/>
            <w:right w:w="0" w:type="dxa"/>
          </w:tblCellMar>
        </w:tblPrEx>
        <w:trPr>
          <w:trHeight w:val="340" w:hRule="exact"/>
        </w:trPr>
        <w:tc>
          <w:tcPr>
            <w:tcW w:w="2059" w:type="pct"/>
            <w:gridSpan w:val="2"/>
            <w:noWrap/>
            <w:tcMar>
              <w:top w:w="15" w:type="dxa"/>
              <w:left w:w="15" w:type="dxa"/>
              <w:bottom w:w="0" w:type="dxa"/>
              <w:right w:w="15" w:type="dxa"/>
            </w:tcMar>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合计</w:t>
            </w:r>
          </w:p>
        </w:tc>
        <w:tc>
          <w:tcPr>
            <w:tcW w:w="1013" w:type="pct"/>
            <w:noWrap/>
            <w:tcMar>
              <w:top w:w="15" w:type="dxa"/>
              <w:left w:w="15" w:type="dxa"/>
              <w:bottom w:w="0" w:type="dxa"/>
              <w:right w:w="15" w:type="dxa"/>
            </w:tcMar>
            <w:vAlign w:val="center"/>
          </w:tcPr>
          <w:p>
            <w:pPr>
              <w:spacing w:line="240" w:lineRule="exact"/>
              <w:ind w:left="6" w:leftChars="-67" w:right="126" w:rightChars="60" w:hanging="147" w:hangingChars="67"/>
              <w:jc w:val="right"/>
              <w:rPr>
                <w:rFonts w:ascii="Calibri" w:hAnsi="Calibri" w:eastAsia="宋体" w:cs="Times New Roman"/>
                <w:b/>
                <w:color w:val="000000"/>
                <w:sz w:val="22"/>
              </w:rPr>
            </w:pPr>
          </w:p>
        </w:tc>
        <w:tc>
          <w:tcPr>
            <w:tcW w:w="974" w:type="pct"/>
            <w:noWrap/>
            <w:tcMar>
              <w:top w:w="15" w:type="dxa"/>
              <w:left w:w="15" w:type="dxa"/>
              <w:bottom w:w="0" w:type="dxa"/>
              <w:right w:w="15" w:type="dxa"/>
            </w:tcMar>
            <w:vAlign w:val="center"/>
          </w:tcPr>
          <w:p>
            <w:pPr>
              <w:spacing w:line="240" w:lineRule="exact"/>
              <w:ind w:right="126" w:rightChars="60"/>
              <w:jc w:val="right"/>
              <w:rPr>
                <w:rFonts w:ascii="Calibri" w:hAnsi="Calibri" w:eastAsia="宋体" w:cs="Times New Roman"/>
                <w:b/>
                <w:color w:val="000000"/>
                <w:sz w:val="22"/>
              </w:rPr>
            </w:pPr>
          </w:p>
        </w:tc>
        <w:tc>
          <w:tcPr>
            <w:tcW w:w="954" w:type="pct"/>
            <w:vAlign w:val="center"/>
          </w:tcPr>
          <w:p>
            <w:pPr>
              <w:spacing w:line="240" w:lineRule="exact"/>
              <w:ind w:left="6" w:leftChars="-67" w:right="126" w:rightChars="60" w:hanging="147" w:hangingChars="67"/>
              <w:jc w:val="right"/>
              <w:rPr>
                <w:rFonts w:ascii="Calibri" w:hAnsi="Calibri" w:eastAsia="宋体" w:cs="Times New Roman"/>
                <w:b/>
                <w:color w:val="000000"/>
                <w:sz w:val="22"/>
              </w:rPr>
            </w:pPr>
          </w:p>
        </w:tc>
      </w:tr>
    </w:tbl>
    <w:p>
      <w:pPr>
        <w:keepNext/>
        <w:keepLines/>
        <w:spacing w:before="100" w:after="100"/>
        <w:outlineLvl w:val="2"/>
        <w:rPr>
          <w:rFonts w:ascii="Calibri" w:hAnsi="宋体" w:eastAsia="宋体" w:cs="Times New Roman"/>
          <w:b/>
          <w:color w:val="000000"/>
          <w:szCs w:val="44"/>
        </w:rPr>
      </w:pPr>
      <w:r>
        <w:rPr>
          <w:rFonts w:hint="eastAsia" w:ascii="Times New Roman" w:hAnsi="Times New Roman" w:eastAsia="宋体" w:cs="Times New Roman"/>
          <w:b/>
          <w:bCs/>
          <w:szCs w:val="32"/>
          <w:lang w:val="zh-CN"/>
        </w:rPr>
        <w:t>（四）按担保方式划分的贷款分布情况</w:t>
      </w:r>
      <w:r>
        <w:rPr>
          <w:rFonts w:ascii="Times New Roman" w:hAnsi="Times New Roman" w:eastAsia="宋体" w:cs="Times New Roman"/>
          <w:b/>
          <w:bCs/>
          <w:szCs w:val="32"/>
          <w:lang w:val="zh-CN"/>
        </w:rPr>
        <w:t xml:space="preserve">       </w:t>
      </w:r>
      <w:r>
        <w:rPr>
          <w:rFonts w:hint="eastAsia" w:ascii="Calibri" w:hAnsi="宋体" w:eastAsia="宋体" w:cs="Times New Roman"/>
          <w:b/>
          <w:color w:val="000000"/>
          <w:szCs w:val="44"/>
        </w:rPr>
        <w:t xml:space="preserve">                               </w:t>
      </w:r>
    </w:p>
    <w:p>
      <w:pPr>
        <w:tabs>
          <w:tab w:val="left" w:pos="5140"/>
        </w:tabs>
        <w:spacing w:before="93" w:beforeLines="30" w:after="93" w:afterLines="30"/>
        <w:jc w:val="right"/>
        <w:rPr>
          <w:rFonts w:ascii="Calibri" w:hAnsi="Calibri" w:eastAsia="宋体" w:cs="Times New Roman"/>
          <w:color w:val="000000"/>
          <w:szCs w:val="21"/>
        </w:rPr>
      </w:pPr>
      <w:r>
        <w:rPr>
          <w:rFonts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70"/>
        <w:gridCol w:w="1832"/>
        <w:gridCol w:w="1834"/>
        <w:gridCol w:w="1832"/>
        <w:gridCol w:w="18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1298"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9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9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sz w:val="22"/>
              </w:rPr>
            </w:pPr>
            <w:r>
              <w:rPr>
                <w:rFonts w:hint="eastAsia" w:cs="Times New Roman" w:asciiTheme="minorEastAsia" w:hAnsiTheme="minorEastAsia"/>
                <w:color w:val="000000" w:themeColor="text1"/>
                <w:sz w:val="22"/>
                <w14:textFill>
                  <w14:solidFill>
                    <w14:schemeClr w14:val="tx1"/>
                  </w14:solidFill>
                </w14:textFill>
              </w:rPr>
              <w:t>（自动添行</w:t>
            </w:r>
            <w:r>
              <w:rPr>
                <w:rFonts w:cs="Times New Roman" w:asciiTheme="minorEastAsia" w:hAnsiTheme="minorEastAsia"/>
                <w:color w:val="000000" w:themeColor="text1"/>
                <w:sz w:val="22"/>
                <w14:textFill>
                  <w14:solidFill>
                    <w14:schemeClr w14:val="tx1"/>
                  </w14:solidFill>
                </w14:textFill>
              </w:rPr>
              <w:t>）</w:t>
            </w: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客户贷款总额</w:t>
            </w:r>
          </w:p>
        </w:tc>
        <w:tc>
          <w:tcPr>
            <w:tcW w:w="925" w:type="pct"/>
            <w:vAlign w:val="bottom"/>
          </w:tcPr>
          <w:p>
            <w:pPr>
              <w:jc w:val="right"/>
              <w:rPr>
                <w:rFonts w:ascii="Calibri" w:hAnsi="Calibri" w:eastAsia="宋体" w:cs="Times New Roman"/>
                <w:b/>
                <w:sz w:val="22"/>
              </w:rPr>
            </w:pPr>
          </w:p>
        </w:tc>
        <w:tc>
          <w:tcPr>
            <w:tcW w:w="926" w:type="pct"/>
            <w:vAlign w:val="bottom"/>
          </w:tcPr>
          <w:p>
            <w:pPr>
              <w:jc w:val="right"/>
              <w:rPr>
                <w:rFonts w:ascii="Calibri" w:hAnsi="Calibri" w:eastAsia="宋体" w:cs="Times New Roman"/>
                <w:b/>
                <w:sz w:val="22"/>
              </w:rPr>
            </w:pPr>
          </w:p>
        </w:tc>
        <w:tc>
          <w:tcPr>
            <w:tcW w:w="925" w:type="pct"/>
            <w:vAlign w:val="bottom"/>
          </w:tcPr>
          <w:p>
            <w:pPr>
              <w:jc w:val="right"/>
              <w:rPr>
                <w:rFonts w:ascii="Calibri" w:hAnsi="Calibri" w:eastAsia="宋体" w:cs="Times New Roman"/>
                <w:b/>
                <w:sz w:val="22"/>
              </w:rPr>
            </w:pPr>
          </w:p>
        </w:tc>
        <w:tc>
          <w:tcPr>
            <w:tcW w:w="926" w:type="pct"/>
            <w:vAlign w:val="bottom"/>
          </w:tcPr>
          <w:p>
            <w:pPr>
              <w:jc w:val="right"/>
              <w:rPr>
                <w:rFonts w:ascii="Calibri" w:hAnsi="Calibri" w:eastAsia="宋体" w:cs="Times New Roman"/>
                <w:b/>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（五）按逾期期限划分的贷款分布情况</w:t>
      </w:r>
    </w:p>
    <w:p>
      <w:pPr>
        <w:tabs>
          <w:tab w:val="left" w:pos="5140"/>
        </w:tabs>
        <w:spacing w:before="93" w:beforeLines="30" w:after="93" w:afterLines="30"/>
        <w:jc w:val="right"/>
        <w:rPr>
          <w:rFonts w:ascii="Calibri" w:hAnsi="Calibri" w:eastAsia="宋体" w:cs="Times New Roman"/>
          <w:color w:val="000000"/>
          <w:szCs w:val="21"/>
        </w:rPr>
      </w:pPr>
      <w:r>
        <w:rPr>
          <w:rFonts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6"/>
        <w:gridCol w:w="1636"/>
        <w:gridCol w:w="1834"/>
        <w:gridCol w:w="1832"/>
        <w:gridCol w:w="18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1397"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8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9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9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Times New Roman" w:hAnsi="Times New Roman" w:eastAsia="宋体" w:cs="Times New Roman"/>
                <w:sz w:val="22"/>
              </w:rPr>
            </w:pPr>
            <w:r>
              <w:rPr>
                <w:rFonts w:hint="eastAsia" w:ascii="Times New Roman" w:hAnsi="Times New Roman" w:eastAsia="宋体" w:cs="Times New Roman"/>
                <w:sz w:val="22"/>
              </w:rPr>
              <w:t>逾期</w:t>
            </w:r>
            <w:r>
              <w:rPr>
                <w:rFonts w:ascii="Times New Roman" w:hAnsi="Times New Roman" w:eastAsia="宋体" w:cs="Times New Roman"/>
                <w:sz w:val="22"/>
              </w:rPr>
              <w:t>3</w:t>
            </w:r>
            <w:r>
              <w:rPr>
                <w:rFonts w:hint="eastAsia" w:ascii="Times New Roman" w:hAnsi="Times New Roman" w:eastAsia="宋体" w:cs="Times New Roman"/>
                <w:sz w:val="22"/>
              </w:rPr>
              <w:t>个月以内</w:t>
            </w:r>
          </w:p>
        </w:tc>
        <w:tc>
          <w:tcPr>
            <w:tcW w:w="826"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Times New Roman" w:hAnsi="Times New Roman" w:eastAsia="宋体" w:cs="Times New Roman"/>
                <w:sz w:val="22"/>
              </w:rPr>
            </w:pPr>
            <w:r>
              <w:rPr>
                <w:rFonts w:hint="eastAsia" w:ascii="Times New Roman" w:hAnsi="Times New Roman" w:eastAsia="宋体" w:cs="Times New Roman"/>
                <w:sz w:val="22"/>
              </w:rPr>
              <w:t>逾期</w:t>
            </w:r>
            <w:r>
              <w:rPr>
                <w:rFonts w:ascii="Times New Roman" w:hAnsi="Times New Roman" w:eastAsia="宋体" w:cs="Times New Roman"/>
                <w:sz w:val="22"/>
              </w:rPr>
              <w:t>3</w:t>
            </w:r>
            <w:r>
              <w:rPr>
                <w:rFonts w:hint="eastAsia" w:ascii="Times New Roman" w:hAnsi="Times New Roman" w:eastAsia="宋体" w:cs="Times New Roman"/>
                <w:sz w:val="22"/>
              </w:rPr>
              <w:t>个月至</w:t>
            </w:r>
            <w:r>
              <w:rPr>
                <w:rFonts w:ascii="Times New Roman" w:hAnsi="Times New Roman" w:eastAsia="宋体" w:cs="Times New Roman"/>
                <w:sz w:val="22"/>
              </w:rPr>
              <w:t>1</w:t>
            </w:r>
            <w:r>
              <w:rPr>
                <w:rFonts w:hint="eastAsia" w:ascii="Times New Roman" w:hAnsi="Times New Roman" w:eastAsia="宋体" w:cs="Times New Roman"/>
                <w:sz w:val="22"/>
              </w:rPr>
              <w:t>年</w:t>
            </w:r>
          </w:p>
        </w:tc>
        <w:tc>
          <w:tcPr>
            <w:tcW w:w="826"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Times New Roman" w:hAnsi="Times New Roman" w:eastAsia="宋体" w:cs="Times New Roman"/>
                <w:sz w:val="22"/>
              </w:rPr>
            </w:pPr>
            <w:r>
              <w:rPr>
                <w:rFonts w:hint="eastAsia" w:ascii="Times New Roman" w:hAnsi="Times New Roman" w:eastAsia="宋体" w:cs="Times New Roman"/>
                <w:sz w:val="22"/>
              </w:rPr>
              <w:t>逾期</w:t>
            </w:r>
            <w:r>
              <w:rPr>
                <w:rFonts w:ascii="Times New Roman" w:hAnsi="Times New Roman" w:eastAsia="宋体" w:cs="Times New Roman"/>
                <w:sz w:val="22"/>
              </w:rPr>
              <w:t>1</w:t>
            </w:r>
            <w:r>
              <w:rPr>
                <w:rFonts w:hint="eastAsia" w:ascii="Times New Roman" w:hAnsi="Times New Roman" w:eastAsia="宋体" w:cs="Times New Roman"/>
                <w:sz w:val="22"/>
              </w:rPr>
              <w:t>年以上至</w:t>
            </w:r>
            <w:r>
              <w:rPr>
                <w:rFonts w:ascii="Times New Roman" w:hAnsi="Times New Roman" w:eastAsia="宋体" w:cs="Times New Roman"/>
                <w:sz w:val="22"/>
              </w:rPr>
              <w:t>3</w:t>
            </w:r>
            <w:r>
              <w:rPr>
                <w:rFonts w:hint="eastAsia" w:ascii="Times New Roman" w:hAnsi="Times New Roman" w:eastAsia="宋体" w:cs="Times New Roman"/>
                <w:sz w:val="22"/>
              </w:rPr>
              <w:t>年以内</w:t>
            </w:r>
          </w:p>
        </w:tc>
        <w:tc>
          <w:tcPr>
            <w:tcW w:w="826"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Times New Roman" w:hAnsi="Times New Roman" w:eastAsia="宋体" w:cs="Times New Roman"/>
                <w:sz w:val="22"/>
              </w:rPr>
            </w:pPr>
            <w:r>
              <w:rPr>
                <w:rFonts w:hint="eastAsia" w:ascii="Times New Roman" w:hAnsi="Times New Roman" w:cs="Times New Roman"/>
                <w:color w:val="000000" w:themeColor="text1"/>
                <w:sz w:val="22"/>
                <w14:textFill>
                  <w14:solidFill>
                    <w14:schemeClr w14:val="tx1"/>
                  </w14:solidFill>
                </w14:textFill>
              </w:rPr>
              <w:t>逾期</w:t>
            </w:r>
            <w:r>
              <w:rPr>
                <w:rFonts w:ascii="Times New Roman" w:hAnsi="Times New Roman" w:cs="Times New Roman"/>
                <w:color w:val="000000" w:themeColor="text1"/>
                <w:sz w:val="22"/>
                <w14:textFill>
                  <w14:solidFill>
                    <w14:schemeClr w14:val="tx1"/>
                  </w14:solidFill>
                </w14:textFill>
              </w:rPr>
              <w:t>3年以上</w:t>
            </w:r>
          </w:p>
        </w:tc>
        <w:tc>
          <w:tcPr>
            <w:tcW w:w="826"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Times New Roman" w:hAnsi="Times New Roman" w:cs="Times New Roman"/>
                <w:color w:val="000000" w:themeColor="text1"/>
                <w:sz w:val="22"/>
                <w14:textFill>
                  <w14:solidFill>
                    <w14:schemeClr w14:val="tx1"/>
                  </w14:solidFill>
                </w14:textFill>
              </w:rPr>
            </w:pPr>
            <w:r>
              <w:rPr>
                <w:rFonts w:hint="eastAsia" w:ascii="Times New Roman" w:hAnsi="Times New Roman" w:cs="Times New Roman"/>
                <w:color w:val="000000" w:themeColor="text1"/>
                <w:sz w:val="22"/>
                <w14:textFill>
                  <w14:solidFill>
                    <w14:schemeClr w14:val="tx1"/>
                  </w14:solidFill>
                </w14:textFill>
              </w:rPr>
              <w:t>逾期贷款合计</w:t>
            </w:r>
          </w:p>
        </w:tc>
        <w:tc>
          <w:tcPr>
            <w:tcW w:w="826"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397"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客户贷款总额</w:t>
            </w:r>
          </w:p>
        </w:tc>
        <w:tc>
          <w:tcPr>
            <w:tcW w:w="826" w:type="pct"/>
            <w:vAlign w:val="bottom"/>
          </w:tcPr>
          <w:p>
            <w:pPr>
              <w:jc w:val="right"/>
              <w:rPr>
                <w:rFonts w:ascii="Calibri" w:hAnsi="Calibri" w:eastAsia="宋体" w:cs="Times New Roman"/>
                <w:b/>
                <w:sz w:val="22"/>
              </w:rPr>
            </w:pPr>
          </w:p>
        </w:tc>
        <w:tc>
          <w:tcPr>
            <w:tcW w:w="926" w:type="pct"/>
            <w:vAlign w:val="bottom"/>
          </w:tcPr>
          <w:p>
            <w:pPr>
              <w:jc w:val="right"/>
              <w:rPr>
                <w:rFonts w:ascii="Calibri" w:hAnsi="Calibri" w:eastAsia="宋体" w:cs="Times New Roman"/>
                <w:b/>
                <w:sz w:val="22"/>
              </w:rPr>
            </w:pPr>
          </w:p>
        </w:tc>
        <w:tc>
          <w:tcPr>
            <w:tcW w:w="925" w:type="pct"/>
            <w:vAlign w:val="bottom"/>
          </w:tcPr>
          <w:p>
            <w:pPr>
              <w:jc w:val="right"/>
              <w:rPr>
                <w:rFonts w:ascii="Calibri" w:hAnsi="Calibri" w:eastAsia="宋体" w:cs="Times New Roman"/>
                <w:b/>
                <w:sz w:val="22"/>
              </w:rPr>
            </w:pPr>
          </w:p>
        </w:tc>
        <w:tc>
          <w:tcPr>
            <w:tcW w:w="926" w:type="pct"/>
            <w:vAlign w:val="bottom"/>
          </w:tcPr>
          <w:p>
            <w:pPr>
              <w:jc w:val="right"/>
              <w:rPr>
                <w:rFonts w:ascii="Calibri" w:hAnsi="Calibri" w:eastAsia="宋体" w:cs="Times New Roman"/>
                <w:b/>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（六）重组贷款情况</w:t>
      </w:r>
    </w:p>
    <w:p>
      <w:pPr>
        <w:tabs>
          <w:tab w:val="left" w:pos="5140"/>
        </w:tabs>
        <w:spacing w:before="93" w:beforeLines="30" w:after="93" w:afterLines="30"/>
        <w:jc w:val="right"/>
        <w:rPr>
          <w:rFonts w:ascii="Calibri" w:hAnsi="宋体" w:eastAsia="宋体" w:cs="Times New Roman"/>
          <w:b/>
          <w:color w:val="000000"/>
          <w:szCs w:val="44"/>
        </w:rPr>
      </w:pPr>
      <w:r>
        <w:rPr>
          <w:rFonts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71"/>
        <w:gridCol w:w="1832"/>
        <w:gridCol w:w="1832"/>
        <w:gridCol w:w="1832"/>
        <w:gridCol w:w="183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1298"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c>
          <w:tcPr>
            <w:tcW w:w="925"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9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占贷款总额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8"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已重组贷款</w:t>
            </w:r>
          </w:p>
        </w:tc>
        <w:tc>
          <w:tcPr>
            <w:tcW w:w="925"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5" w:type="pct"/>
            <w:vAlign w:val="bottom"/>
          </w:tcPr>
          <w:p>
            <w:pPr>
              <w:jc w:val="right"/>
              <w:rPr>
                <w:rFonts w:ascii="Calibri" w:hAnsi="Calibri" w:eastAsia="宋体" w:cs="Times New Roman"/>
                <w:sz w:val="22"/>
              </w:rPr>
            </w:pPr>
          </w:p>
        </w:tc>
        <w:tc>
          <w:tcPr>
            <w:tcW w:w="926" w:type="pct"/>
            <w:vAlign w:val="bottom"/>
          </w:tcPr>
          <w:p>
            <w:pPr>
              <w:jc w:val="right"/>
              <w:rPr>
                <w:rFonts w:ascii="Calibri" w:hAnsi="Calibri" w:eastAsia="宋体" w:cs="Times New Roman"/>
                <w:sz w:val="22"/>
              </w:rPr>
            </w:pPr>
          </w:p>
        </w:tc>
      </w:tr>
    </w:tbl>
    <w:p>
      <w:pPr>
        <w:keepNext/>
        <w:keepLines/>
        <w:spacing w:before="100" w:after="100"/>
        <w:outlineLvl w:val="2"/>
        <w:rPr>
          <w:rFonts w:ascii="Calibri" w:hAnsi="宋体" w:eastAsia="宋体" w:cs="Times New Roman"/>
          <w:b/>
          <w:color w:val="000000"/>
          <w:szCs w:val="44"/>
        </w:rPr>
      </w:pPr>
      <w:r>
        <w:rPr>
          <w:rFonts w:hint="eastAsia" w:ascii="Calibri" w:hAnsi="Calibri" w:eastAsia="宋体" w:cs="Times New Roman"/>
          <w:b/>
          <w:color w:val="000000" w:themeColor="text1"/>
          <w14:textFill>
            <w14:solidFill>
              <w14:schemeClr w14:val="tx1"/>
            </w14:solidFill>
          </w14:textFill>
        </w:rPr>
        <w:t>（七）</w:t>
      </w:r>
      <w:r>
        <w:rPr>
          <w:rFonts w:ascii="Calibri" w:hAnsi="Calibri" w:eastAsia="宋体" w:cs="Times New Roman"/>
          <w:b/>
          <w:color w:val="000000" w:themeColor="text1"/>
          <w14:textFill>
            <w14:solidFill>
              <w14:schemeClr w14:val="tx1"/>
            </w14:solidFill>
          </w14:textFill>
        </w:rPr>
        <w:t xml:space="preserve">贷款准备的变动情况 </w:t>
      </w:r>
      <w:r>
        <w:rPr>
          <w:rFonts w:hint="eastAsia" w:ascii="Calibri" w:hAnsi="宋体" w:eastAsia="宋体" w:cs="Times New Roman"/>
          <w:b/>
          <w:color w:val="000000"/>
          <w:szCs w:val="44"/>
        </w:rPr>
        <w:t xml:space="preserve">                                                </w:t>
      </w:r>
    </w:p>
    <w:p>
      <w:pPr>
        <w:tabs>
          <w:tab w:val="left" w:pos="5140"/>
        </w:tabs>
        <w:spacing w:before="93" w:beforeLines="30" w:after="93" w:afterLines="30"/>
        <w:jc w:val="right"/>
        <w:rPr>
          <w:rFonts w:ascii="Calibri" w:hAnsi="宋体" w:eastAsia="宋体" w:cs="Times New Roman"/>
          <w:b/>
          <w:color w:val="000000"/>
          <w:szCs w:val="44"/>
        </w:rPr>
      </w:pPr>
      <w:r>
        <w:rPr>
          <w:rFonts w:ascii="Calibri" w:hAnsi="Calibri" w:eastAsia="宋体" w:cs="Times New Roman"/>
          <w:color w:val="000000"/>
          <w:szCs w:val="21"/>
        </w:rPr>
        <w:t>单位：元</w:t>
      </w:r>
    </w:p>
    <w:tbl>
      <w:tblPr>
        <w:tblStyle w:val="47"/>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403"/>
        <w:gridCol w:w="3402"/>
        <w:gridCol w:w="283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项目</w:t>
            </w:r>
          </w:p>
        </w:tc>
        <w:tc>
          <w:tcPr>
            <w:tcW w:w="3402"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本期</w:t>
            </w:r>
          </w:p>
        </w:tc>
        <w:tc>
          <w:tcPr>
            <w:tcW w:w="2835"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上年</w:t>
            </w:r>
            <w:r>
              <w:rPr>
                <w:rFonts w:cs="Times New Roman" w:asciiTheme="minorEastAsia" w:hAnsiTheme="minorEastAsia"/>
                <w:b/>
                <w:color w:val="000000" w:themeColor="text1"/>
                <w:sz w:val="22"/>
                <w14:textFill>
                  <w14:solidFill>
                    <w14:schemeClr w14:val="tx1"/>
                  </w14:solidFill>
                </w14:textFill>
              </w:rPr>
              <w:t>同期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期初余额</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本期计提</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本期收回</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其中：收回原转销贷款及垫</w:t>
            </w:r>
          </w:p>
          <w:p>
            <w:pPr>
              <w:tabs>
                <w:tab w:val="left" w:pos="5140"/>
              </w:tabs>
              <w:ind w:firstLine="660" w:firstLineChars="300"/>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款导致的转回</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本期核销</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已减值贷款利息回拨</w:t>
            </w:r>
          </w:p>
        </w:tc>
        <w:tc>
          <w:tcPr>
            <w:tcW w:w="3402"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403" w:type="dxa"/>
          </w:tcPr>
          <w:p>
            <w:pPr>
              <w:tabs>
                <w:tab w:val="left" w:pos="5140"/>
              </w:tabs>
              <w:jc w:val="left"/>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期末余额</w:t>
            </w:r>
          </w:p>
        </w:tc>
        <w:tc>
          <w:tcPr>
            <w:tcW w:w="3402"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835"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bl>
    <w:p>
      <w:pPr>
        <w:keepNext/>
        <w:keepLines/>
        <w:spacing w:before="100" w:after="100"/>
        <w:outlineLvl w:val="1"/>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七、存款相关情况</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Calibri" w:hAnsi="Calibri" w:eastAsia="宋体" w:cs="Times New Roman"/>
                <w:color w:val="FF0000"/>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说明报告期内存款相关情况</w:t>
            </w:r>
          </w:p>
          <w:p>
            <w:pPr>
              <w:tabs>
                <w:tab w:val="left" w:pos="5140"/>
              </w:tabs>
              <w:rPr>
                <w:rFonts w:cs="Times New Roman" w:asciiTheme="minorEastAsia" w:hAnsiTheme="minorEastAsia"/>
                <w:i/>
                <w:color w:val="000000" w:themeColor="text1"/>
                <w:szCs w:val="44"/>
                <w14:textFill>
                  <w14:solidFill>
                    <w14:schemeClr w14:val="tx1"/>
                  </w14:solidFill>
                </w14:textFill>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spacing w:before="93" w:beforeLines="30" w:after="93" w:afterLines="30"/>
        <w:jc w:val="righ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单位：元</w:t>
      </w:r>
    </w:p>
    <w:tbl>
      <w:tblPr>
        <w:tblStyle w:val="46"/>
        <w:tblW w:w="5802"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571"/>
        <w:gridCol w:w="1944"/>
        <w:gridCol w:w="1457"/>
        <w:gridCol w:w="1894"/>
        <w:gridCol w:w="20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7" w:hRule="atLeast"/>
        </w:trPr>
        <w:tc>
          <w:tcPr>
            <w:tcW w:w="1299"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项目</w:t>
            </w:r>
          </w:p>
        </w:tc>
        <w:tc>
          <w:tcPr>
            <w:tcW w:w="982"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73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占存款总额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c>
          <w:tcPr>
            <w:tcW w:w="957"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c>
          <w:tcPr>
            <w:tcW w:w="1026"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占存款总额</w:t>
            </w:r>
          </w:p>
          <w:p>
            <w:pPr>
              <w:spacing w:line="240" w:lineRule="exact"/>
              <w:jc w:val="center"/>
              <w:rPr>
                <w:rFonts w:ascii="Calibri" w:hAnsi="Calibri" w:eastAsia="宋体" w:cs="Times New Roman"/>
                <w:b/>
                <w:sz w:val="22"/>
              </w:rPr>
            </w:pPr>
            <w:r>
              <w:rPr>
                <w:rFonts w:hint="eastAsia" w:ascii="Calibri" w:hAnsi="Calibri" w:eastAsia="宋体" w:cs="Times New Roman"/>
                <w:b/>
                <w:sz w:val="22"/>
              </w:rPr>
              <w:t>百分比</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5000" w:type="pct"/>
            <w:gridSpan w:val="5"/>
            <w:vAlign w:val="center"/>
          </w:tcPr>
          <w:p>
            <w:pPr>
              <w:spacing w:line="240" w:lineRule="exact"/>
              <w:ind w:right="-141" w:rightChars="-67"/>
              <w:jc w:val="left"/>
              <w:rPr>
                <w:rFonts w:ascii="Calibri" w:hAnsi="Calibri" w:eastAsia="宋体" w:cs="Times New Roman"/>
                <w:sz w:val="22"/>
              </w:rPr>
            </w:pPr>
            <w:r>
              <w:rPr>
                <w:rFonts w:hint="eastAsia" w:ascii="Calibri" w:hAnsi="Calibri" w:eastAsia="宋体" w:cs="Times New Roman"/>
                <w:b/>
                <w:bCs/>
                <w:sz w:val="22"/>
              </w:rPr>
              <w:t>公司客户存款</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活期存款</w:t>
            </w:r>
          </w:p>
        </w:tc>
        <w:tc>
          <w:tcPr>
            <w:tcW w:w="982" w:type="pct"/>
            <w:vAlign w:val="bottom"/>
          </w:tcPr>
          <w:p>
            <w:pPr>
              <w:spacing w:line="240" w:lineRule="exact"/>
              <w:ind w:right="-141" w:rightChars="-67" w:firstLine="220" w:firstLineChars="100"/>
              <w:jc w:val="left"/>
              <w:rPr>
                <w:rFonts w:ascii="Calibri" w:hAnsi="Calibri" w:eastAsia="宋体" w:cs="Times New Roman"/>
                <w:sz w:val="22"/>
              </w:rPr>
            </w:pPr>
          </w:p>
        </w:tc>
        <w:tc>
          <w:tcPr>
            <w:tcW w:w="736" w:type="pct"/>
            <w:vAlign w:val="bottom"/>
          </w:tcPr>
          <w:p>
            <w:pPr>
              <w:spacing w:line="240" w:lineRule="exact"/>
              <w:ind w:right="-141" w:rightChars="-67" w:firstLine="220" w:firstLineChars="100"/>
              <w:jc w:val="left"/>
              <w:rPr>
                <w:rFonts w:ascii="Calibri" w:hAnsi="Calibri" w:eastAsia="宋体" w:cs="Times New Roman"/>
                <w:sz w:val="22"/>
              </w:rPr>
            </w:pPr>
          </w:p>
        </w:tc>
        <w:tc>
          <w:tcPr>
            <w:tcW w:w="957" w:type="pct"/>
            <w:vAlign w:val="bottom"/>
          </w:tcPr>
          <w:p>
            <w:pPr>
              <w:spacing w:line="240" w:lineRule="exact"/>
              <w:ind w:right="-141" w:rightChars="-67" w:firstLine="220" w:firstLineChars="100"/>
              <w:jc w:val="left"/>
              <w:rPr>
                <w:rFonts w:ascii="Calibri" w:hAnsi="Calibri" w:eastAsia="宋体" w:cs="Times New Roman"/>
                <w:sz w:val="22"/>
              </w:rPr>
            </w:pPr>
          </w:p>
        </w:tc>
        <w:tc>
          <w:tcPr>
            <w:tcW w:w="1026" w:type="pct"/>
            <w:vAlign w:val="bottom"/>
          </w:tcPr>
          <w:p>
            <w:pPr>
              <w:spacing w:line="240" w:lineRule="exact"/>
              <w:ind w:right="-141" w:rightChars="-67" w:firstLine="220" w:firstLineChars="100"/>
              <w:jc w:val="lef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定期存款</w:t>
            </w:r>
          </w:p>
        </w:tc>
        <w:tc>
          <w:tcPr>
            <w:tcW w:w="982" w:type="pct"/>
            <w:vAlign w:val="bottom"/>
          </w:tcPr>
          <w:p>
            <w:pPr>
              <w:spacing w:line="240" w:lineRule="exact"/>
              <w:ind w:right="-141" w:rightChars="-67" w:firstLine="220" w:firstLineChars="100"/>
              <w:jc w:val="left"/>
              <w:rPr>
                <w:rFonts w:ascii="Calibri" w:hAnsi="Calibri" w:eastAsia="宋体" w:cs="Times New Roman"/>
                <w:sz w:val="22"/>
              </w:rPr>
            </w:pPr>
          </w:p>
        </w:tc>
        <w:tc>
          <w:tcPr>
            <w:tcW w:w="736" w:type="pct"/>
            <w:vAlign w:val="bottom"/>
          </w:tcPr>
          <w:p>
            <w:pPr>
              <w:spacing w:line="240" w:lineRule="exact"/>
              <w:ind w:right="-141" w:rightChars="-67" w:firstLine="220" w:firstLineChars="100"/>
              <w:jc w:val="left"/>
              <w:rPr>
                <w:rFonts w:ascii="Calibri" w:hAnsi="Calibri" w:eastAsia="宋体" w:cs="Times New Roman"/>
                <w:sz w:val="22"/>
              </w:rPr>
            </w:pPr>
          </w:p>
        </w:tc>
        <w:tc>
          <w:tcPr>
            <w:tcW w:w="957" w:type="pct"/>
            <w:vAlign w:val="bottom"/>
          </w:tcPr>
          <w:p>
            <w:pPr>
              <w:spacing w:line="240" w:lineRule="exact"/>
              <w:ind w:right="-141" w:rightChars="-67" w:firstLine="220" w:firstLineChars="100"/>
              <w:jc w:val="left"/>
              <w:rPr>
                <w:rFonts w:ascii="Calibri" w:hAnsi="Calibri" w:eastAsia="宋体" w:cs="Times New Roman"/>
                <w:sz w:val="22"/>
              </w:rPr>
            </w:pPr>
          </w:p>
        </w:tc>
        <w:tc>
          <w:tcPr>
            <w:tcW w:w="1026" w:type="pct"/>
            <w:vAlign w:val="bottom"/>
          </w:tcPr>
          <w:p>
            <w:pPr>
              <w:spacing w:line="240" w:lineRule="exact"/>
              <w:ind w:right="-141" w:rightChars="-67" w:firstLine="220" w:firstLineChars="100"/>
              <w:jc w:val="lef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小计</w:t>
            </w:r>
          </w:p>
        </w:tc>
        <w:tc>
          <w:tcPr>
            <w:tcW w:w="982" w:type="pct"/>
            <w:vAlign w:val="bottom"/>
          </w:tcPr>
          <w:p>
            <w:pPr>
              <w:spacing w:line="240" w:lineRule="exact"/>
              <w:ind w:right="-141" w:rightChars="-67" w:firstLine="220" w:firstLineChars="100"/>
              <w:jc w:val="left"/>
              <w:rPr>
                <w:rFonts w:ascii="Calibri" w:hAnsi="Calibri" w:eastAsia="宋体" w:cs="Times New Roman"/>
                <w:sz w:val="22"/>
              </w:rPr>
            </w:pPr>
          </w:p>
        </w:tc>
        <w:tc>
          <w:tcPr>
            <w:tcW w:w="736" w:type="pct"/>
            <w:vAlign w:val="bottom"/>
          </w:tcPr>
          <w:p>
            <w:pPr>
              <w:spacing w:line="240" w:lineRule="exact"/>
              <w:ind w:right="-141" w:rightChars="-67" w:firstLine="220" w:firstLineChars="100"/>
              <w:jc w:val="left"/>
              <w:rPr>
                <w:rFonts w:ascii="Calibri" w:hAnsi="Calibri" w:eastAsia="宋体" w:cs="Times New Roman"/>
                <w:sz w:val="22"/>
              </w:rPr>
            </w:pPr>
          </w:p>
        </w:tc>
        <w:tc>
          <w:tcPr>
            <w:tcW w:w="957" w:type="pct"/>
            <w:vAlign w:val="bottom"/>
          </w:tcPr>
          <w:p>
            <w:pPr>
              <w:spacing w:line="240" w:lineRule="exact"/>
              <w:ind w:right="-141" w:rightChars="-67" w:firstLine="220" w:firstLineChars="100"/>
              <w:jc w:val="left"/>
              <w:rPr>
                <w:rFonts w:ascii="Calibri" w:hAnsi="Calibri" w:eastAsia="宋体" w:cs="Times New Roman"/>
                <w:sz w:val="22"/>
              </w:rPr>
            </w:pPr>
          </w:p>
        </w:tc>
        <w:tc>
          <w:tcPr>
            <w:tcW w:w="1026" w:type="pct"/>
            <w:vAlign w:val="bottom"/>
          </w:tcPr>
          <w:p>
            <w:pPr>
              <w:spacing w:line="240" w:lineRule="exact"/>
              <w:ind w:right="-141" w:rightChars="-67" w:firstLine="220" w:firstLineChars="100"/>
              <w:jc w:val="lef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5000" w:type="pct"/>
            <w:gridSpan w:val="5"/>
            <w:vAlign w:val="center"/>
          </w:tcPr>
          <w:p>
            <w:pPr>
              <w:spacing w:line="240" w:lineRule="exact"/>
              <w:ind w:right="-141" w:rightChars="-67"/>
              <w:jc w:val="left"/>
              <w:rPr>
                <w:rFonts w:ascii="Calibri" w:hAnsi="Calibri" w:eastAsia="宋体" w:cs="Times New Roman"/>
                <w:sz w:val="22"/>
              </w:rPr>
            </w:pPr>
            <w:r>
              <w:rPr>
                <w:rFonts w:hint="eastAsia" w:ascii="Calibri" w:hAnsi="Calibri" w:eastAsia="宋体" w:cs="Times New Roman"/>
                <w:b/>
                <w:bCs/>
                <w:sz w:val="22"/>
              </w:rPr>
              <w:t>零售客户存款</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活期存款</w:t>
            </w:r>
          </w:p>
        </w:tc>
        <w:tc>
          <w:tcPr>
            <w:tcW w:w="982" w:type="pct"/>
            <w:vAlign w:val="bottom"/>
          </w:tcPr>
          <w:p>
            <w:pPr>
              <w:jc w:val="right"/>
              <w:rPr>
                <w:rFonts w:ascii="Calibri" w:hAnsi="Calibri" w:eastAsia="宋体" w:cs="Times New Roman"/>
                <w:sz w:val="22"/>
              </w:rPr>
            </w:pPr>
          </w:p>
        </w:tc>
        <w:tc>
          <w:tcPr>
            <w:tcW w:w="736" w:type="pct"/>
            <w:vAlign w:val="bottom"/>
          </w:tcPr>
          <w:p>
            <w:pPr>
              <w:jc w:val="right"/>
              <w:rPr>
                <w:rFonts w:ascii="Calibri" w:hAnsi="Calibri" w:eastAsia="宋体" w:cs="Times New Roman"/>
                <w:sz w:val="22"/>
              </w:rPr>
            </w:pPr>
          </w:p>
        </w:tc>
        <w:tc>
          <w:tcPr>
            <w:tcW w:w="957" w:type="pct"/>
            <w:vAlign w:val="bottom"/>
          </w:tcPr>
          <w:p>
            <w:pPr>
              <w:jc w:val="right"/>
              <w:rPr>
                <w:rFonts w:ascii="Calibri" w:hAnsi="Calibri" w:eastAsia="宋体" w:cs="Times New Roman"/>
                <w:sz w:val="22"/>
              </w:rPr>
            </w:pPr>
          </w:p>
        </w:tc>
        <w:tc>
          <w:tcPr>
            <w:tcW w:w="10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定期存款</w:t>
            </w:r>
          </w:p>
        </w:tc>
        <w:tc>
          <w:tcPr>
            <w:tcW w:w="982" w:type="pct"/>
            <w:vAlign w:val="bottom"/>
          </w:tcPr>
          <w:p>
            <w:pPr>
              <w:jc w:val="right"/>
              <w:rPr>
                <w:rFonts w:ascii="Calibri" w:hAnsi="Calibri" w:eastAsia="宋体" w:cs="Times New Roman"/>
                <w:sz w:val="22"/>
              </w:rPr>
            </w:pPr>
          </w:p>
        </w:tc>
        <w:tc>
          <w:tcPr>
            <w:tcW w:w="736" w:type="pct"/>
            <w:vAlign w:val="bottom"/>
          </w:tcPr>
          <w:p>
            <w:pPr>
              <w:jc w:val="right"/>
              <w:rPr>
                <w:rFonts w:ascii="Calibri" w:hAnsi="Calibri" w:eastAsia="宋体" w:cs="Times New Roman"/>
                <w:sz w:val="22"/>
              </w:rPr>
            </w:pPr>
          </w:p>
        </w:tc>
        <w:tc>
          <w:tcPr>
            <w:tcW w:w="957" w:type="pct"/>
            <w:vAlign w:val="bottom"/>
          </w:tcPr>
          <w:p>
            <w:pPr>
              <w:jc w:val="right"/>
              <w:rPr>
                <w:rFonts w:ascii="Calibri" w:hAnsi="Calibri" w:eastAsia="宋体" w:cs="Times New Roman"/>
                <w:sz w:val="22"/>
              </w:rPr>
            </w:pPr>
          </w:p>
        </w:tc>
        <w:tc>
          <w:tcPr>
            <w:tcW w:w="10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firstLine="220" w:firstLineChars="100"/>
              <w:rPr>
                <w:rFonts w:ascii="Calibri" w:hAnsi="Calibri" w:eastAsia="宋体" w:cs="Times New Roman"/>
                <w:sz w:val="22"/>
              </w:rPr>
            </w:pPr>
            <w:r>
              <w:rPr>
                <w:rFonts w:hint="eastAsia" w:ascii="Calibri" w:hAnsi="Calibri" w:eastAsia="宋体" w:cs="Times New Roman"/>
                <w:sz w:val="22"/>
              </w:rPr>
              <w:t>小计</w:t>
            </w:r>
          </w:p>
        </w:tc>
        <w:tc>
          <w:tcPr>
            <w:tcW w:w="982" w:type="pct"/>
            <w:vAlign w:val="bottom"/>
          </w:tcPr>
          <w:p>
            <w:pPr>
              <w:jc w:val="right"/>
              <w:rPr>
                <w:rFonts w:ascii="Calibri" w:hAnsi="Calibri" w:eastAsia="宋体" w:cs="Times New Roman"/>
                <w:sz w:val="22"/>
              </w:rPr>
            </w:pPr>
          </w:p>
        </w:tc>
        <w:tc>
          <w:tcPr>
            <w:tcW w:w="736" w:type="pct"/>
            <w:vAlign w:val="bottom"/>
          </w:tcPr>
          <w:p>
            <w:pPr>
              <w:jc w:val="right"/>
              <w:rPr>
                <w:rFonts w:ascii="Calibri" w:hAnsi="Calibri" w:eastAsia="宋体" w:cs="Times New Roman"/>
                <w:sz w:val="22"/>
              </w:rPr>
            </w:pPr>
          </w:p>
        </w:tc>
        <w:tc>
          <w:tcPr>
            <w:tcW w:w="957" w:type="pct"/>
            <w:vAlign w:val="bottom"/>
          </w:tcPr>
          <w:p>
            <w:pPr>
              <w:jc w:val="right"/>
              <w:rPr>
                <w:rFonts w:ascii="Calibri" w:hAnsi="Calibri" w:eastAsia="宋体" w:cs="Times New Roman"/>
                <w:sz w:val="22"/>
              </w:rPr>
            </w:pPr>
          </w:p>
        </w:tc>
        <w:tc>
          <w:tcPr>
            <w:tcW w:w="1026"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保证金存款</w:t>
            </w:r>
          </w:p>
        </w:tc>
        <w:tc>
          <w:tcPr>
            <w:tcW w:w="982" w:type="pct"/>
            <w:vAlign w:val="bottom"/>
          </w:tcPr>
          <w:p>
            <w:pPr>
              <w:jc w:val="right"/>
              <w:rPr>
                <w:rFonts w:ascii="Calibri" w:hAnsi="Calibri" w:eastAsia="宋体" w:cs="Times New Roman"/>
                <w:b/>
                <w:sz w:val="22"/>
              </w:rPr>
            </w:pPr>
          </w:p>
        </w:tc>
        <w:tc>
          <w:tcPr>
            <w:tcW w:w="736" w:type="pct"/>
            <w:vAlign w:val="bottom"/>
          </w:tcPr>
          <w:p>
            <w:pPr>
              <w:jc w:val="right"/>
              <w:rPr>
                <w:rFonts w:ascii="Calibri" w:hAnsi="Calibri" w:eastAsia="宋体" w:cs="Times New Roman"/>
                <w:b/>
                <w:sz w:val="22"/>
              </w:rPr>
            </w:pPr>
          </w:p>
        </w:tc>
        <w:tc>
          <w:tcPr>
            <w:tcW w:w="957" w:type="pct"/>
            <w:vAlign w:val="bottom"/>
          </w:tcPr>
          <w:p>
            <w:pPr>
              <w:jc w:val="right"/>
              <w:rPr>
                <w:rFonts w:ascii="Calibri" w:hAnsi="Calibri" w:eastAsia="宋体" w:cs="Times New Roman"/>
                <w:b/>
                <w:sz w:val="22"/>
              </w:rPr>
            </w:pPr>
          </w:p>
        </w:tc>
        <w:tc>
          <w:tcPr>
            <w:tcW w:w="1026" w:type="pct"/>
            <w:vAlign w:val="bottom"/>
          </w:tcPr>
          <w:p>
            <w:pPr>
              <w:jc w:val="right"/>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其他存款</w:t>
            </w:r>
          </w:p>
        </w:tc>
        <w:tc>
          <w:tcPr>
            <w:tcW w:w="982" w:type="pct"/>
            <w:vAlign w:val="bottom"/>
          </w:tcPr>
          <w:p>
            <w:pPr>
              <w:jc w:val="right"/>
              <w:rPr>
                <w:rFonts w:ascii="Calibri" w:hAnsi="Calibri" w:eastAsia="宋体" w:cs="Times New Roman"/>
                <w:b/>
                <w:sz w:val="22"/>
              </w:rPr>
            </w:pPr>
          </w:p>
        </w:tc>
        <w:tc>
          <w:tcPr>
            <w:tcW w:w="736" w:type="pct"/>
            <w:vAlign w:val="bottom"/>
          </w:tcPr>
          <w:p>
            <w:pPr>
              <w:jc w:val="right"/>
              <w:rPr>
                <w:rFonts w:ascii="Calibri" w:hAnsi="Calibri" w:eastAsia="宋体" w:cs="Times New Roman"/>
                <w:b/>
                <w:sz w:val="22"/>
              </w:rPr>
            </w:pPr>
          </w:p>
        </w:tc>
        <w:tc>
          <w:tcPr>
            <w:tcW w:w="957" w:type="pct"/>
            <w:vAlign w:val="bottom"/>
          </w:tcPr>
          <w:p>
            <w:pPr>
              <w:jc w:val="right"/>
              <w:rPr>
                <w:rFonts w:ascii="Calibri" w:hAnsi="Calibri" w:eastAsia="宋体" w:cs="Times New Roman"/>
                <w:b/>
                <w:sz w:val="22"/>
              </w:rPr>
            </w:pPr>
          </w:p>
        </w:tc>
        <w:tc>
          <w:tcPr>
            <w:tcW w:w="1026" w:type="pct"/>
            <w:vAlign w:val="bottom"/>
          </w:tcPr>
          <w:p>
            <w:pPr>
              <w:jc w:val="right"/>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合计</w:t>
            </w:r>
          </w:p>
        </w:tc>
        <w:tc>
          <w:tcPr>
            <w:tcW w:w="982" w:type="pct"/>
            <w:vAlign w:val="bottom"/>
          </w:tcPr>
          <w:p>
            <w:pPr>
              <w:jc w:val="right"/>
              <w:rPr>
                <w:rFonts w:ascii="Calibri" w:hAnsi="Calibri" w:eastAsia="宋体" w:cs="Times New Roman"/>
                <w:b/>
                <w:sz w:val="22"/>
              </w:rPr>
            </w:pPr>
          </w:p>
        </w:tc>
        <w:tc>
          <w:tcPr>
            <w:tcW w:w="736" w:type="pct"/>
            <w:vAlign w:val="bottom"/>
          </w:tcPr>
          <w:p>
            <w:pPr>
              <w:jc w:val="right"/>
              <w:rPr>
                <w:rFonts w:ascii="Calibri" w:hAnsi="Calibri" w:eastAsia="宋体" w:cs="Times New Roman"/>
                <w:b/>
                <w:sz w:val="22"/>
              </w:rPr>
            </w:pPr>
          </w:p>
        </w:tc>
        <w:tc>
          <w:tcPr>
            <w:tcW w:w="957" w:type="pct"/>
            <w:vAlign w:val="bottom"/>
          </w:tcPr>
          <w:p>
            <w:pPr>
              <w:jc w:val="right"/>
              <w:rPr>
                <w:rFonts w:ascii="Calibri" w:hAnsi="Calibri" w:eastAsia="宋体" w:cs="Times New Roman"/>
                <w:b/>
                <w:sz w:val="22"/>
              </w:rPr>
            </w:pPr>
          </w:p>
        </w:tc>
        <w:tc>
          <w:tcPr>
            <w:tcW w:w="1026" w:type="pct"/>
            <w:vAlign w:val="bottom"/>
          </w:tcPr>
          <w:p>
            <w:pPr>
              <w:jc w:val="right"/>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应计利息</w:t>
            </w:r>
          </w:p>
        </w:tc>
        <w:tc>
          <w:tcPr>
            <w:tcW w:w="982" w:type="pct"/>
            <w:vAlign w:val="bottom"/>
          </w:tcPr>
          <w:p>
            <w:pPr>
              <w:jc w:val="right"/>
              <w:rPr>
                <w:rFonts w:ascii="Calibri" w:hAnsi="Calibri" w:eastAsia="宋体" w:cs="Times New Roman"/>
                <w:b/>
                <w:sz w:val="22"/>
              </w:rPr>
            </w:pPr>
          </w:p>
        </w:tc>
        <w:tc>
          <w:tcPr>
            <w:tcW w:w="736" w:type="pct"/>
            <w:vAlign w:val="bottom"/>
          </w:tcPr>
          <w:p>
            <w:pPr>
              <w:jc w:val="right"/>
              <w:rPr>
                <w:rFonts w:ascii="Calibri" w:hAnsi="Calibri" w:eastAsia="宋体" w:cs="Times New Roman"/>
                <w:b/>
                <w:sz w:val="22"/>
              </w:rPr>
            </w:pPr>
          </w:p>
        </w:tc>
        <w:tc>
          <w:tcPr>
            <w:tcW w:w="957" w:type="pct"/>
            <w:vAlign w:val="bottom"/>
          </w:tcPr>
          <w:p>
            <w:pPr>
              <w:jc w:val="right"/>
              <w:rPr>
                <w:rFonts w:ascii="Calibri" w:hAnsi="Calibri" w:eastAsia="宋体" w:cs="Times New Roman"/>
                <w:b/>
                <w:sz w:val="22"/>
              </w:rPr>
            </w:pPr>
          </w:p>
        </w:tc>
        <w:tc>
          <w:tcPr>
            <w:tcW w:w="1026" w:type="pct"/>
            <w:vAlign w:val="bottom"/>
          </w:tcPr>
          <w:p>
            <w:pPr>
              <w:jc w:val="right"/>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299" w:type="pct"/>
            <w:vAlign w:val="center"/>
          </w:tcPr>
          <w:p>
            <w:pPr>
              <w:spacing w:line="240" w:lineRule="exact"/>
              <w:ind w:right="-141" w:rightChars="-67"/>
              <w:rPr>
                <w:rFonts w:ascii="Calibri" w:hAnsi="Calibri" w:eastAsia="宋体" w:cs="Times New Roman"/>
                <w:b/>
                <w:sz w:val="22"/>
              </w:rPr>
            </w:pPr>
            <w:r>
              <w:rPr>
                <w:rFonts w:hint="eastAsia" w:ascii="Calibri" w:hAnsi="Calibri" w:eastAsia="宋体" w:cs="Times New Roman"/>
                <w:b/>
                <w:sz w:val="22"/>
              </w:rPr>
              <w:t>客户存款总额</w:t>
            </w:r>
          </w:p>
        </w:tc>
        <w:tc>
          <w:tcPr>
            <w:tcW w:w="982" w:type="pct"/>
            <w:vAlign w:val="bottom"/>
          </w:tcPr>
          <w:p>
            <w:pPr>
              <w:jc w:val="right"/>
              <w:rPr>
                <w:rFonts w:ascii="Calibri" w:hAnsi="Calibri" w:eastAsia="宋体" w:cs="Times New Roman"/>
                <w:b/>
                <w:sz w:val="22"/>
              </w:rPr>
            </w:pPr>
          </w:p>
        </w:tc>
        <w:tc>
          <w:tcPr>
            <w:tcW w:w="736" w:type="pct"/>
            <w:vAlign w:val="bottom"/>
          </w:tcPr>
          <w:p>
            <w:pPr>
              <w:jc w:val="right"/>
              <w:rPr>
                <w:rFonts w:ascii="Calibri" w:hAnsi="Calibri" w:eastAsia="宋体" w:cs="Times New Roman"/>
                <w:b/>
                <w:sz w:val="22"/>
              </w:rPr>
            </w:pPr>
          </w:p>
        </w:tc>
        <w:tc>
          <w:tcPr>
            <w:tcW w:w="957" w:type="pct"/>
            <w:vAlign w:val="bottom"/>
          </w:tcPr>
          <w:p>
            <w:pPr>
              <w:jc w:val="right"/>
              <w:rPr>
                <w:rFonts w:ascii="Calibri" w:hAnsi="Calibri" w:eastAsia="宋体" w:cs="Times New Roman"/>
                <w:b/>
                <w:sz w:val="22"/>
              </w:rPr>
            </w:pPr>
          </w:p>
        </w:tc>
        <w:tc>
          <w:tcPr>
            <w:tcW w:w="1026" w:type="pct"/>
            <w:vAlign w:val="bottom"/>
          </w:tcPr>
          <w:p>
            <w:pPr>
              <w:jc w:val="right"/>
              <w:rPr>
                <w:rFonts w:ascii="Calibri" w:hAnsi="Calibri" w:eastAsia="宋体" w:cs="Times New Roman"/>
                <w:b/>
                <w:sz w:val="22"/>
              </w:rPr>
            </w:pPr>
          </w:p>
        </w:tc>
      </w:tr>
    </w:tbl>
    <w:p>
      <w:pPr>
        <w:keepNext/>
        <w:keepLines/>
        <w:spacing w:before="100" w:after="100"/>
        <w:outlineLvl w:val="1"/>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八、资本构成及管理情况</w:t>
      </w:r>
      <w:r>
        <w:rPr>
          <w:rFonts w:ascii="Calibri" w:hAnsi="Calibri" w:eastAsia="宋体" w:cs="Times New Roman"/>
          <w:b/>
          <w:color w:val="000000" w:themeColor="text1"/>
          <w14:textFill>
            <w14:solidFill>
              <w14:schemeClr w14:val="tx1"/>
            </w14:solidFill>
          </w14:textFill>
        </w:rPr>
        <w:t xml:space="preserve">    </w:t>
      </w:r>
      <w:r>
        <w:rPr>
          <w:rFonts w:hint="eastAsia" w:ascii="Calibri" w:hAnsi="Calibri" w:eastAsia="宋体" w:cs="Times New Roman"/>
          <w:b/>
          <w:color w:val="000000" w:themeColor="text1"/>
          <w14:textFill>
            <w14:solidFill>
              <w14:schemeClr w14:val="tx1"/>
            </w14:solidFill>
          </w14:textFill>
        </w:rPr>
        <w:t xml:space="preserve">                                         </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tabs>
                <w:tab w:val="left" w:pos="5140"/>
              </w:tabs>
              <w:rPr>
                <w:rFonts w:ascii="Calibri" w:hAnsi="Calibri" w:eastAsia="宋体" w:cs="Times New Roman"/>
                <w:color w:val="FF0000"/>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说明报告期内资本构成及管理情况</w:t>
            </w:r>
          </w:p>
          <w:p>
            <w:pPr>
              <w:tabs>
                <w:tab w:val="left" w:pos="5140"/>
              </w:tabs>
              <w:rPr>
                <w:rFonts w:cs="Times New Roman" w:asciiTheme="minorEastAsia" w:hAnsiTheme="minorEastAsia"/>
                <w:i/>
                <w:color w:val="000000" w:themeColor="text1"/>
                <w:szCs w:val="44"/>
                <w14:textFill>
                  <w14:solidFill>
                    <w14:schemeClr w14:val="tx1"/>
                  </w14:solidFill>
                </w14:textFill>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spacing w:before="93" w:beforeLines="30" w:after="93" w:afterLines="30"/>
        <w:jc w:val="right"/>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单位：元</w:t>
      </w:r>
    </w:p>
    <w:tbl>
      <w:tblPr>
        <w:tblStyle w:val="46"/>
        <w:tblW w:w="5802"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2931"/>
        <w:gridCol w:w="2462"/>
        <w:gridCol w:w="2185"/>
        <w:gridCol w:w="23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3" w:hRule="exact"/>
        </w:trPr>
        <w:tc>
          <w:tcPr>
            <w:tcW w:w="1480" w:type="pct"/>
            <w:shd w:val="clear" w:color="auto" w:fill="D0CECE" w:themeFill="background2" w:themeFillShade="E6"/>
            <w:vAlign w:val="center"/>
          </w:tcPr>
          <w:p>
            <w:pPr>
              <w:spacing w:line="240" w:lineRule="exact"/>
              <w:jc w:val="center"/>
              <w:rPr>
                <w:rFonts w:ascii="Calibri" w:hAnsi="Calibri" w:eastAsia="宋体" w:cs="Times New Roman"/>
                <w:b/>
                <w:bCs/>
                <w:color w:val="000000"/>
                <w:sz w:val="22"/>
              </w:rPr>
            </w:pPr>
            <w:r>
              <w:rPr>
                <w:rFonts w:hint="eastAsia" w:ascii="Calibri" w:hAnsi="Calibri" w:eastAsia="宋体" w:cs="Times New Roman"/>
                <w:b/>
                <w:bCs/>
                <w:color w:val="000000"/>
                <w:sz w:val="22"/>
              </w:rPr>
              <w:t>项目</w:t>
            </w:r>
          </w:p>
        </w:tc>
        <w:tc>
          <w:tcPr>
            <w:tcW w:w="1244" w:type="pct"/>
            <w:shd w:val="clear" w:color="auto" w:fill="D0CECE" w:themeFill="background2" w:themeFillShade="E6"/>
            <w:vAlign w:val="center"/>
          </w:tcPr>
          <w:p>
            <w:pPr>
              <w:spacing w:line="240" w:lineRule="exact"/>
              <w:jc w:val="center"/>
              <w:rPr>
                <w:rFonts w:ascii="Calibri" w:hAnsi="Calibri" w:eastAsia="宋体" w:cs="Times New Roman"/>
                <w:b/>
                <w:bCs/>
                <w:color w:val="000000"/>
                <w:sz w:val="22"/>
              </w:rPr>
            </w:pPr>
            <w:r>
              <w:rPr>
                <w:rFonts w:hint="eastAsia" w:ascii="Calibri" w:hAnsi="Calibri" w:eastAsia="宋体" w:cs="Times New Roman"/>
                <w:b/>
                <w:bCs/>
                <w:color w:val="000000"/>
                <w:sz w:val="22"/>
              </w:rPr>
              <w:t>本期期末</w:t>
            </w:r>
          </w:p>
        </w:tc>
        <w:tc>
          <w:tcPr>
            <w:tcW w:w="1104" w:type="pct"/>
            <w:shd w:val="clear" w:color="auto" w:fill="D0CECE" w:themeFill="background2" w:themeFillShade="E6"/>
            <w:vAlign w:val="center"/>
          </w:tcPr>
          <w:p>
            <w:pPr>
              <w:spacing w:line="240" w:lineRule="exact"/>
              <w:jc w:val="center"/>
              <w:rPr>
                <w:rFonts w:ascii="Calibri" w:hAnsi="Calibri" w:eastAsia="宋体" w:cs="Times New Roman"/>
                <w:b/>
                <w:bCs/>
                <w:color w:val="000000"/>
                <w:sz w:val="22"/>
              </w:rPr>
            </w:pPr>
            <w:r>
              <w:rPr>
                <w:rFonts w:hint="eastAsia" w:cs="Times New Roman" w:asciiTheme="minorEastAsia" w:hAnsiTheme="minorEastAsia"/>
                <w:b/>
                <w:color w:val="000000" w:themeColor="text1"/>
                <w:sz w:val="22"/>
                <w14:textFill>
                  <w14:solidFill>
                    <w14:schemeClr w14:val="tx1"/>
                  </w14:solidFill>
                </w14:textFill>
              </w:rPr>
              <w:t>本期期初</w:t>
            </w:r>
          </w:p>
        </w:tc>
        <w:tc>
          <w:tcPr>
            <w:tcW w:w="1173" w:type="pct"/>
            <w:shd w:val="clear" w:color="auto" w:fill="D0CECE" w:themeFill="background2" w:themeFillShade="E6"/>
            <w:vAlign w:val="center"/>
          </w:tcPr>
          <w:p>
            <w:pPr>
              <w:spacing w:line="240" w:lineRule="exact"/>
              <w:jc w:val="center"/>
              <w:rPr>
                <w:rFonts w:ascii="Calibri" w:hAnsi="Calibri" w:eastAsia="宋体" w:cs="Times New Roman"/>
                <w:b/>
                <w:bCs/>
                <w:color w:val="000000"/>
                <w:sz w:val="22"/>
              </w:rPr>
            </w:pPr>
            <w:r>
              <w:rPr>
                <w:rFonts w:hint="eastAsia" w:ascii="Calibri" w:hAnsi="Calibri" w:eastAsia="宋体" w:cs="Times New Roman"/>
                <w:b/>
                <w:bCs/>
                <w:color w:val="000000"/>
                <w:sz w:val="22"/>
              </w:rPr>
              <w:t>增幅</w:t>
            </w:r>
            <w:r>
              <w:rPr>
                <w:rFonts w:ascii="Calibri" w:hAnsi="Calibri" w:eastAsia="宋体" w:cs="Times New Roman"/>
                <w:b/>
                <w:bCs/>
                <w:color w:val="000000"/>
                <w:sz w:val="22"/>
              </w:rPr>
              <w:t>/</w:t>
            </w:r>
          </w:p>
          <w:p>
            <w:pPr>
              <w:spacing w:line="240" w:lineRule="exact"/>
              <w:jc w:val="center"/>
              <w:rPr>
                <w:rFonts w:ascii="Calibri" w:hAnsi="Calibri" w:eastAsia="宋体" w:cs="Times New Roman"/>
                <w:b/>
                <w:bCs/>
                <w:color w:val="000000"/>
                <w:sz w:val="22"/>
              </w:rPr>
            </w:pPr>
            <w:r>
              <w:rPr>
                <w:rFonts w:hint="eastAsia" w:ascii="Calibri" w:hAnsi="Calibri" w:eastAsia="宋体" w:cs="Times New Roman"/>
                <w:b/>
                <w:bCs/>
                <w:color w:val="000000"/>
                <w:sz w:val="22"/>
              </w:rPr>
              <w:t>增减（%）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sz w:val="22"/>
              </w:rPr>
              <w:t>核心一级资本</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sz w:val="22"/>
              </w:rPr>
              <w:t>核心一级资本扣除项目</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核心一级资本净额</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sz w:val="22"/>
              </w:rPr>
              <w:t>其他一级资本</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sz w:val="22"/>
              </w:rPr>
              <w:t>其他一级资本扣除项目</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一级资本净额</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二级资本</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二级资本扣减项</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资本净额</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加权风险资产</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其中：信用风险加权资产</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ascii="Calibri" w:hAnsi="Calibri" w:eastAsia="宋体" w:cs="Times New Roman"/>
                <w:color w:val="000000"/>
                <w:sz w:val="22"/>
              </w:rPr>
              <w:t xml:space="preserve">      </w:t>
            </w:r>
            <w:r>
              <w:rPr>
                <w:rFonts w:hint="eastAsia" w:ascii="Calibri" w:hAnsi="Calibri" w:eastAsia="宋体" w:cs="Times New Roman"/>
                <w:color w:val="000000"/>
                <w:sz w:val="22"/>
              </w:rPr>
              <w:t>市场风险加权资产</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ascii="Calibri" w:hAnsi="Calibri" w:eastAsia="宋体" w:cs="Times New Roman"/>
                <w:color w:val="000000"/>
                <w:sz w:val="22"/>
              </w:rPr>
              <w:t xml:space="preserve">      </w:t>
            </w:r>
            <w:r>
              <w:rPr>
                <w:rFonts w:hint="eastAsia" w:ascii="Calibri" w:hAnsi="Calibri" w:eastAsia="宋体" w:cs="Times New Roman"/>
                <w:color w:val="000000"/>
                <w:sz w:val="22"/>
              </w:rPr>
              <w:t>操作风险加权资产</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核心一级资本充足率</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一级资本充足率</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资本充足率</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杠杆率水平</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0" w:hRule="exact"/>
        </w:trPr>
        <w:tc>
          <w:tcPr>
            <w:tcW w:w="1480" w:type="pct"/>
            <w:vAlign w:val="center"/>
          </w:tcPr>
          <w:p>
            <w:pPr>
              <w:spacing w:line="240" w:lineRule="exact"/>
              <w:rPr>
                <w:rFonts w:ascii="Calibri" w:hAnsi="Calibri" w:eastAsia="宋体" w:cs="Times New Roman"/>
                <w:color w:val="000000"/>
                <w:sz w:val="22"/>
              </w:rPr>
            </w:pPr>
            <w:r>
              <w:rPr>
                <w:rFonts w:hint="eastAsia" w:ascii="Calibri" w:hAnsi="Calibri" w:eastAsia="宋体" w:cs="Times New Roman"/>
                <w:color w:val="000000"/>
                <w:sz w:val="22"/>
              </w:rPr>
              <w:t>调整后的表内外资产余额</w:t>
            </w:r>
          </w:p>
        </w:tc>
        <w:tc>
          <w:tcPr>
            <w:tcW w:w="1244" w:type="pct"/>
            <w:vAlign w:val="center"/>
          </w:tcPr>
          <w:p>
            <w:pPr>
              <w:jc w:val="right"/>
              <w:rPr>
                <w:rFonts w:ascii="Calibri" w:hAnsi="Calibri" w:eastAsia="宋体" w:cs="Times New Roman"/>
                <w:sz w:val="22"/>
              </w:rPr>
            </w:pPr>
          </w:p>
        </w:tc>
        <w:tc>
          <w:tcPr>
            <w:tcW w:w="1104" w:type="pct"/>
            <w:vAlign w:val="center"/>
          </w:tcPr>
          <w:p>
            <w:pPr>
              <w:jc w:val="right"/>
              <w:rPr>
                <w:rFonts w:ascii="Calibri" w:hAnsi="Calibri" w:eastAsia="宋体" w:cs="Times New Roman"/>
                <w:sz w:val="22"/>
              </w:rPr>
            </w:pPr>
          </w:p>
        </w:tc>
        <w:tc>
          <w:tcPr>
            <w:tcW w:w="1173" w:type="pct"/>
            <w:vAlign w:val="center"/>
          </w:tcPr>
          <w:p>
            <w:pPr>
              <w:jc w:val="right"/>
              <w:rPr>
                <w:rFonts w:ascii="Calibri" w:hAnsi="Calibri" w:eastAsia="宋体" w:cs="Times New Roman"/>
                <w:sz w:val="22"/>
              </w:rPr>
            </w:pPr>
          </w:p>
        </w:tc>
      </w:tr>
    </w:tbl>
    <w:p>
      <w:pPr>
        <w:keepNext/>
        <w:keepLines/>
        <w:spacing w:before="100" w:after="100"/>
        <w:outlineLvl w:val="1"/>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九、抵债资产情况</w:t>
      </w:r>
    </w:p>
    <w:tbl>
      <w:tblPr>
        <w:tblStyle w:val="47"/>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cs="Times New Roman" w:asciiTheme="minorEastAsia" w:hAnsiTheme="minorEastAsia"/>
                <w:i/>
                <w:color w:val="FF0000"/>
                <w:szCs w:val="44"/>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说明报告期末抵债资产情况，包括抵债资产金额，计提减值准备情况等</w:t>
            </w:r>
          </w:p>
          <w:p>
            <w:pPr>
              <w:tabs>
                <w:tab w:val="left" w:pos="5140"/>
              </w:tabs>
              <w:rPr>
                <w:rFonts w:cs="Times New Roman" w:asciiTheme="minorEastAsia" w:hAnsiTheme="minorEastAsia"/>
                <w:i/>
                <w:color w:val="FF0000"/>
                <w:szCs w:val="44"/>
              </w:rPr>
            </w:pP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spacing w:before="93" w:beforeLines="30" w:after="93" w:afterLines="30"/>
        <w:jc w:val="right"/>
        <w:rPr>
          <w:rFonts w:ascii="Calibri" w:hAnsi="Calibri" w:eastAsia="宋体" w:cs="Times New Roman"/>
          <w:color w:val="000000"/>
          <w:szCs w:val="21"/>
        </w:rPr>
      </w:pPr>
      <w:r>
        <w:rPr>
          <w:rFonts w:ascii="Calibri" w:hAnsi="Calibri" w:eastAsia="宋体" w:cs="Times New Roman"/>
          <w:color w:val="000000"/>
          <w:szCs w:val="21"/>
        </w:rPr>
        <w:t xml:space="preserve">                                                                     </w:t>
      </w:r>
      <w:r>
        <w:rPr>
          <w:rFonts w:hint="eastAsia" w:ascii="Calibri" w:hAnsi="Calibri" w:eastAsia="宋体" w:cs="Times New Roman"/>
          <w:color w:val="000000"/>
          <w:szCs w:val="21"/>
        </w:rPr>
        <w:t>单位：元</w:t>
      </w:r>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786"/>
        <w:gridCol w:w="3058"/>
        <w:gridCol w:w="30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1" w:hRule="atLeast"/>
        </w:trPr>
        <w:tc>
          <w:tcPr>
            <w:tcW w:w="1912"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抵债</w:t>
            </w:r>
            <w:r>
              <w:rPr>
                <w:rFonts w:ascii="Calibri" w:hAnsi="Calibri" w:eastAsia="宋体" w:cs="Times New Roman"/>
                <w:b/>
                <w:sz w:val="22"/>
              </w:rPr>
              <w:t>资产类别</w:t>
            </w:r>
          </w:p>
        </w:tc>
        <w:tc>
          <w:tcPr>
            <w:tcW w:w="1544"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期末余额</w:t>
            </w:r>
          </w:p>
        </w:tc>
        <w:tc>
          <w:tcPr>
            <w:tcW w:w="1544" w:type="pct"/>
            <w:shd w:val="clear" w:color="auto" w:fill="D0CECE" w:themeFill="background2" w:themeFillShade="E6"/>
            <w:vAlign w:val="center"/>
          </w:tcPr>
          <w:p>
            <w:pPr>
              <w:spacing w:line="240" w:lineRule="exact"/>
              <w:jc w:val="center"/>
              <w:rPr>
                <w:rFonts w:ascii="Calibri" w:hAnsi="Calibri" w:eastAsia="宋体" w:cs="Times New Roman"/>
                <w:b/>
                <w:sz w:val="22"/>
              </w:rPr>
            </w:pPr>
            <w:r>
              <w:rPr>
                <w:rFonts w:hint="eastAsia" w:ascii="Calibri" w:hAnsi="Calibri" w:eastAsia="宋体" w:cs="Times New Roman"/>
                <w:b/>
                <w:sz w:val="22"/>
              </w:rPr>
              <w:t>期初余额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类别1</w:t>
            </w:r>
            <w:r>
              <w:rPr>
                <w:rFonts w:hint="eastAsia" w:ascii="Calibri" w:hAnsi="Calibri" w:eastAsia="宋体" w:cs="Times New Roman"/>
                <w:color w:val="FF0000"/>
                <w:sz w:val="22"/>
              </w:rPr>
              <w:t>（视实际情况填写）</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类别2</w:t>
            </w:r>
            <w:r>
              <w:rPr>
                <w:rFonts w:hint="eastAsia" w:ascii="Calibri" w:hAnsi="Calibri" w:eastAsia="宋体" w:cs="Times New Roman"/>
                <w:color w:val="FF0000"/>
                <w:sz w:val="22"/>
              </w:rPr>
              <w:t>（视实际情况填写）</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（自动添加）</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抵债</w:t>
            </w:r>
            <w:r>
              <w:rPr>
                <w:rFonts w:ascii="Calibri" w:hAnsi="Calibri" w:eastAsia="宋体" w:cs="Times New Roman"/>
                <w:sz w:val="22"/>
              </w:rPr>
              <w:t>资产合计</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减</w:t>
            </w:r>
            <w:r>
              <w:rPr>
                <w:rFonts w:ascii="Calibri" w:hAnsi="Calibri" w:eastAsia="宋体" w:cs="Times New Roman"/>
                <w:sz w:val="22"/>
              </w:rPr>
              <w:t>：</w:t>
            </w:r>
            <w:r>
              <w:rPr>
                <w:rFonts w:hint="eastAsia" w:ascii="Calibri" w:hAnsi="Calibri" w:eastAsia="宋体" w:cs="Times New Roman"/>
                <w:sz w:val="22"/>
              </w:rPr>
              <w:t>抵债资产</w:t>
            </w:r>
            <w:r>
              <w:rPr>
                <w:rFonts w:ascii="Calibri" w:hAnsi="Calibri" w:eastAsia="宋体" w:cs="Times New Roman"/>
                <w:sz w:val="22"/>
              </w:rPr>
              <w:t>减值准备</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0" w:hRule="exact"/>
        </w:trPr>
        <w:tc>
          <w:tcPr>
            <w:tcW w:w="1912" w:type="pct"/>
            <w:vAlign w:val="center"/>
          </w:tcPr>
          <w:p>
            <w:pPr>
              <w:spacing w:line="240" w:lineRule="exact"/>
              <w:ind w:right="-141" w:rightChars="-67"/>
              <w:rPr>
                <w:rFonts w:ascii="Calibri" w:hAnsi="Calibri" w:eastAsia="宋体" w:cs="Times New Roman"/>
                <w:sz w:val="22"/>
              </w:rPr>
            </w:pPr>
            <w:r>
              <w:rPr>
                <w:rFonts w:hint="eastAsia" w:ascii="Calibri" w:hAnsi="Calibri" w:eastAsia="宋体" w:cs="Times New Roman"/>
                <w:sz w:val="22"/>
              </w:rPr>
              <w:t>抵债</w:t>
            </w:r>
            <w:r>
              <w:rPr>
                <w:rFonts w:ascii="Calibri" w:hAnsi="Calibri" w:eastAsia="宋体" w:cs="Times New Roman"/>
                <w:sz w:val="22"/>
              </w:rPr>
              <w:t>资产</w:t>
            </w:r>
            <w:r>
              <w:rPr>
                <w:rFonts w:hint="eastAsia" w:ascii="Calibri" w:hAnsi="Calibri" w:eastAsia="宋体" w:cs="Times New Roman"/>
                <w:sz w:val="22"/>
              </w:rPr>
              <w:t>账面</w:t>
            </w:r>
            <w:r>
              <w:rPr>
                <w:rFonts w:ascii="Calibri" w:hAnsi="Calibri" w:eastAsia="宋体" w:cs="Times New Roman"/>
                <w:sz w:val="22"/>
              </w:rPr>
              <w:t>净值</w:t>
            </w:r>
          </w:p>
        </w:tc>
        <w:tc>
          <w:tcPr>
            <w:tcW w:w="1544" w:type="pct"/>
            <w:vAlign w:val="bottom"/>
          </w:tcPr>
          <w:p>
            <w:pPr>
              <w:jc w:val="right"/>
              <w:rPr>
                <w:rFonts w:ascii="Calibri" w:hAnsi="Calibri" w:eastAsia="宋体" w:cs="Times New Roman"/>
                <w:sz w:val="22"/>
              </w:rPr>
            </w:pPr>
          </w:p>
        </w:tc>
        <w:tc>
          <w:tcPr>
            <w:tcW w:w="1544" w:type="pct"/>
            <w:vAlign w:val="bottom"/>
          </w:tcPr>
          <w:p>
            <w:pPr>
              <w:jc w:val="right"/>
              <w:rPr>
                <w:rFonts w:ascii="Calibri" w:hAnsi="Calibri" w:eastAsia="宋体" w:cs="Times New Roman"/>
                <w:sz w:val="22"/>
              </w:rPr>
            </w:pPr>
          </w:p>
        </w:tc>
      </w:tr>
    </w:tbl>
    <w:p>
      <w:pPr>
        <w:keepNext/>
        <w:keepLines/>
        <w:spacing w:before="100" w:after="100"/>
        <w:outlineLvl w:val="1"/>
        <w:rPr>
          <w:rFonts w:ascii="Calibri" w:hAnsi="Calibri" w:eastAsia="宋体" w:cs="Times New Roman"/>
          <w:b/>
          <w:color w:val="000000" w:themeColor="text1"/>
          <w14:textFill>
            <w14:solidFill>
              <w14:schemeClr w14:val="tx1"/>
            </w14:solidFill>
          </w14:textFill>
        </w:rPr>
      </w:pPr>
      <w:r>
        <w:rPr>
          <w:rFonts w:hint="eastAsia" w:ascii="Calibri" w:hAnsi="Calibri" w:eastAsia="宋体" w:cs="Times New Roman"/>
          <w:b/>
          <w:color w:val="000000" w:themeColor="text1"/>
          <w14:textFill>
            <w14:solidFill>
              <w14:schemeClr w14:val="tx1"/>
            </w14:solidFill>
          </w14:textFill>
        </w:rPr>
        <w:t>九、主要表外项目情况</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widowControl/>
              <w:rPr>
                <w:rFonts w:cs="Times New Roman" w:asciiTheme="minorEastAsia" w:hAnsiTheme="minorEastAsia"/>
                <w:i/>
                <w:color w:val="FF0000"/>
                <w:szCs w:val="44"/>
              </w:rPr>
            </w:pPr>
            <w:r>
              <w:rPr>
                <w:rFonts w:hint="eastAsia" w:cs="Times New Roman" w:asciiTheme="minorEastAsia" w:hAnsiTheme="minorEastAsia"/>
                <w:i/>
                <w:color w:val="FF0000"/>
                <w:szCs w:val="44"/>
              </w:rPr>
              <w:t>注</w:t>
            </w:r>
            <w:r>
              <w:rPr>
                <w:rFonts w:cs="Times New Roman" w:asciiTheme="minorEastAsia" w:hAnsiTheme="minorEastAsia"/>
                <w:i/>
                <w:color w:val="FF0000"/>
                <w:szCs w:val="44"/>
              </w:rPr>
              <w:t>：</w:t>
            </w:r>
            <w:r>
              <w:rPr>
                <w:rFonts w:hint="eastAsia" w:cs="Times New Roman" w:asciiTheme="minorEastAsia" w:hAnsiTheme="minorEastAsia"/>
                <w:i/>
                <w:color w:val="FF0000"/>
                <w:szCs w:val="44"/>
              </w:rPr>
              <w:t>应披露对财务状况和经营成果造成重大影响的表外项目余额，包括但不限于信贷承诺（不可撤消的贷款承诺、银行承兑汇票、开出保函、开出信用证）、租赁承诺、资本性支出承诺等项目的具体情况。</w:t>
            </w:r>
          </w:p>
          <w:p>
            <w:pPr>
              <w:tabs>
                <w:tab w:val="left" w:pos="5140"/>
              </w:tabs>
              <w:rPr>
                <w:rFonts w:cs="Times New Roman" w:asciiTheme="minorEastAsia" w:hAnsiTheme="minorEastAsia"/>
                <w:color w:val="000000" w:themeColor="text1"/>
                <w:szCs w:val="44"/>
                <w14:textFill>
                  <w14:solidFill>
                    <w14:schemeClr w14:val="tx1"/>
                  </w14:solidFill>
                </w14:textFill>
              </w:rPr>
            </w:pPr>
          </w:p>
        </w:tc>
      </w:tr>
    </w:tbl>
    <w:p>
      <w:pPr>
        <w:tabs>
          <w:tab w:val="left" w:pos="5140"/>
        </w:tabs>
        <w:jc w:val="right"/>
        <w:rPr>
          <w:rFonts w:cs="Times New Roman" w:asciiTheme="minorEastAsia" w:hAnsiTheme="minorEastAsia"/>
          <w:b/>
          <w:color w:val="000000" w:themeColor="text1"/>
          <w:szCs w:val="44"/>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53"/>
        <w:gridCol w:w="2693"/>
        <w:gridCol w:w="269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项目</w:t>
            </w:r>
          </w:p>
        </w:tc>
        <w:tc>
          <w:tcPr>
            <w:tcW w:w="269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期末余额</w:t>
            </w:r>
          </w:p>
        </w:tc>
        <w:tc>
          <w:tcPr>
            <w:tcW w:w="2693" w:type="dxa"/>
            <w:shd w:val="pct10" w:color="auto" w:fill="auto"/>
            <w:vAlign w:val="center"/>
          </w:tcPr>
          <w:p>
            <w:pPr>
              <w:tabs>
                <w:tab w:val="left" w:pos="5140"/>
              </w:tabs>
              <w:jc w:val="center"/>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期初余额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信贷承诺</w:t>
            </w:r>
          </w:p>
        </w:tc>
        <w:tc>
          <w:tcPr>
            <w:tcW w:w="269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其中</w:t>
            </w:r>
            <w:r>
              <w:rPr>
                <w:rFonts w:cs="Times New Roman" w:asciiTheme="minorEastAsia" w:hAnsiTheme="minorEastAsia"/>
                <w:color w:val="000000" w:themeColor="text1"/>
                <w:sz w:val="22"/>
                <w14:textFill>
                  <w14:solidFill>
                    <w14:schemeClr w14:val="tx1"/>
                  </w14:solidFill>
                </w14:textFill>
              </w:rPr>
              <w:t>：</w:t>
            </w:r>
            <w:r>
              <w:rPr>
                <w:rFonts w:hint="eastAsia" w:cs="Times New Roman" w:asciiTheme="minorEastAsia" w:hAnsiTheme="minorEastAsia"/>
                <w:color w:val="000000" w:themeColor="text1"/>
                <w:sz w:val="22"/>
                <w14:textFill>
                  <w14:solidFill>
                    <w14:schemeClr w14:val="tx1"/>
                  </w14:solidFill>
                </w14:textFill>
              </w:rPr>
              <w:t>不可撤销</w:t>
            </w:r>
            <w:r>
              <w:rPr>
                <w:rFonts w:cs="Times New Roman" w:asciiTheme="minorEastAsia" w:hAnsiTheme="minorEastAsia"/>
                <w:color w:val="000000" w:themeColor="text1"/>
                <w:sz w:val="22"/>
                <w14:textFill>
                  <w14:solidFill>
                    <w14:schemeClr w14:val="tx1"/>
                  </w14:solidFill>
                </w14:textFill>
              </w:rPr>
              <w:t>的</w:t>
            </w:r>
            <w:r>
              <w:rPr>
                <w:rFonts w:hint="eastAsia" w:cs="Times New Roman" w:asciiTheme="minorEastAsia" w:hAnsiTheme="minorEastAsia"/>
                <w:color w:val="000000" w:themeColor="text1"/>
                <w:sz w:val="22"/>
                <w14:textFill>
                  <w14:solidFill>
                    <w14:schemeClr w14:val="tx1"/>
                  </w14:solidFill>
                </w14:textFill>
              </w:rPr>
              <w:t>贷款承诺</w:t>
            </w:r>
          </w:p>
        </w:tc>
        <w:tc>
          <w:tcPr>
            <w:tcW w:w="269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4253" w:type="dxa"/>
          </w:tcPr>
          <w:p>
            <w:pPr>
              <w:tabs>
                <w:tab w:val="left" w:pos="5140"/>
              </w:tabs>
              <w:ind w:firstLine="660" w:firstLineChars="300"/>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银行</w:t>
            </w:r>
            <w:r>
              <w:rPr>
                <w:rFonts w:cs="Times New Roman" w:asciiTheme="minorEastAsia" w:hAnsiTheme="minorEastAsia"/>
                <w:color w:val="000000" w:themeColor="text1"/>
                <w:sz w:val="22"/>
                <w14:textFill>
                  <w14:solidFill>
                    <w14:schemeClr w14:val="tx1"/>
                  </w14:solidFill>
                </w14:textFill>
              </w:rPr>
              <w:t>承兑汇票</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ind w:firstLine="660" w:firstLineChars="300"/>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开出保函</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ind w:firstLine="660" w:firstLineChars="300"/>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开出</w:t>
            </w:r>
            <w:r>
              <w:rPr>
                <w:rFonts w:cs="Times New Roman" w:asciiTheme="minorEastAsia" w:hAnsiTheme="minorEastAsia"/>
                <w:color w:val="000000" w:themeColor="text1"/>
                <w:sz w:val="22"/>
                <w14:textFill>
                  <w14:solidFill>
                    <w14:schemeClr w14:val="tx1"/>
                  </w14:solidFill>
                </w14:textFill>
              </w:rPr>
              <w:t>信用证</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ind w:firstLine="660" w:firstLineChars="300"/>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信用卡</w:t>
            </w:r>
            <w:r>
              <w:rPr>
                <w:rFonts w:cs="Times New Roman" w:asciiTheme="minorEastAsia" w:hAnsiTheme="minorEastAsia"/>
                <w:color w:val="000000" w:themeColor="text1"/>
                <w:sz w:val="22"/>
                <w14:textFill>
                  <w14:solidFill>
                    <w14:schemeClr w14:val="tx1"/>
                  </w14:solidFill>
                </w14:textFill>
              </w:rPr>
              <w:t>承诺</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租赁承诺</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资本性支出</w:t>
            </w:r>
            <w:r>
              <w:rPr>
                <w:rFonts w:cs="Times New Roman" w:asciiTheme="minorEastAsia" w:hAnsiTheme="minorEastAsia"/>
                <w:color w:val="000000" w:themeColor="text1"/>
                <w:sz w:val="22"/>
                <w14:textFill>
                  <w14:solidFill>
                    <w14:schemeClr w14:val="tx1"/>
                  </w14:solidFill>
                </w14:textFill>
              </w:rPr>
              <w:t>承诺</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color w:val="000000" w:themeColor="text1"/>
                <w:sz w:val="22"/>
                <w14:textFill>
                  <w14:solidFill>
                    <w14:schemeClr w14:val="tx1"/>
                  </w14:solidFill>
                </w14:textFill>
              </w:rPr>
            </w:pPr>
            <w:r>
              <w:rPr>
                <w:rFonts w:hint="eastAsia" w:ascii="宋体" w:hAnsi="宋体" w:eastAsia="宋体" w:cs="Times New Roman"/>
                <w:i/>
                <w:color w:val="FF0000"/>
                <w:sz w:val="22"/>
              </w:rPr>
              <w:t>（可根据</w:t>
            </w:r>
            <w:r>
              <w:rPr>
                <w:rFonts w:ascii="宋体" w:hAnsi="宋体" w:eastAsia="宋体" w:cs="Times New Roman"/>
                <w:i/>
                <w:color w:val="FF0000"/>
                <w:sz w:val="22"/>
              </w:rPr>
              <w:t>实际情况</w:t>
            </w:r>
            <w:r>
              <w:rPr>
                <w:rFonts w:hint="eastAsia" w:ascii="宋体" w:hAnsi="宋体" w:eastAsia="宋体" w:cs="Times New Roman"/>
                <w:i/>
                <w:color w:val="FF0000"/>
                <w:sz w:val="22"/>
              </w:rPr>
              <w:t>修改/添加细分</w:t>
            </w:r>
            <w:r>
              <w:rPr>
                <w:rFonts w:ascii="宋体" w:hAnsi="宋体" w:eastAsia="宋体" w:cs="Times New Roman"/>
                <w:i/>
                <w:color w:val="FF0000"/>
                <w:sz w:val="22"/>
              </w:rPr>
              <w:t>类别</w:t>
            </w:r>
            <w:r>
              <w:rPr>
                <w:rFonts w:hint="eastAsia" w:ascii="宋体" w:hAnsi="宋体" w:eastAsia="宋体" w:cs="Times New Roman"/>
                <w:i/>
                <w:color w:val="FF0000"/>
                <w:sz w:val="22"/>
              </w:rPr>
              <w:t>）</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253" w:type="dxa"/>
          </w:tcPr>
          <w:p>
            <w:pPr>
              <w:tabs>
                <w:tab w:val="left" w:pos="5140"/>
              </w:tabs>
              <w:jc w:val="left"/>
              <w:rPr>
                <w:rFonts w:cs="Times New Roman" w:asciiTheme="minorEastAsia" w:hAnsiTheme="minorEastAsia"/>
                <w:b/>
                <w:color w:val="000000" w:themeColor="text1"/>
                <w:sz w:val="22"/>
                <w14:textFill>
                  <w14:solidFill>
                    <w14:schemeClr w14:val="tx1"/>
                  </w14:solidFill>
                </w14:textFill>
              </w:rPr>
            </w:pPr>
            <w:r>
              <w:rPr>
                <w:rFonts w:hint="eastAsia" w:cs="Times New Roman" w:asciiTheme="minorEastAsia" w:hAnsiTheme="minorEastAsia"/>
                <w:b/>
                <w:color w:val="000000" w:themeColor="text1"/>
                <w:sz w:val="22"/>
                <w14:textFill>
                  <w14:solidFill>
                    <w14:schemeClr w14:val="tx1"/>
                  </w14:solidFill>
                </w14:textFill>
              </w:rPr>
              <w:t>合计</w:t>
            </w: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c>
          <w:tcPr>
            <w:tcW w:w="2693" w:type="dxa"/>
          </w:tcPr>
          <w:p>
            <w:pPr>
              <w:tabs>
                <w:tab w:val="left" w:pos="5140"/>
              </w:tabs>
              <w:rPr>
                <w:rFonts w:cs="Times New Roman" w:asciiTheme="minorEastAsia" w:hAnsiTheme="minorEastAsia"/>
                <w:b/>
                <w:color w:val="000000" w:themeColor="text1"/>
                <w:sz w:val="22"/>
                <w14:textFill>
                  <w14:solidFill>
                    <w14:schemeClr w14:val="tx1"/>
                  </w14:solidFill>
                </w14:textFill>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十、</w:t>
      </w:r>
      <w:r>
        <w:rPr>
          <w:rFonts w:ascii="Calibri Light" w:hAnsi="Calibri Light" w:eastAsia="微软雅黑" w:cs="Times New Roman"/>
          <w:b/>
          <w:bCs/>
          <w:sz w:val="22"/>
          <w:szCs w:val="32"/>
        </w:rPr>
        <w:t>对</w:t>
      </w:r>
      <w:r>
        <w:rPr>
          <w:rFonts w:hint="eastAsia" w:ascii="Calibri Light" w:hAnsi="Calibri Light" w:eastAsia="微软雅黑" w:cs="Times New Roman"/>
          <w:b/>
          <w:bCs/>
          <w:sz w:val="22"/>
          <w:szCs w:val="32"/>
        </w:rPr>
        <w:t>关键审计事项的</w:t>
      </w:r>
      <w:r>
        <w:rPr>
          <w:rFonts w:ascii="Calibri Light" w:hAnsi="Calibri Light" w:eastAsia="微软雅黑" w:cs="Times New Roman"/>
          <w:b/>
          <w:bCs/>
          <w:sz w:val="22"/>
          <w:szCs w:val="32"/>
        </w:rPr>
        <w:t>说明</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注：如执行《中国注册会计师审计准则第</w:t>
            </w:r>
            <w:r>
              <w:rPr>
                <w:rFonts w:ascii="宋体" w:hAnsi="宋体" w:eastAsia="宋体" w:cs="Times New Roman"/>
                <w:i/>
                <w:color w:val="FF0000"/>
                <w:kern w:val="0"/>
                <w:sz w:val="20"/>
                <w:szCs w:val="44"/>
              </w:rPr>
              <w:t>1504号——在审计报告中沟通关键审计事项》的，应披露关键审计事项的具体内容，并分析对公司的影响。</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十一</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企业社会责任</w:t>
      </w:r>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rPr>
        <w:t>□  适用  □  不适用</w:t>
      </w:r>
    </w:p>
    <w:tbl>
      <w:tblPr>
        <w:tblStyle w:val="17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：公司应披露承担社会责任的工作情况，包括公司在保护债权人、职工、消费者、供应商、社区等利益相关者合法权益方面所承担的社会责任；</w:t>
            </w:r>
            <w:r>
              <w:rPr>
                <w:rFonts w:hint="eastAsia" w:eastAsia="宋体" w:cs="Times New Roman" w:asciiTheme="minorEastAsia" w:hAnsiTheme="minorEastAsia"/>
                <w:i/>
                <w:color w:val="FF0000"/>
                <w:kern w:val="0"/>
                <w:sz w:val="20"/>
                <w:szCs w:val="44"/>
              </w:rPr>
              <w:t>鼓励公司结合自身生产经营情况、战略发展规划、人才与资源优势等积极披露报告期内巩固拓展脱贫攻坚成果、乡村振兴等工作的具体情况</w:t>
            </w:r>
            <w:r>
              <w:rPr>
                <w:rFonts w:hint="eastAsia" w:ascii="宋体" w:hAnsi="宋体" w:eastAsia="宋体" w:cs="Times New Roman"/>
                <w:i/>
                <w:color w:val="FF0000"/>
                <w:kern w:val="0"/>
                <w:sz w:val="20"/>
                <w:szCs w:val="44"/>
              </w:rPr>
              <w:t>。</w:t>
            </w:r>
          </w:p>
        </w:tc>
      </w:tr>
    </w:tbl>
    <w:p>
      <w:pPr>
        <w:keepNext/>
        <w:keepLines/>
        <w:spacing w:before="100" w:after="100"/>
        <w:outlineLvl w:val="1"/>
        <w:rPr>
          <w:rFonts w:ascii="Calibri Light" w:hAnsi="Calibri Light" w:eastAsia="微软雅黑" w:cs="Times New Roman"/>
          <w:b/>
          <w:bCs/>
          <w:sz w:val="22"/>
          <w:szCs w:val="32"/>
        </w:rPr>
      </w:pPr>
      <w:bookmarkStart w:id="6" w:name="_Toc5435"/>
      <w:bookmarkStart w:id="7" w:name="_Toc12648"/>
      <w:r>
        <w:rPr>
          <w:rFonts w:hint="eastAsia" w:ascii="Calibri Light" w:hAnsi="Calibri Light" w:eastAsia="微软雅黑" w:cs="Times New Roman"/>
          <w:b/>
          <w:bCs/>
          <w:sz w:val="22"/>
          <w:szCs w:val="32"/>
        </w:rPr>
        <w:t>十二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未来展望</w:t>
      </w:r>
      <w:bookmarkEnd w:id="6"/>
      <w:bookmarkEnd w:id="7"/>
      <w:r>
        <w:rPr>
          <w:rFonts w:hint="eastAsia" w:ascii="Calibri Light" w:hAnsi="Calibri Light" w:eastAsia="微软雅黑" w:cs="Times New Roman"/>
          <w:b/>
          <w:bCs/>
          <w:color w:val="FF0000"/>
          <w:sz w:val="22"/>
          <w:szCs w:val="32"/>
        </w:rPr>
        <w:t>（创新层公司适用）</w:t>
      </w:r>
    </w:p>
    <w:p>
      <w:pPr>
        <w:rPr>
          <w:rFonts w:ascii="Calibri" w:hAnsi="Calibri" w:eastAsia="宋体" w:cs="Times New Roman"/>
          <w:b/>
        </w:rPr>
      </w:pPr>
      <w:r>
        <w:rPr>
          <w:rFonts w:hint="eastAsia" w:ascii="Calibri" w:hAnsi="Calibri" w:eastAsia="宋体" w:cs="Times New Roman"/>
          <w:b/>
        </w:rPr>
        <w:t>是否自愿</w:t>
      </w:r>
      <w:r>
        <w:rPr>
          <w:rFonts w:ascii="Calibri" w:hAnsi="Calibri" w:eastAsia="宋体" w:cs="Times New Roman"/>
          <w:b/>
        </w:rPr>
        <w:t>披露</w:t>
      </w:r>
    </w:p>
    <w:p>
      <w:pPr>
        <w:rPr>
          <w:rFonts w:ascii="Calibri" w:hAnsi="Calibri" w:eastAsia="宋体" w:cs="Times New Roman"/>
        </w:rPr>
      </w:pPr>
      <w:r>
        <w:rPr>
          <w:rFonts w:hint="eastAsia" w:ascii="Calibri" w:hAnsi="Calibri" w:eastAsia="宋体" w:cs="Times New Roman"/>
        </w:rPr>
        <w:t>□  是  □  否</w:t>
      </w:r>
    </w:p>
    <w:tbl>
      <w:tblPr>
        <w:tblStyle w:val="4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公司可对下一年度经营计划或目标进行说明。说明可以结合行业发展趋势、公司发展战略及其他可能影响经营计划或目标实现的不确定性因素展开。说明包括但不限于：</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（二）公司发展战略。公司应披露公司发展战略或规划，以及拟开展的新业务、拟开发的新产品、拟投资的新项目等。若公司存在多种业务的，还应当说明各项业务的发展战略或规划。</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（三）经营计划或目标。披露经营计划或目标的，公司应同时简要披露公司经营计划涉及的投资资金的来源、成本及使用情况。</w:t>
            </w:r>
          </w:p>
          <w:p>
            <w:pPr>
              <w:tabs>
                <w:tab w:val="left" w:pos="5140"/>
              </w:tabs>
              <w:rPr>
                <w:rFonts w:hint="eastAsia" w:ascii="宋体" w:hAnsi="宋体" w:eastAsia="宋体" w:cs="Times New Roman"/>
                <w:i/>
                <w:color w:val="FF0000"/>
                <w:kern w:val="0"/>
                <w:sz w:val="20"/>
                <w:szCs w:val="44"/>
                <w:lang w:eastAsia="zh-CN"/>
              </w:rPr>
            </w:pPr>
            <w:r>
              <w:rPr>
                <w:rFonts w:hint="eastAsia" w:ascii="宋体" w:hAnsi="宋体" w:eastAsia="宋体" w:cs="Times New Roman"/>
                <w:i/>
                <w:color w:val="FF0000"/>
                <w:kern w:val="0"/>
                <w:sz w:val="20"/>
                <w:szCs w:val="44"/>
              </w:rPr>
              <w:t>（四）不确定性因素。公司应遵循关联性原则和重要性原则披露对未来发展战略或经营计划有重大影响的不确定性因素并进行说明与分析</w:t>
            </w:r>
            <w:r>
              <w:rPr>
                <w:rFonts w:hint="eastAsia" w:ascii="宋体" w:hAnsi="宋体" w:eastAsia="宋体" w:cs="Times New Roman"/>
                <w:i/>
                <w:color w:val="FF0000"/>
                <w:kern w:val="0"/>
                <w:sz w:val="20"/>
                <w:szCs w:val="44"/>
                <w:lang w:eastAsia="zh-CN"/>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十三、公司面临的重大风险分析</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rPr>
          <w:rFonts w:ascii="Calibri" w:hAnsi="Calibri" w:eastAsia="宋体" w:cs="Times New Roman"/>
          <w:b/>
        </w:rPr>
      </w:pPr>
      <w:r>
        <w:rPr>
          <w:rFonts w:hint="eastAsia" w:ascii="Calibri" w:hAnsi="Calibri" w:eastAsia="宋体" w:cs="Times New Roman"/>
          <w:b/>
        </w:rPr>
        <w:t>是否存在</w:t>
      </w:r>
      <w:r>
        <w:rPr>
          <w:rFonts w:ascii="Calibri" w:hAnsi="Calibri" w:eastAsia="宋体" w:cs="Times New Roman"/>
          <w:b/>
        </w:rPr>
        <w:t>被</w:t>
      </w:r>
      <w:r>
        <w:rPr>
          <w:rFonts w:hint="eastAsia" w:ascii="Calibri" w:hAnsi="Calibri" w:eastAsia="宋体" w:cs="Times New Roman"/>
          <w:b/>
        </w:rPr>
        <w:t>调出创新层的风险</w:t>
      </w:r>
      <w:r>
        <w:rPr>
          <w:rFonts w:hint="eastAsia"/>
          <w:color w:val="FF0000"/>
        </w:rPr>
        <w:t>（创新层公司适用）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注：第二节第一到第十三项披露的部分内容如与财务报表附注相同的，公司可以建立相关查询索引，避免重复。</w:t>
      </w:r>
    </w:p>
    <w:p>
      <w:pPr>
        <w:keepNext/>
        <w:keepLines/>
        <w:spacing w:before="100" w:after="100"/>
        <w:outlineLvl w:val="1"/>
        <w:rPr>
          <w:rFonts w:ascii="Calibri Light" w:hAnsi="Calibri Light" w:eastAsia="微软雅黑" w:cs="Times New Roman"/>
          <w:b/>
          <w:bCs/>
          <w:sz w:val="22"/>
          <w:szCs w:val="32"/>
        </w:rPr>
        <w:sectPr>
          <w:footerReference r:id="rId3" w:type="default"/>
          <w:pgSz w:w="11907" w:h="16839"/>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8" w:name="_Toc23678"/>
      <w:bookmarkStart w:id="9" w:name="_Toc9124"/>
      <w:r>
        <w:rPr>
          <w:rFonts w:hint="eastAsia" w:eastAsia="黑体"/>
          <w:sz w:val="36"/>
        </w:rPr>
        <w:t>第三节</w:t>
      </w:r>
      <w:r>
        <w:rPr>
          <w:rFonts w:eastAsia="黑体"/>
          <w:sz w:val="36"/>
        </w:rPr>
        <w:t xml:space="preserve"> </w:t>
      </w:r>
      <w:r>
        <w:rPr>
          <w:rFonts w:hint="eastAsia" w:eastAsia="黑体"/>
          <w:sz w:val="36"/>
        </w:rPr>
        <w:t>重大事件</w:t>
      </w:r>
      <w:bookmarkEnd w:id="8"/>
      <w:bookmarkEnd w:id="9"/>
    </w:p>
    <w:p>
      <w:pPr>
        <w:keepNext/>
        <w:keepLines/>
        <w:spacing w:before="100" w:after="100"/>
        <w:outlineLvl w:val="1"/>
        <w:rPr>
          <w:rFonts w:ascii="Calibri Light" w:hAnsi="Calibri Light" w:eastAsia="微软雅黑" w:cs="Times New Roman"/>
          <w:b/>
          <w:bCs/>
          <w:sz w:val="22"/>
          <w:szCs w:val="32"/>
        </w:rPr>
      </w:pPr>
      <w:bookmarkStart w:id="10" w:name="_Toc25807"/>
      <w:bookmarkStart w:id="11" w:name="_Toc21538"/>
      <w:r>
        <w:rPr>
          <w:rFonts w:hint="eastAsia" w:ascii="Calibri Light" w:hAnsi="Calibri Light" w:eastAsia="微软雅黑" w:cs="Times New Roman"/>
          <w:b/>
          <w:bCs/>
          <w:sz w:val="22"/>
          <w:szCs w:val="32"/>
        </w:rPr>
        <w:t>一、重大事件索引</w:t>
      </w:r>
      <w:bookmarkEnd w:id="10"/>
      <w:bookmarkEnd w:id="11"/>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bookmarkStart w:id="12" w:name="_Toc24892"/>
            <w:bookmarkStart w:id="13" w:name="_Toc3806"/>
            <w:r>
              <w:rPr>
                <w:rFonts w:hint="eastAsia" w:ascii="宋体" w:hAnsi="宋体" w:eastAsia="宋体" w:cs="Times New Roman"/>
                <w:sz w:val="22"/>
              </w:rPr>
              <w:t>是否存在应当披露的其他重大事项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宋体" w:hAnsi="宋体" w:eastAsia="宋体" w:cs="宋体"/>
          <w:i/>
          <w:iCs/>
          <w:color w:val="FF0000"/>
          <w:szCs w:val="21"/>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rPr>
          <w:rFonts w:ascii="Calibri" w:hAnsi="Calibri" w:eastAsia="宋体" w:cs="Times New Roman"/>
          <w:color w:val="FF0000"/>
        </w:rPr>
      </w:pPr>
      <w:r>
        <w:rPr>
          <w:rFonts w:hint="eastAsia"/>
          <w:color w:val="FF0000"/>
        </w:rPr>
        <w:t>（创新层公司按</w:t>
      </w:r>
      <w:r>
        <w:rPr>
          <w:color w:val="FF0000"/>
        </w:rPr>
        <w:t>下述方式判断</w:t>
      </w:r>
      <w:r>
        <w:rPr>
          <w:rFonts w:hint="eastAsia"/>
          <w:color w:val="FF0000"/>
        </w:rPr>
        <w:t>）</w:t>
      </w:r>
    </w:p>
    <w:p>
      <w:pPr>
        <w:ind w:left="181" w:leftChars="86"/>
        <w:rPr>
          <w:rFonts w:ascii="Calibri" w:hAnsi="Calibri" w:eastAsia="宋体" w:cs="Times New Roman"/>
        </w:rPr>
      </w:pP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rPr>
          <w:rFonts w:ascii="Calibri" w:hAnsi="Calibri" w:eastAsia="宋体" w:cs="Times New Roman"/>
        </w:rPr>
      </w:pPr>
      <w:r>
        <w:rPr>
          <w:rFonts w:hint="eastAsia"/>
          <w:color w:val="FF0000"/>
        </w:rPr>
        <w:t>（基础层公司按</w:t>
      </w:r>
      <w:r>
        <w:rPr>
          <w:color w:val="FF0000"/>
        </w:rPr>
        <w:t>下述方式判断</w:t>
      </w:r>
      <w:r>
        <w:rPr>
          <w:rFonts w:hint="eastAsia"/>
          <w:color w:val="FF0000"/>
        </w:rPr>
        <w:t>）</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6"/>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6"/>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9"/>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color w:val="FF0000"/>
        </w:rPr>
      </w:pPr>
      <w:r>
        <w:rPr>
          <w:rFonts w:hint="eastAsia"/>
          <w:color w:val="FF0000"/>
        </w:rPr>
        <w:t>（创新层公司按</w:t>
      </w:r>
      <w:r>
        <w:rPr>
          <w:color w:val="FF0000"/>
        </w:rPr>
        <w:t>下述方式判断</w:t>
      </w:r>
      <w:r>
        <w:rPr>
          <w:rFonts w:hint="eastAsia"/>
          <w:color w:val="FF0000"/>
        </w:rPr>
        <w:t>）</w:t>
      </w:r>
    </w:p>
    <w:p>
      <w:pPr>
        <w:rPr>
          <w:b/>
        </w:rPr>
      </w:pPr>
      <w:r>
        <w:rPr>
          <w:rFonts w:hint="eastAsia"/>
          <w:b/>
        </w:rPr>
        <w:t>挂牌</w:t>
      </w:r>
      <w:r>
        <w:rPr>
          <w:b/>
        </w:rPr>
        <w:t>公司</w:t>
      </w:r>
      <w:r>
        <w:rPr>
          <w:rFonts w:hint="eastAsia"/>
          <w:b/>
        </w:rPr>
        <w:t>及合并报表</w:t>
      </w:r>
      <w:r>
        <w:rPr>
          <w:b/>
        </w:rPr>
        <w:t>范围内</w:t>
      </w:r>
      <w:r>
        <w:rPr>
          <w:rFonts w:hint="eastAsia"/>
          <w:b/>
        </w:rPr>
        <w:t>子公司</w:t>
      </w:r>
      <w:r>
        <w:rPr>
          <w:b/>
        </w:rPr>
        <w:t>存在</w:t>
      </w:r>
      <w:r>
        <w:rPr>
          <w:rFonts w:hint="eastAsia"/>
          <w:b/>
        </w:rPr>
        <w:t>提供担保</w:t>
      </w:r>
    </w:p>
    <w:p>
      <w:pPr>
        <w:rPr>
          <w:rFonts w:ascii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rPr>
          <w:color w:val="FF0000"/>
        </w:rPr>
      </w:pPr>
      <w:r>
        <w:rPr>
          <w:rFonts w:hint="eastAsia"/>
          <w:color w:val="FF0000"/>
        </w:rPr>
        <w:t>（基础层公司按</w:t>
      </w:r>
      <w:r>
        <w:rPr>
          <w:color w:val="FF0000"/>
        </w:rPr>
        <w:t>下述方式判断</w:t>
      </w:r>
      <w:r>
        <w:rPr>
          <w:rFonts w:hint="eastAsia"/>
          <w:color w:val="FF0000"/>
        </w:rPr>
        <w:t>）</w:t>
      </w:r>
    </w:p>
    <w:p>
      <w:pPr>
        <w:rPr>
          <w:b/>
        </w:rPr>
      </w:pPr>
      <w:r>
        <w:rPr>
          <w:rFonts w:hint="eastAsia"/>
          <w:b/>
        </w:rPr>
        <w:t>挂牌</w:t>
      </w:r>
      <w:r>
        <w:rPr>
          <w:b/>
        </w:rPr>
        <w:t>公司</w:t>
      </w:r>
      <w:r>
        <w:rPr>
          <w:rFonts w:hint="eastAsia"/>
          <w:b/>
        </w:rPr>
        <w:t>及合并报表</w:t>
      </w:r>
      <w:r>
        <w:rPr>
          <w:b/>
        </w:rPr>
        <w:t>范围内</w:t>
      </w:r>
      <w:r>
        <w:rPr>
          <w:rFonts w:hint="eastAsia"/>
          <w:b/>
        </w:rPr>
        <w:t>子公司</w:t>
      </w:r>
      <w:r>
        <w:rPr>
          <w:b/>
        </w:rPr>
        <w:t>存在违规担保事项</w:t>
      </w:r>
      <w:r>
        <w:rPr>
          <w:rFonts w:hint="eastAsia"/>
          <w:b/>
        </w:rPr>
        <w:t>，</w:t>
      </w:r>
      <w:r>
        <w:rPr>
          <w:b/>
        </w:rPr>
        <w:t>或者</w:t>
      </w:r>
      <w:r>
        <w:rPr>
          <w:rFonts w:hint="eastAsia"/>
          <w:b/>
        </w:rPr>
        <w:t>报告期内履行的及尚未履行完毕的</w:t>
      </w:r>
      <w:r>
        <w:rPr>
          <w:b/>
        </w:rPr>
        <w:t>担保</w:t>
      </w:r>
      <w:r>
        <w:rPr>
          <w:rFonts w:hint="eastAsia"/>
          <w:b/>
        </w:rPr>
        <w:t>累计</w:t>
      </w:r>
      <w:r>
        <w:rPr>
          <w:b/>
        </w:rPr>
        <w:t>金额</w:t>
      </w:r>
      <w:r>
        <w:rPr>
          <w:rFonts w:hint="eastAsia"/>
          <w:b/>
        </w:rPr>
        <w:t>超过挂牌公司本年度末合并</w:t>
      </w:r>
      <w:r>
        <w:rPr>
          <w:b/>
        </w:rPr>
        <w:t>报表经审计净资产</w:t>
      </w:r>
      <w:r>
        <w:rPr>
          <w:rFonts w:hint="eastAsia"/>
          <w:b/>
        </w:rPr>
        <w:t>绝对值的10</w:t>
      </w:r>
      <w:r>
        <w:rPr>
          <w:b/>
        </w:rPr>
        <w:t>%</w:t>
      </w:r>
      <w:r>
        <w:rPr>
          <w:rFonts w:hint="eastAsia"/>
          <w:b/>
        </w:rPr>
        <w:t>。</w:t>
      </w:r>
    </w:p>
    <w:p>
      <w:pPr>
        <w:rPr>
          <w:rFonts w:ascii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jc w:val="right"/>
        <w:rPr>
          <w:rFonts w:ascii="Calibri" w:hAnsi="Calibri" w:eastAsia="宋体" w:cs="Times New Roman"/>
        </w:rPr>
      </w:pPr>
      <w:r>
        <w:rPr>
          <w:rFonts w:hint="eastAsia" w:ascii="Calibri" w:hAnsi="Calibri" w:eastAsia="宋体" w:cs="Times New Roman"/>
        </w:rPr>
        <w:t>单位：元</w:t>
      </w:r>
    </w:p>
    <w:tbl>
      <w:tblPr>
        <w:tblStyle w:val="46"/>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right"/>
        <w:rPr>
          <w:rFonts w:hint="eastAsia"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1"/>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6"/>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2"/>
      <w:bookmarkEnd w:id="13"/>
    </w:tbl>
    <w:p>
      <w:pPr>
        <w:jc w:val="left"/>
        <w:rPr>
          <w:rFonts w:ascii="宋体" w:hAnsi="宋体" w:eastAsia="宋体" w:cs="Times New Roman"/>
          <w:b/>
          <w:color w:val="000000"/>
          <w:szCs w:val="24"/>
        </w:rPr>
      </w:pPr>
      <w:bookmarkStart w:id="14" w:name="_Toc10244"/>
      <w:bookmarkStart w:id="15"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pPr w:leftFromText="180" w:rightFromText="180" w:vertAnchor="text" w:tblpXSpec="center" w:tblpY="1"/>
        <w:tblOverlap w:val="never"/>
        <w:tblW w:w="5717"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19"/>
        <w:gridCol w:w="1219"/>
        <w:gridCol w:w="1219"/>
        <w:gridCol w:w="1219"/>
        <w:gridCol w:w="1219"/>
        <w:gridCol w:w="1219"/>
        <w:gridCol w:w="1219"/>
        <w:gridCol w:w="121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tabs>
          <w:tab w:val="left" w:pos="5140"/>
        </w:tabs>
        <w:ind w:right="1050"/>
        <w:jc w:val="both"/>
        <w:rPr>
          <w:rFonts w:hint="eastAsia" w:ascii="Calibri" w:hAnsi="Calibri" w:eastAsia="宋体" w:cs="Times New Roman"/>
        </w:rPr>
      </w:pPr>
    </w:p>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（自动添行）</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（六）</w:t>
      </w:r>
      <w:r>
        <w:rPr>
          <w:rFonts w:hint="eastAsia" w:ascii="Times New Roman" w:hAnsi="Times New Roman" w:eastAsia="宋体" w:cs="Times New Roman"/>
          <w:b/>
          <w:bCs/>
          <w:szCs w:val="32"/>
          <w:lang w:val="zh-CN"/>
        </w:rPr>
        <w:t>股权激励计划、员工持股计划或其他员工激励措施</w:t>
      </w:r>
      <w:bookmarkEnd w:id="14"/>
      <w:bookmarkEnd w:id="15"/>
    </w:p>
    <w:tbl>
      <w:tblPr>
        <w:tblStyle w:val="4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6" w:name="_Toc31983"/>
      <w:bookmarkStart w:id="17" w:name="_Toc7804"/>
      <w:r>
        <w:rPr>
          <w:rFonts w:hint="eastAsia" w:ascii="Times New Roman" w:hAnsi="Times New Roman" w:eastAsia="宋体" w:cs="Times New Roman"/>
          <w:b/>
          <w:bCs/>
          <w:szCs w:val="32"/>
          <w:lang w:val="zh-CN"/>
        </w:rPr>
        <w:t>（七）股份回购情况</w:t>
      </w:r>
    </w:p>
    <w:tbl>
      <w:tblPr>
        <w:tblStyle w:val="18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（八）承诺事项的履行情况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（九）</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6"/>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（十）调查</w:t>
      </w:r>
      <w:r>
        <w:rPr>
          <w:rFonts w:ascii="Times New Roman" w:hAnsi="Times New Roman" w:eastAsia="宋体" w:cs="Times New Roman"/>
          <w:b/>
          <w:bCs/>
          <w:lang w:val="zh-CN"/>
        </w:rPr>
        <w:t>处罚事项</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b/>
          <w:bCs/>
          <w:szCs w:val="32"/>
          <w:lang w:val="zh-CN"/>
        </w:rPr>
        <w:t>十一</w:t>
      </w:r>
      <w:r>
        <w:rPr>
          <w:rFonts w:hint="eastAsia" w:ascii="Times New Roman" w:hAnsi="Times New Roman" w:eastAsia="宋体" w:cs="Times New Roman"/>
          <w:b/>
          <w:bCs/>
          <w:lang w:val="zh-CN"/>
        </w:rPr>
        <w:t>）失信情况</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6"/>
      <w:bookmarkEnd w:id="17"/>
    </w:tbl>
    <w:p>
      <w:pPr>
        <w:keepNext/>
        <w:keepLines/>
        <w:spacing w:before="100" w:after="100"/>
        <w:outlineLvl w:val="2"/>
        <w:rPr>
          <w:rFonts w:ascii="Times New Roman" w:hAnsi="Times New Roman"/>
          <w:b/>
          <w:bCs/>
          <w:color w:val="FF0000"/>
          <w:szCs w:val="32"/>
          <w:lang w:val="zh-CN"/>
        </w:rPr>
      </w:pPr>
      <w:bookmarkStart w:id="18" w:name="_Toc16352"/>
      <w:bookmarkStart w:id="19" w:name="_Toc27292"/>
      <w:r>
        <w:rPr>
          <w:rFonts w:hint="eastAsia" w:ascii="Times New Roman" w:hAnsi="Times New Roman"/>
          <w:b/>
          <w:bCs/>
          <w:szCs w:val="32"/>
          <w:lang w:val="zh-CN"/>
        </w:rPr>
        <w:t>（十二）破产重整事项</w:t>
      </w:r>
      <w:r>
        <w:rPr>
          <w:rFonts w:hint="eastAsia" w:ascii="Times New Roman" w:hAnsi="Times New Roman"/>
          <w:b/>
          <w:bCs/>
          <w:color w:val="FF0000"/>
          <w:szCs w:val="32"/>
          <w:lang w:val="zh-CN"/>
        </w:rPr>
        <w:t>（基础层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keepNext/>
        <w:keepLines/>
        <w:spacing w:before="100" w:after="100"/>
        <w:outlineLvl w:val="2"/>
        <w:rPr>
          <w:rFonts w:ascii="Times New Roman" w:hAnsi="Times New Roman"/>
          <w:b/>
          <w:bCs/>
          <w:color w:val="FF0000"/>
          <w:szCs w:val="32"/>
          <w:lang w:val="zh-CN"/>
        </w:rPr>
      </w:pPr>
      <w:r>
        <w:rPr>
          <w:rFonts w:hint="eastAsia" w:ascii="Times New Roman" w:hAnsi="Times New Roman" w:eastAsia="宋体" w:cs="Times New Roman"/>
          <w:b/>
          <w:bCs/>
          <w:lang w:val="zh-CN"/>
        </w:rPr>
        <w:t>（十三）应当披露的其他重大</w:t>
      </w:r>
      <w:r>
        <w:rPr>
          <w:rFonts w:ascii="Times New Roman" w:hAnsi="Times New Roman" w:eastAsia="宋体" w:cs="Times New Roman"/>
          <w:b/>
          <w:bCs/>
          <w:lang w:val="zh-CN"/>
        </w:rPr>
        <w:t>事项</w:t>
      </w:r>
      <w:r>
        <w:rPr>
          <w:rFonts w:hint="eastAsia" w:ascii="Times New Roman" w:hAnsi="Times New Roman"/>
          <w:b/>
          <w:bCs/>
          <w:color w:val="FF0000"/>
          <w:szCs w:val="32"/>
          <w:lang w:val="zh-CN"/>
        </w:rPr>
        <w:t>（创新层</w:t>
      </w:r>
      <w:r>
        <w:rPr>
          <w:rFonts w:ascii="Times New Roman" w:hAnsi="Times New Roman"/>
          <w:b/>
          <w:bCs/>
          <w:color w:val="FF0000"/>
          <w:szCs w:val="32"/>
          <w:lang w:val="zh-CN"/>
        </w:rPr>
        <w:t>公司适用</w:t>
      </w:r>
      <w:r>
        <w:rPr>
          <w:rFonts w:hint="eastAsia" w:ascii="Times New Roman" w:hAnsi="Times New Roman"/>
          <w:b/>
          <w:bCs/>
          <w:color w:val="FF0000"/>
          <w:szCs w:val="32"/>
          <w:lang w:val="zh-CN"/>
        </w:rPr>
        <w:t>）</w:t>
      </w:r>
    </w:p>
    <w:tbl>
      <w:tblPr>
        <w:tblStyle w:val="18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00" w:firstLineChars="100"/>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pPr>
        <w:pStyle w:val="2"/>
        <w:spacing w:before="100" w:after="100" w:line="240" w:lineRule="auto"/>
        <w:jc w:val="center"/>
        <w:rPr>
          <w:rFonts w:eastAsia="黑体"/>
          <w:sz w:val="36"/>
        </w:rPr>
        <w:sectPr>
          <w:footerReference r:id="rId4" w:type="default"/>
          <w:pgSz w:w="11907" w:h="16839"/>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r>
        <w:rPr>
          <w:rFonts w:hint="eastAsia" w:eastAsia="黑体"/>
          <w:sz w:val="36"/>
        </w:rPr>
        <w:t>第四节 股份变动、融资和利润分配</w:t>
      </w:r>
      <w:bookmarkEnd w:id="18"/>
      <w:bookmarkEnd w:id="19"/>
    </w:p>
    <w:p>
      <w:pPr>
        <w:pStyle w:val="3"/>
        <w:spacing w:before="100" w:after="100" w:line="240" w:lineRule="auto"/>
        <w:rPr>
          <w:rFonts w:eastAsia="微软雅黑" w:asciiTheme="majorHAnsi" w:hAnsiTheme="majorHAnsi" w:cstheme="majorBidi"/>
          <w:sz w:val="22"/>
          <w:lang w:val="zh-CN"/>
        </w:rPr>
      </w:pPr>
      <w:bookmarkStart w:id="20" w:name="_Toc32232"/>
      <w:bookmarkStart w:id="21"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20"/>
      <w:bookmarkEnd w:id="21"/>
    </w:p>
    <w:p>
      <w:pPr>
        <w:keepNext/>
        <w:keepLines/>
        <w:spacing w:before="100" w:after="100"/>
        <w:outlineLvl w:val="2"/>
        <w:rPr>
          <w:rFonts w:ascii="Times New Roman" w:hAnsi="Times New Roman" w:eastAsia="宋体" w:cs="Times New Roman"/>
          <w:b/>
          <w:bCs/>
          <w:szCs w:val="32"/>
          <w:lang w:val="zh-CN"/>
        </w:rPr>
      </w:pPr>
      <w:bookmarkStart w:id="22" w:name="_Toc5389"/>
      <w:bookmarkStart w:id="23" w:name="_Toc20566"/>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2"/>
      <w:bookmarkEnd w:id="23"/>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0"/>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4" w:name="_Toc16120"/>
      <w:bookmarkStart w:id="25"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4"/>
      <w:bookmarkEnd w:id="25"/>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6"/>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rPr>
          <w:rFonts w:ascii="Calibri" w:hAnsi="Calibri" w:eastAsia="宋体" w:cs="Times New Roman"/>
          <w:b/>
          <w:szCs w:val="21"/>
        </w:rPr>
      </w:pPr>
      <w:r>
        <w:rPr>
          <w:rFonts w:hint="eastAsia" w:asciiTheme="minorEastAsia" w:hAnsiTheme="minorEastAsia"/>
          <w:b/>
          <w:color w:val="000000" w:themeColor="text1"/>
          <w:szCs w:val="44"/>
          <w14:textFill>
            <w14:solidFill>
              <w14:schemeClr w14:val="tx1"/>
            </w14:solidFill>
          </w14:textFill>
        </w:rPr>
        <w:t>普通股前十名股东情况说明</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适用</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不适用</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Theme="minorEastAsia" w:hAnsiTheme="minorEastAsia"/>
                <w:i/>
                <w:color w:val="FF0000"/>
                <w:szCs w:val="44"/>
              </w:rPr>
              <w:t>如普通股前十名股东之间存在关联关系或属于《上市公司收购管理办法》规定的一致行动人，应当予以说明</w:t>
            </w:r>
            <w:r>
              <w:rPr>
                <w:rFonts w:hint="eastAsia" w:ascii="Calibri" w:hAnsi="Calibri" w:eastAsia="宋体" w:cs="Times New Roman"/>
                <w:i/>
                <w:color w:val="FF0000"/>
              </w:rPr>
              <w:t>。</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6" w:name="_Toc21810"/>
      <w:bookmarkStart w:id="27"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6"/>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3"/>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8" w:name="_Toc25205"/>
      <w:bookmarkStart w:id="29" w:name="_Toc18252"/>
      <w:r>
        <w:rPr>
          <w:rFonts w:hint="eastAsia" w:ascii="宋体" w:hAnsi="宋体" w:eastAsia="宋体" w:cs="Times New Roman"/>
          <w:b/>
          <w:color w:val="000000"/>
          <w:szCs w:val="44"/>
        </w:rPr>
        <w:t>（一）基本情况</w:t>
      </w:r>
      <w:bookmarkEnd w:id="28"/>
      <w:bookmarkEnd w:id="29"/>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8802"/>
      <w:bookmarkStart w:id="31" w:name="_Toc20245"/>
      <w:r>
        <w:rPr>
          <w:rFonts w:hint="eastAsia" w:ascii="宋体" w:hAnsi="宋体" w:eastAsia="宋体" w:cs="Times New Roman"/>
          <w:b/>
          <w:color w:val="000000"/>
          <w:szCs w:val="44"/>
        </w:rPr>
        <w:t>（二）股东情况</w:t>
      </w:r>
      <w:bookmarkEnd w:id="30"/>
      <w:bookmarkEnd w:id="31"/>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3805"/>
      <w:bookmarkStart w:id="33" w:name="_Toc4858"/>
      <w:r>
        <w:rPr>
          <w:rFonts w:hint="eastAsia" w:ascii="宋体" w:hAnsi="宋体" w:eastAsia="宋体" w:cs="Times New Roman"/>
          <w:b/>
          <w:color w:val="000000"/>
          <w:szCs w:val="44"/>
        </w:rPr>
        <w:t>（三）利润分配情况</w:t>
      </w:r>
      <w:bookmarkEnd w:id="32"/>
      <w:bookmarkEnd w:id="33"/>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7866"/>
      <w:bookmarkStart w:id="35" w:name="_Toc24383"/>
      <w:r>
        <w:rPr>
          <w:rFonts w:hint="eastAsia" w:ascii="宋体" w:hAnsi="宋体" w:eastAsia="宋体" w:cs="Times New Roman"/>
          <w:b/>
          <w:color w:val="000000"/>
          <w:szCs w:val="44"/>
        </w:rPr>
        <w:t>（四）回购情况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8903"/>
      <w:bookmarkStart w:id="37" w:name="_Toc30085"/>
      <w:r>
        <w:rPr>
          <w:rFonts w:hint="eastAsia" w:ascii="宋体" w:hAnsi="宋体" w:eastAsia="宋体" w:cs="Times New Roman"/>
          <w:b/>
          <w:color w:val="000000"/>
          <w:szCs w:val="44"/>
        </w:rPr>
        <w:t>（五）转换情况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8" w:name="_Toc14503"/>
      <w:bookmarkStart w:id="39" w:name="_Toc8453"/>
      <w:r>
        <w:rPr>
          <w:rFonts w:hint="eastAsia" w:ascii="宋体" w:hAnsi="宋体" w:eastAsia="宋体" w:cs="Times New Roman"/>
          <w:b/>
          <w:color w:val="000000"/>
          <w:szCs w:val="44"/>
        </w:rPr>
        <w:t>（六）表决权恢复情况</w:t>
      </w:r>
      <w:bookmarkEnd w:id="38"/>
      <w:bookmarkEnd w:id="39"/>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 w:val="22"/>
                <w:szCs w:val="22"/>
              </w:rPr>
            </w:pPr>
          </w:p>
        </w:tc>
        <w:tc>
          <w:tcPr>
            <w:tcW w:w="1010" w:type="dxa"/>
            <w:vMerge w:val="continue"/>
          </w:tcPr>
          <w:p>
            <w:pPr>
              <w:tabs>
                <w:tab w:val="left" w:pos="5140"/>
              </w:tabs>
              <w:rPr>
                <w:rFonts w:ascii="宋体" w:hAnsi="宋体" w:eastAsia="宋体" w:cs="Times New Roman"/>
                <w:color w:val="000000"/>
                <w:sz w:val="22"/>
                <w:szCs w:val="22"/>
              </w:rPr>
            </w:pPr>
          </w:p>
        </w:tc>
        <w:tc>
          <w:tcPr>
            <w:tcW w:w="1485" w:type="dxa"/>
            <w:vMerge w:val="continue"/>
          </w:tcPr>
          <w:p>
            <w:pPr>
              <w:tabs>
                <w:tab w:val="left" w:pos="5140"/>
              </w:tabs>
              <w:rPr>
                <w:rFonts w:ascii="宋体" w:hAnsi="宋体" w:eastAsia="宋体" w:cs="Times New Roman"/>
                <w:color w:val="000000"/>
                <w:sz w:val="22"/>
                <w:szCs w:val="22"/>
              </w:rPr>
            </w:pPr>
          </w:p>
        </w:tc>
        <w:tc>
          <w:tcPr>
            <w:tcW w:w="1545" w:type="dxa"/>
            <w:vMerge w:val="continue"/>
          </w:tcPr>
          <w:p>
            <w:pPr>
              <w:tabs>
                <w:tab w:val="left" w:pos="5140"/>
              </w:tabs>
              <w:rPr>
                <w:rFonts w:ascii="宋体" w:hAnsi="宋体" w:eastAsia="宋体" w:cs="Times New Roman"/>
                <w:color w:val="000000"/>
                <w:sz w:val="22"/>
                <w:szCs w:val="22"/>
              </w:rPr>
            </w:pPr>
          </w:p>
        </w:tc>
        <w:tc>
          <w:tcPr>
            <w:tcW w:w="1206" w:type="dxa"/>
            <w:vMerge w:val="continue"/>
            <w:shd w:val="clear" w:color="auto" w:fill="D0CECE"/>
          </w:tcPr>
          <w:p>
            <w:pPr>
              <w:tabs>
                <w:tab w:val="left" w:pos="5140"/>
              </w:tabs>
              <w:rPr>
                <w:rFonts w:ascii="宋体" w:hAnsi="宋体" w:eastAsia="宋体" w:cs="Times New Roman"/>
                <w:color w:val="000000"/>
                <w:sz w:val="22"/>
                <w:szCs w:val="22"/>
              </w:rPr>
            </w:pPr>
          </w:p>
        </w:tc>
        <w:tc>
          <w:tcPr>
            <w:tcW w:w="1276"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40" w:name="_Toc8826"/>
      <w:bookmarkStart w:id="41" w:name="_Toc18418"/>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40"/>
      <w:bookmarkEnd w:id="41"/>
    </w:p>
    <w:p>
      <w:pPr>
        <w:keepNext/>
        <w:keepLines/>
        <w:spacing w:before="100" w:after="100"/>
        <w:outlineLvl w:val="2"/>
        <w:rPr>
          <w:rFonts w:ascii="Times New Roman" w:hAnsi="Times New Roman" w:eastAsia="宋体" w:cs="Times New Roman"/>
          <w:b/>
          <w:bCs/>
          <w:szCs w:val="32"/>
          <w:lang w:val="zh-CN"/>
        </w:rPr>
      </w:pPr>
      <w:bookmarkStart w:id="42" w:name="_Toc27262"/>
      <w:bookmarkStart w:id="43" w:name="_Toc22605"/>
      <w:r>
        <w:rPr>
          <w:rFonts w:hint="eastAsia" w:ascii="Times New Roman" w:hAnsi="Times New Roman" w:eastAsia="宋体" w:cs="Times New Roman"/>
          <w:b/>
          <w:bCs/>
          <w:szCs w:val="32"/>
          <w:lang w:val="zh-CN"/>
        </w:rPr>
        <w:t>（一）报告期内的利润分配与公积金转增股本情况</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4" w:name="_Toc4775"/>
      <w:bookmarkStart w:id="45" w:name="_Toc30584"/>
      <w:r>
        <w:rPr>
          <w:rFonts w:hint="eastAsia" w:ascii="Times New Roman" w:hAnsi="Times New Roman" w:eastAsia="宋体" w:cs="Times New Roman"/>
          <w:b/>
          <w:bCs/>
          <w:szCs w:val="32"/>
          <w:lang w:val="zh-CN"/>
        </w:rPr>
        <w:t>（二）权益分派预案</w:t>
      </w:r>
      <w:bookmarkEnd w:id="44"/>
      <w:bookmarkEnd w:id="4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w:t>
            </w:r>
            <w:r>
              <w:rPr>
                <w:rFonts w:hint="default" w:ascii="Times New Roman" w:hAnsi="Times New Roman" w:eastAsia="宋体" w:cs="Times New Roman"/>
                <w:b/>
                <w:color w:val="000000"/>
                <w:kern w:val="0"/>
                <w:sz w:val="22"/>
                <w:szCs w:val="20"/>
              </w:rPr>
              <w:t>0</w:t>
            </w:r>
            <w:r>
              <w:rPr>
                <w:rFonts w:ascii="宋体" w:hAnsi="宋体" w:eastAsia="宋体" w:cs="Times New Roman"/>
                <w:b/>
                <w:color w:val="000000"/>
                <w:kern w:val="0"/>
                <w:sz w:val="22"/>
                <w:szCs w:val="20"/>
              </w:rPr>
              <w:t>股派现数</w:t>
            </w: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268"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1770"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jc w:val="left"/>
        <w:rPr>
          <w:lang w:val="zh-CN"/>
        </w:rPr>
      </w:pPr>
    </w:p>
    <w:p>
      <w:pPr>
        <w:pStyle w:val="2"/>
        <w:tabs>
          <w:tab w:val="left" w:pos="5140"/>
        </w:tabs>
        <w:spacing w:before="100" w:after="100"/>
        <w:jc w:val="center"/>
        <w:rPr>
          <w:rFonts w:eastAsia="黑体"/>
          <w:b w:val="0"/>
          <w:bCs w:val="0"/>
          <w:sz w:val="36"/>
        </w:rPr>
        <w:sectPr>
          <w:pgSz w:w="11907" w:h="16839"/>
          <w:pgMar w:top="1440" w:right="1797" w:bottom="1440" w:left="1797" w:header="851" w:footer="992" w:gutter="0"/>
          <w:cols w:space="425" w:num="1"/>
          <w:docGrid w:type="lines" w:linePitch="312" w:charSpace="0"/>
        </w:sectPr>
      </w:pPr>
    </w:p>
    <w:p>
      <w:pPr>
        <w:pStyle w:val="2"/>
        <w:tabs>
          <w:tab w:val="left" w:pos="5140"/>
        </w:tabs>
        <w:spacing w:before="100" w:after="100"/>
        <w:jc w:val="center"/>
        <w:rPr>
          <w:rFonts w:ascii="黑体" w:hAnsi="黑体" w:eastAsia="黑体"/>
          <w:color w:val="000000" w:themeColor="text1"/>
          <w:sz w:val="36"/>
          <w:szCs w:val="28"/>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第五节</w:t>
      </w:r>
      <w:r>
        <w:rPr>
          <w:rFonts w:ascii="黑体" w:hAnsi="黑体" w:eastAsia="黑体"/>
          <w:color w:val="000000" w:themeColor="text1"/>
          <w:sz w:val="36"/>
          <w:szCs w:val="28"/>
          <w14:textFill>
            <w14:solidFill>
              <w14:schemeClr w14:val="tx1"/>
            </w14:solidFill>
          </w14:textFill>
        </w:rPr>
        <w:t xml:space="preserve"> </w:t>
      </w:r>
      <w:r>
        <w:rPr>
          <w:rFonts w:hint="eastAsia" w:ascii="黑体" w:hAnsi="黑体" w:eastAsia="黑体"/>
          <w:color w:val="000000" w:themeColor="text1"/>
          <w:sz w:val="36"/>
          <w:szCs w:val="28"/>
          <w14:textFill>
            <w14:solidFill>
              <w14:schemeClr w14:val="tx1"/>
            </w14:solidFill>
          </w14:textFill>
        </w:rPr>
        <w:t>行业信息</w:t>
      </w:r>
    </w:p>
    <w:p>
      <w:pP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是否自愿</w:t>
      </w:r>
      <w:r>
        <w:rPr>
          <w:rFonts w:cs="Times New Roman" w:asciiTheme="minorEastAsia" w:hAnsiTheme="minorEastAsia"/>
          <w:color w:val="000000" w:themeColor="text1"/>
          <w:szCs w:val="21"/>
          <w14:textFill>
            <w14:solidFill>
              <w14:schemeClr w14:val="tx1"/>
            </w14:solidFill>
          </w14:textFill>
        </w:rPr>
        <w:t>披露</w:t>
      </w:r>
    </w:p>
    <w:p>
      <w:pPr>
        <w:rPr>
          <w:rFonts w:ascii="Calibri" w:hAnsi="Calibri" w:eastAsia="宋体" w:cs="Times New Roman"/>
          <w:b/>
        </w:rPr>
      </w:pPr>
      <w:r>
        <w:rPr>
          <w:rFonts w:hint="eastAsia" w:ascii="Calibri" w:hAnsi="Calibri" w:eastAsia="宋体" w:cs="Times New Roman"/>
        </w:rPr>
        <w:t>□  是 □  否</w:t>
      </w:r>
    </w:p>
    <w:tbl>
      <w:tblPr>
        <w:tblStyle w:val="12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cs="Times New Roman" w:asciiTheme="minorEastAsia" w:hAnsiTheme="minorEastAsia"/>
                <w:i/>
                <w:color w:val="FF0000"/>
                <w:szCs w:val="21"/>
              </w:rPr>
            </w:pPr>
          </w:p>
          <w:p>
            <w:pPr>
              <w:tabs>
                <w:tab w:val="left" w:pos="5140"/>
              </w:tabs>
              <w:rPr>
                <w:rFonts w:cs="Times New Roman" w:asciiTheme="minorEastAsia" w:hAnsiTheme="minorEastAsia"/>
                <w:color w:val="000000" w:themeColor="text1"/>
                <w:szCs w:val="21"/>
                <w14:textFill>
                  <w14:solidFill>
                    <w14:schemeClr w14:val="tx1"/>
                  </w14:solidFill>
                </w14:textFill>
              </w:rPr>
            </w:pPr>
          </w:p>
        </w:tc>
      </w:tr>
    </w:tbl>
    <w:p>
      <w:pPr>
        <w:pStyle w:val="2"/>
        <w:spacing w:before="100" w:after="100" w:line="240" w:lineRule="auto"/>
        <w:jc w:val="center"/>
        <w:rPr>
          <w:rFonts w:eastAsia="黑体"/>
          <w:sz w:val="36"/>
        </w:rPr>
        <w:sectPr>
          <w:pgSz w:w="11907" w:h="16839"/>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bookmarkEnd w:id="26"/>
      <w:bookmarkEnd w:id="27"/>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6" w:name="_Toc8141"/>
      <w:bookmarkStart w:id="47" w:name="_Toc22910"/>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注：创新层公司</w:t>
      </w:r>
      <w:r>
        <w:rPr>
          <w:rFonts w:ascii="Calibri" w:hAnsi="Calibri" w:eastAsia="宋体" w:cs="Times New Roman"/>
          <w:i/>
          <w:color w:val="FF0000"/>
        </w:rPr>
        <w:t>应当披露</w:t>
      </w:r>
      <w:r>
        <w:rPr>
          <w:rFonts w:hint="eastAsia" w:ascii="Calibri" w:hAnsi="Calibri" w:eastAsia="宋体" w:cs="Times New Roman"/>
          <w:i/>
          <w:color w:val="FF0000"/>
        </w:rPr>
        <w:t>现任</w:t>
      </w:r>
      <w:r>
        <w:rPr>
          <w:rFonts w:ascii="Calibri" w:hAnsi="Calibri" w:eastAsia="宋体" w:cs="Times New Roman"/>
          <w:i/>
          <w:color w:val="FF0000"/>
        </w:rPr>
        <w:t>及报告期内离任的董事、监事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的基本</w:t>
      </w:r>
      <w:r>
        <w:rPr>
          <w:rFonts w:ascii="Calibri" w:hAnsi="Calibri" w:eastAsia="宋体" w:cs="Times New Roman"/>
          <w:i/>
          <w:color w:val="FF0000"/>
        </w:rPr>
        <w:t>情况</w:t>
      </w:r>
      <w:r>
        <w:rPr>
          <w:rFonts w:hint="eastAsia" w:ascii="Calibri" w:hAnsi="Calibri" w:eastAsia="宋体" w:cs="Times New Roman"/>
          <w:i/>
          <w:color w:val="FF0000"/>
        </w:rPr>
        <w:t>，基础层公司</w:t>
      </w:r>
      <w:r>
        <w:rPr>
          <w:rFonts w:ascii="Calibri" w:hAnsi="Calibri" w:eastAsia="宋体" w:cs="Times New Roman"/>
          <w:i/>
          <w:color w:val="FF0000"/>
        </w:rPr>
        <w:t>应当披露</w:t>
      </w:r>
      <w:r>
        <w:rPr>
          <w:rFonts w:hint="eastAsia" w:ascii="Calibri" w:hAnsi="Calibri" w:eastAsia="宋体" w:cs="Times New Roman"/>
          <w:i/>
          <w:color w:val="FF0000"/>
        </w:rPr>
        <w:t>报告期内新任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的基本情况</w:t>
      </w:r>
      <w:r>
        <w:rPr>
          <w:rFonts w:ascii="Calibri" w:hAnsi="Calibri" w:eastAsia="宋体" w:cs="Times New Roman"/>
          <w:i/>
          <w:color w:val="FF0000"/>
        </w:rPr>
        <w:t>。</w:t>
      </w:r>
    </w:p>
    <w:p>
      <w:pPr>
        <w:rPr>
          <w:rFonts w:ascii="Calibri" w:hAnsi="Calibri" w:eastAsia="宋体" w:cs="Times New Roman"/>
          <w:i/>
          <w:color w:val="FF0000"/>
        </w:rPr>
      </w:pP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6"/>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6"/>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6"/>
    <w:bookmarkEnd w:id="47"/>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9"/>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E7E6E6" w:themeFill="background2"/>
            <w:vAlign w:val="center"/>
          </w:tcPr>
          <w:p>
            <w:pPr>
              <w:jc w:val="center"/>
              <w:rPr>
                <w:b/>
                <w:sz w:val="22"/>
              </w:rPr>
            </w:pPr>
            <w:r>
              <w:rPr>
                <w:rFonts w:hint="eastAsia"/>
                <w:b/>
                <w:sz w:val="22"/>
              </w:rPr>
              <w:t>姓名</w:t>
            </w:r>
          </w:p>
        </w:tc>
        <w:tc>
          <w:tcPr>
            <w:tcW w:w="729" w:type="pct"/>
            <w:shd w:val="clear" w:color="auto" w:fill="E7E6E6" w:themeFill="background2"/>
            <w:vAlign w:val="center"/>
          </w:tcPr>
          <w:p>
            <w:pPr>
              <w:jc w:val="center"/>
              <w:rPr>
                <w:b/>
                <w:sz w:val="22"/>
              </w:rPr>
            </w:pPr>
            <w:r>
              <w:rPr>
                <w:rFonts w:hint="eastAsia"/>
                <w:b/>
                <w:sz w:val="22"/>
              </w:rPr>
              <w:t>变动情况</w:t>
            </w:r>
          </w:p>
        </w:tc>
        <w:tc>
          <w:tcPr>
            <w:tcW w:w="441" w:type="pct"/>
            <w:shd w:val="clear" w:color="auto" w:fill="E7E6E6" w:themeFill="background2"/>
            <w:vAlign w:val="center"/>
          </w:tcPr>
          <w:p>
            <w:pPr>
              <w:jc w:val="center"/>
              <w:rPr>
                <w:b/>
                <w:sz w:val="22"/>
              </w:rPr>
            </w:pPr>
            <w:r>
              <w:rPr>
                <w:rFonts w:hint="eastAsia"/>
                <w:b/>
                <w:sz w:val="22"/>
              </w:rPr>
              <w:t>职务</w:t>
            </w:r>
          </w:p>
        </w:tc>
        <w:tc>
          <w:tcPr>
            <w:tcW w:w="1250" w:type="pct"/>
            <w:shd w:val="clear" w:color="auto" w:fill="E7E6E6" w:themeFill="background2"/>
            <w:vAlign w:val="center"/>
          </w:tcPr>
          <w:p>
            <w:pPr>
              <w:widowControl/>
              <w:jc w:val="center"/>
              <w:rPr>
                <w:b/>
                <w:sz w:val="22"/>
              </w:rPr>
            </w:pPr>
            <w:r>
              <w:rPr>
                <w:rFonts w:hint="eastAsia"/>
                <w:b/>
                <w:sz w:val="22"/>
              </w:rPr>
              <w:t>期初持普通股股数</w:t>
            </w:r>
          </w:p>
        </w:tc>
        <w:tc>
          <w:tcPr>
            <w:tcW w:w="809" w:type="pct"/>
            <w:shd w:val="clear" w:color="auto" w:fill="E7E6E6" w:themeFill="background2"/>
            <w:vAlign w:val="center"/>
          </w:tcPr>
          <w:p>
            <w:pPr>
              <w:widowControl/>
              <w:jc w:val="center"/>
              <w:rPr>
                <w:b/>
                <w:sz w:val="22"/>
              </w:rPr>
            </w:pPr>
            <w:r>
              <w:rPr>
                <w:rFonts w:hint="eastAsia"/>
                <w:b/>
                <w:sz w:val="22"/>
              </w:rPr>
              <w:t>持股</w:t>
            </w:r>
            <w:r>
              <w:rPr>
                <w:b/>
                <w:sz w:val="22"/>
              </w:rPr>
              <w:t>数量变动</w:t>
            </w:r>
          </w:p>
        </w:tc>
        <w:tc>
          <w:tcPr>
            <w:tcW w:w="1029" w:type="pct"/>
            <w:shd w:val="clear" w:color="auto" w:fill="E7E6E6" w:themeFill="background2"/>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9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8" w:name="_Toc28124"/>
      <w:bookmarkStart w:id="49" w:name="_Toc11304"/>
      <w:bookmarkStart w:id="50" w:name="_Toc26572"/>
      <w:bookmarkStart w:id="51" w:name="_Toc9561"/>
      <w:bookmarkStart w:id="52" w:name="_Toc3366"/>
      <w:bookmarkStart w:id="53"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8"/>
      <w:bookmarkEnd w:id="49"/>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4" w:name="_Toc14513"/>
      <w:bookmarkStart w:id="55" w:name="_Toc1328"/>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4"/>
      <w:bookmarkEnd w:id="55"/>
      <w:r>
        <w:rPr>
          <w:rFonts w:hint="eastAsia" w:ascii="Times New Roman" w:hAnsi="Times New Roman" w:eastAsia="宋体" w:cs="Times New Roman"/>
          <w:b/>
          <w:bCs/>
          <w:szCs w:val="32"/>
          <w:lang w:val="zh-CN"/>
        </w:rPr>
        <w:t>基本情况</w:t>
      </w:r>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6" w:name="_Toc1322"/>
      <w:bookmarkStart w:id="57" w:name="_Toc4118"/>
      <w:r>
        <w:rPr>
          <w:rFonts w:hint="eastAsia" w:ascii="Times New Roman" w:hAnsi="Times New Roman" w:eastAsia="宋体" w:cs="Times New Roman"/>
          <w:b/>
          <w:bCs/>
          <w:szCs w:val="32"/>
          <w:lang w:val="zh-CN"/>
        </w:rPr>
        <w:t>（二）</w:t>
      </w:r>
      <w:bookmarkStart w:id="58" w:name="_Toc32612"/>
      <w:bookmarkStart w:id="59"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8"/>
      <w:bookmarkEnd w:id="59"/>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60" w:name="_Toc12351"/>
      <w:bookmarkStart w:id="61"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60"/>
      <w:bookmarkEnd w:id="61"/>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2" w:name="_Toc26971"/>
      <w:bookmarkStart w:id="63"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2"/>
      <w:bookmarkEnd w:id="63"/>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6"/>
      <w:bookmarkEnd w:id="57"/>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50"/>
      <w:bookmarkEnd w:id="51"/>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6"/>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spacing w:before="100" w:after="100"/>
        <w:jc w:val="center"/>
        <w:rPr>
          <w:rFonts w:eastAsia="黑体"/>
          <w:b/>
          <w:bCs/>
          <w:sz w:val="36"/>
        </w:rPr>
        <w:sectPr>
          <w:pgSz w:w="11907" w:h="16839"/>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r>
        <w:rPr>
          <w:rFonts w:hint="eastAsia" w:eastAsia="黑体"/>
          <w:sz w:val="36"/>
        </w:rPr>
        <w:t>第七节</w:t>
      </w:r>
      <w:r>
        <w:rPr>
          <w:rFonts w:eastAsia="黑体"/>
          <w:sz w:val="36"/>
        </w:rPr>
        <w:t xml:space="preserve"> </w:t>
      </w:r>
      <w:r>
        <w:rPr>
          <w:rFonts w:hint="eastAsia" w:eastAsia="黑体"/>
          <w:sz w:val="36"/>
        </w:rPr>
        <w:t>财务会计报告</w:t>
      </w:r>
      <w:bookmarkEnd w:id="52"/>
      <w:bookmarkEnd w:id="53"/>
    </w:p>
    <w:p>
      <w:pPr>
        <w:keepNext/>
        <w:keepLines/>
        <w:spacing w:before="100" w:after="100"/>
        <w:outlineLvl w:val="1"/>
        <w:rPr>
          <w:rFonts w:ascii="Calibri Light" w:hAnsi="Calibri Light" w:eastAsia="微软雅黑" w:cs="Times New Roman"/>
          <w:b/>
          <w:bCs/>
          <w:sz w:val="22"/>
          <w:szCs w:val="32"/>
        </w:rPr>
      </w:pPr>
      <w:bookmarkStart w:id="64" w:name="_Toc24970"/>
      <w:bookmarkStart w:id="65"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4"/>
      <w:bookmarkEnd w:id="65"/>
    </w:p>
    <w:tbl>
      <w:tblPr>
        <w:tblStyle w:val="4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eastAsia="微软雅黑" w:asciiTheme="majorHAnsi" w:hAnsiTheme="majorHAnsi" w:cstheme="majorBidi"/>
          <w:b/>
          <w:bCs/>
          <w:sz w:val="22"/>
          <w:szCs w:val="32"/>
        </w:rPr>
      </w:pPr>
      <w:bookmarkStart w:id="66" w:name="_Toc13862"/>
      <w:bookmarkStart w:id="67" w:name="_Toc29146"/>
      <w:bookmarkStart w:id="68" w:name="_Toc247371786"/>
      <w:bookmarkStart w:id="69" w:name="_Toc369159472"/>
      <w:bookmarkStart w:id="70" w:name="_Toc241636382"/>
      <w:bookmarkStart w:id="71" w:name="_Toc247094011"/>
      <w:r>
        <w:rPr>
          <w:rFonts w:eastAsia="微软雅黑" w:asciiTheme="majorHAnsi" w:hAnsiTheme="majorHAnsi" w:cstheme="majorBidi"/>
          <w:b/>
          <w:bCs/>
          <w:sz w:val="22"/>
          <w:szCs w:val="32"/>
        </w:rPr>
        <w:t>二</w:t>
      </w:r>
      <w:r>
        <w:rPr>
          <w:rFonts w:hint="eastAsia" w:eastAsia="微软雅黑" w:asciiTheme="majorHAnsi" w:hAnsiTheme="majorHAnsi" w:cstheme="majorBidi"/>
          <w:b/>
          <w:bCs/>
          <w:sz w:val="22"/>
          <w:szCs w:val="32"/>
        </w:rPr>
        <w:t>、</w:t>
      </w:r>
      <w:r>
        <w:rPr>
          <w:rFonts w:eastAsia="微软雅黑" w:asciiTheme="majorHAnsi" w:hAnsiTheme="majorHAnsi" w:cstheme="majorBidi"/>
          <w:b/>
          <w:bCs/>
          <w:sz w:val="22"/>
          <w:szCs w:val="32"/>
        </w:rPr>
        <w:t>财务报表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 xml:space="preserve">（一）合并资产负债表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60"/>
        <w:gridCol w:w="1895"/>
        <w:gridCol w:w="2622"/>
        <w:gridCol w:w="233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clear" w:color="auto" w:fill="D9D9D9"/>
          </w:tcPr>
          <w:p>
            <w:pPr>
              <w:jc w:val="center"/>
              <w:rPr>
                <w:rFonts w:cs="宋体" w:asciiTheme="minorEastAsia" w:hAnsiTheme="minorEastAsia"/>
                <w:b/>
                <w:sz w:val="18"/>
                <w:szCs w:val="18"/>
              </w:rPr>
            </w:pPr>
            <w:r>
              <w:rPr>
                <w:rFonts w:hint="eastAsia" w:cs="Times New Roman" w:asciiTheme="minorEastAsia" w:hAnsiTheme="minorEastAsia"/>
                <w:b/>
                <w:sz w:val="18"/>
                <w:szCs w:val="18"/>
              </w:rPr>
              <w:t>项目</w:t>
            </w:r>
          </w:p>
        </w:tc>
        <w:tc>
          <w:tcPr>
            <w:tcW w:w="956" w:type="pct"/>
            <w:shd w:val="clear" w:color="auto" w:fill="D9D9D9"/>
          </w:tcPr>
          <w:p>
            <w:pPr>
              <w:jc w:val="center"/>
              <w:rPr>
                <w:rFonts w:cs="宋体" w:asciiTheme="minorEastAsia" w:hAnsiTheme="minorEastAsia"/>
                <w:b/>
                <w:sz w:val="18"/>
                <w:szCs w:val="18"/>
              </w:rPr>
            </w:pPr>
            <w:r>
              <w:rPr>
                <w:rFonts w:hint="eastAsia" w:cs="Times New Roman" w:asciiTheme="minorEastAsia" w:hAnsiTheme="minorEastAsia"/>
                <w:b/>
                <w:sz w:val="18"/>
                <w:szCs w:val="18"/>
              </w:rPr>
              <w:t>附注</w:t>
            </w:r>
          </w:p>
        </w:tc>
        <w:tc>
          <w:tcPr>
            <w:tcW w:w="1323" w:type="pct"/>
            <w:shd w:val="clear" w:color="auto" w:fill="D9D9D9"/>
          </w:tcPr>
          <w:p>
            <w:pPr>
              <w:jc w:val="center"/>
              <w:rPr>
                <w:rFonts w:ascii="Times New Roman" w:hAnsi="Times New Roman" w:cs="宋体" w:eastAsiaTheme="minorEastAsia"/>
                <w:b/>
                <w:sz w:val="18"/>
                <w:szCs w:val="18"/>
              </w:rPr>
            </w:pPr>
            <w:r>
              <w:rPr>
                <w:rFonts w:hint="eastAsia" w:ascii="Times New Roman" w:hAnsi="Times New Roman" w:cs="Times New Roman" w:eastAsiaTheme="minorEastAsia"/>
                <w:b/>
                <w:sz w:val="18"/>
                <w:szCs w:val="18"/>
              </w:rPr>
              <w:t>2024年</w:t>
            </w:r>
            <w:r>
              <w:rPr>
                <w:rFonts w:ascii="Times New Roman" w:hAnsi="Times New Roman" w:cs="Times New Roman" w:eastAsiaTheme="minorEastAsia"/>
                <w:b/>
                <w:sz w:val="18"/>
                <w:szCs w:val="18"/>
              </w:rPr>
              <w:t>12</w:t>
            </w:r>
            <w:r>
              <w:rPr>
                <w:rFonts w:hint="eastAsia" w:ascii="Times New Roman" w:hAnsi="Times New Roman" w:cs="Times New Roman" w:eastAsiaTheme="minorEastAsia"/>
                <w:b/>
                <w:sz w:val="18"/>
                <w:szCs w:val="18"/>
              </w:rPr>
              <w:t>月3</w:t>
            </w:r>
            <w:r>
              <w:rPr>
                <w:rFonts w:ascii="Times New Roman" w:hAnsi="Times New Roman" w:cs="Times New Roman" w:eastAsiaTheme="minorEastAsia"/>
                <w:b/>
                <w:sz w:val="18"/>
                <w:szCs w:val="18"/>
              </w:rPr>
              <w:t>1</w:t>
            </w:r>
            <w:r>
              <w:rPr>
                <w:rFonts w:hint="eastAsia" w:ascii="Times New Roman" w:hAnsi="Times New Roman" w:cs="Times New Roman" w:eastAsiaTheme="minorEastAsia"/>
                <w:b/>
                <w:sz w:val="18"/>
                <w:szCs w:val="18"/>
              </w:rPr>
              <w:t>日</w:t>
            </w:r>
          </w:p>
        </w:tc>
        <w:tc>
          <w:tcPr>
            <w:tcW w:w="1177" w:type="pct"/>
            <w:shd w:val="clear" w:color="auto" w:fill="D9D9D9"/>
          </w:tcPr>
          <w:p>
            <w:pPr>
              <w:jc w:val="center"/>
              <w:rPr>
                <w:rFonts w:ascii="Times New Roman" w:hAnsi="Times New Roman" w:cs="宋体" w:eastAsiaTheme="minorEastAsia"/>
                <w:b/>
                <w:sz w:val="18"/>
                <w:szCs w:val="18"/>
              </w:rPr>
            </w:pPr>
            <w:r>
              <w:rPr>
                <w:rFonts w:hint="eastAsia" w:ascii="Times New Roman" w:hAnsi="Times New Roman" w:cs="Times New Roman" w:eastAsiaTheme="minorEastAsia"/>
                <w:b/>
                <w:sz w:val="18"/>
                <w:szCs w:val="18"/>
              </w:rPr>
              <w:t>2023年</w:t>
            </w:r>
            <w:r>
              <w:rPr>
                <w:rFonts w:ascii="Times New Roman" w:hAnsi="Times New Roman" w:cs="Times New Roman" w:eastAsiaTheme="minorEastAsia"/>
                <w:b/>
                <w:sz w:val="18"/>
                <w:szCs w:val="18"/>
              </w:rPr>
              <w:t>12</w:t>
            </w:r>
            <w:r>
              <w:rPr>
                <w:rFonts w:hint="eastAsia" w:ascii="Times New Roman" w:hAnsi="Times New Roman" w:cs="Times New Roman" w:eastAsiaTheme="minorEastAsia"/>
                <w:b/>
                <w:sz w:val="18"/>
                <w:szCs w:val="18"/>
              </w:rPr>
              <w:t>月3</w:t>
            </w:r>
            <w:r>
              <w:rPr>
                <w:rFonts w:ascii="Times New Roman" w:hAnsi="Times New Roman" w:cs="Times New Roman" w:eastAsiaTheme="minorEastAsia"/>
                <w:b/>
                <w:sz w:val="18"/>
                <w:szCs w:val="18"/>
              </w:rPr>
              <w:t>1</w:t>
            </w:r>
            <w:r>
              <w:rPr>
                <w:rFonts w:hint="eastAsia" w:ascii="Times New Roman" w:hAnsi="Times New Roman" w:cs="Times New Roman"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资产：</w:t>
            </w:r>
          </w:p>
        </w:tc>
        <w:tc>
          <w:tcPr>
            <w:tcW w:w="956" w:type="pct"/>
            <w:shd w:val="clear" w:color="auto" w:fill="auto"/>
          </w:tcPr>
          <w:p>
            <w:pPr>
              <w:widowControl/>
              <w:tabs>
                <w:tab w:val="left" w:pos="1380"/>
              </w:tabs>
              <w:jc w:val="right"/>
              <w:rPr>
                <w:rFonts w:cs="宋体" w:asciiTheme="minorEastAsia" w:hAnsiTheme="minorEastAsia"/>
                <w:kern w:val="0"/>
                <w:sz w:val="18"/>
                <w:szCs w:val="18"/>
              </w:rPr>
            </w:pPr>
            <w:r>
              <w:rPr>
                <w:rFonts w:cs="宋体" w:asciiTheme="minorEastAsia" w:hAnsiTheme="minorEastAsia"/>
                <w:kern w:val="0"/>
                <w:sz w:val="18"/>
                <w:szCs w:val="18"/>
              </w:rPr>
              <w:tab/>
            </w: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现金及存放中央银行款项</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存放同业款项</w:t>
            </w:r>
            <w:r>
              <w:rPr>
                <w:rFonts w:hint="eastAsia" w:cs="宋体" w:asciiTheme="minorEastAsia" w:hAnsiTheme="minorEastAsia"/>
                <w:color w:val="000000" w:themeColor="text1"/>
                <w:sz w:val="18"/>
                <w:szCs w:val="21"/>
                <w14:textFill>
                  <w14:solidFill>
                    <w14:schemeClr w14:val="tx1"/>
                  </w14:solidFill>
                </w14:textFill>
              </w:rPr>
              <w:t>及其他</w:t>
            </w:r>
            <w:r>
              <w:rPr>
                <w:rFonts w:cs="宋体" w:asciiTheme="minorEastAsia" w:hAnsiTheme="minorEastAsia"/>
                <w:color w:val="000000" w:themeColor="text1"/>
                <w:sz w:val="18"/>
                <w:szCs w:val="21"/>
                <w14:textFill>
                  <w14:solidFill>
                    <w14:schemeClr w14:val="tx1"/>
                  </w14:solidFill>
                </w14:textFill>
              </w:rPr>
              <w:t>金融机构款项</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贵金属</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拆出资金</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衍生金融资产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ascii="Calibri" w:hAnsi="Calibri" w:eastAsia="宋体" w:cs="Times New Roman"/>
                <w:sz w:val="18"/>
                <w:szCs w:val="18"/>
              </w:rPr>
            </w:pPr>
            <w:r>
              <w:rPr>
                <w:rFonts w:hint="eastAsia" w:cs="宋体" w:asciiTheme="minorEastAsia" w:hAnsiTheme="minorEastAsia"/>
                <w:color w:val="000000" w:themeColor="text1"/>
                <w:sz w:val="18"/>
                <w:szCs w:val="21"/>
                <w14:textFill>
                  <w14:solidFill>
                    <w14:schemeClr w14:val="tx1"/>
                  </w14:solidFill>
                </w14:textFill>
              </w:rPr>
              <w:t>合同</w:t>
            </w:r>
            <w:r>
              <w:rPr>
                <w:rFonts w:cs="宋体" w:asciiTheme="minorEastAsia" w:hAnsiTheme="minorEastAsia"/>
                <w:color w:val="000000" w:themeColor="text1"/>
                <w:sz w:val="18"/>
                <w:szCs w:val="21"/>
                <w14:textFill>
                  <w14:solidFill>
                    <w14:schemeClr w14:val="tx1"/>
                  </w14:solidFill>
                </w14:textFill>
              </w:rPr>
              <w:t>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买入返售金融资产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ascii="Calibri" w:hAnsi="Calibri" w:eastAsia="宋体" w:cs="Times New Roman"/>
                <w:sz w:val="18"/>
                <w:szCs w:val="18"/>
              </w:rPr>
            </w:pPr>
            <w:r>
              <w:rPr>
                <w:rFonts w:cs="宋体" w:asciiTheme="minorEastAsia" w:hAnsiTheme="minorEastAsia"/>
                <w:color w:val="000000" w:themeColor="text1"/>
                <w:sz w:val="18"/>
                <w:szCs w:val="21"/>
                <w14:textFill>
                  <w14:solidFill>
                    <w14:schemeClr w14:val="tx1"/>
                  </w14:solidFill>
                </w14:textFill>
              </w:rPr>
              <w:t>应收利息</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发放贷款和垫款</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投资：</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ind w:firstLine="0" w:firstLineChars="0"/>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其中：交易</w:t>
            </w:r>
            <w:r>
              <w:rPr>
                <w:rFonts w:cs="宋体" w:asciiTheme="minorEastAsia" w:hAnsiTheme="minorEastAsia"/>
                <w:color w:val="000000" w:themeColor="text1"/>
                <w:sz w:val="18"/>
                <w:szCs w:val="21"/>
                <w14:textFill>
                  <w14:solidFill>
                    <w14:schemeClr w14:val="tx1"/>
                  </w14:solidFill>
                </w14:textFill>
              </w:rPr>
              <w:t>性</w:t>
            </w: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ind w:firstLine="540" w:firstLineChars="300"/>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债权</w:t>
            </w:r>
            <w:r>
              <w:rPr>
                <w:rFonts w:cs="宋体" w:asciiTheme="minorEastAsia" w:hAnsiTheme="minorEastAsia"/>
                <w:color w:val="000000" w:themeColor="text1"/>
                <w:sz w:val="18"/>
                <w:szCs w:val="21"/>
                <w14:textFill>
                  <w14:solidFill>
                    <w14:schemeClr w14:val="tx1"/>
                  </w14:solidFill>
                </w14:textFill>
              </w:rPr>
              <w:t>投资</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ind w:firstLine="540" w:firstLineChars="300"/>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其他</w:t>
            </w:r>
            <w:r>
              <w:rPr>
                <w:rFonts w:cs="宋体" w:asciiTheme="minorEastAsia" w:hAnsiTheme="minorEastAsia"/>
                <w:color w:val="000000" w:themeColor="text1"/>
                <w:sz w:val="18"/>
                <w:szCs w:val="21"/>
                <w14:textFill>
                  <w14:solidFill>
                    <w14:schemeClr w14:val="tx1"/>
                  </w14:solidFill>
                </w14:textFill>
              </w:rPr>
              <w:t>债权投资</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ind w:firstLine="540" w:firstLineChars="300"/>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其他</w:t>
            </w:r>
            <w:r>
              <w:rPr>
                <w:rFonts w:cs="宋体" w:asciiTheme="minorEastAsia" w:hAnsiTheme="minorEastAsia"/>
                <w:color w:val="000000" w:themeColor="text1"/>
                <w:sz w:val="18"/>
                <w:szCs w:val="21"/>
                <w14:textFill>
                  <w14:solidFill>
                    <w14:schemeClr w14:val="tx1"/>
                  </w14:solidFill>
                </w14:textFill>
              </w:rPr>
              <w:t>权益工具投资</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持有待售资产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长期股权投资</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投资性房地产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固定资产</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在建工程</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使用权资产</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无形资产</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商誉</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递延所得税资产</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长期待摊费用</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其他资产</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jc w:val="center"/>
              <w:rPr>
                <w:rFonts w:cs="宋体"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资产</w:t>
            </w:r>
            <w:r>
              <w:rPr>
                <w:rFonts w:hint="eastAsia" w:cs="宋体" w:asciiTheme="minorEastAsia" w:hAnsiTheme="minorEastAsia"/>
                <w:b/>
                <w:color w:val="000000" w:themeColor="text1"/>
                <w:sz w:val="18"/>
                <w:szCs w:val="21"/>
                <w14:textFill>
                  <w14:solidFill>
                    <w14:schemeClr w14:val="tx1"/>
                  </w14:solidFill>
                </w14:textFill>
              </w:rPr>
              <w:t>总计</w:t>
            </w:r>
          </w:p>
        </w:tc>
        <w:tc>
          <w:tcPr>
            <w:tcW w:w="956" w:type="pct"/>
            <w:shd w:val="clear" w:color="auto" w:fill="D9D9D9"/>
          </w:tcPr>
          <w:p>
            <w:pPr>
              <w:widowControl/>
              <w:jc w:val="right"/>
              <w:rPr>
                <w:rFonts w:cs="宋体" w:asciiTheme="minorEastAsia" w:hAnsiTheme="minorEastAsia"/>
                <w:kern w:val="0"/>
                <w:sz w:val="18"/>
                <w:szCs w:val="18"/>
              </w:rPr>
            </w:pPr>
          </w:p>
        </w:tc>
        <w:tc>
          <w:tcPr>
            <w:tcW w:w="1323" w:type="pct"/>
            <w:shd w:val="clear" w:color="auto" w:fill="D9D9D9"/>
          </w:tcPr>
          <w:p>
            <w:pPr>
              <w:widowControl/>
              <w:jc w:val="right"/>
              <w:rPr>
                <w:rFonts w:cs="宋体" w:asciiTheme="minorEastAsia" w:hAnsiTheme="minorEastAsia"/>
                <w:kern w:val="0"/>
                <w:sz w:val="18"/>
                <w:szCs w:val="18"/>
              </w:rPr>
            </w:pPr>
          </w:p>
        </w:tc>
        <w:tc>
          <w:tcPr>
            <w:tcW w:w="1177" w:type="pct"/>
            <w:shd w:val="clear" w:color="auto" w:fill="D9D9D9"/>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jc w:val="left"/>
              <w:rPr>
                <w:rFonts w:cs="宋体"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负债：</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向中央银行借款</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 w:hRule="atLeast"/>
        </w:trPr>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同业及其他金融机构存放款项</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 w:hRule="atLeast"/>
        </w:trPr>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拆入资金</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 w:hRule="atLeast"/>
        </w:trPr>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交易性</w:t>
            </w:r>
            <w:r>
              <w:rPr>
                <w:rFonts w:cs="宋体" w:asciiTheme="minorEastAsia" w:hAnsiTheme="minorEastAsia"/>
                <w:color w:val="000000" w:themeColor="text1"/>
                <w:sz w:val="18"/>
                <w:szCs w:val="21"/>
                <w14:textFill>
                  <w14:solidFill>
                    <w14:schemeClr w14:val="tx1"/>
                  </w14:solidFill>
                </w14:textFill>
              </w:rPr>
              <w:t>金融负债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衍生金融负债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卖出回购金融资产款</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吸收存款</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应付职工薪酬</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应交税费</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应付利息</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合同负债</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持有待售负债</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应付债券</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其中：优先股</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ind w:firstLine="540" w:firstLineChars="300"/>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永续债</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租赁</w:t>
            </w:r>
            <w:r>
              <w:rPr>
                <w:rFonts w:cs="宋体" w:asciiTheme="minorEastAsia" w:hAnsiTheme="minorEastAsia"/>
                <w:color w:val="000000" w:themeColor="text1"/>
                <w:sz w:val="18"/>
                <w:szCs w:val="21"/>
                <w14:textFill>
                  <w14:solidFill>
                    <w14:schemeClr w14:val="tx1"/>
                  </w14:solidFill>
                </w14:textFill>
              </w:rPr>
              <w:t>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长期应付职工薪酬</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预计负债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递延所得税负债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其他负债</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jc w:val="center"/>
              <w:rPr>
                <w:rFonts w:cs="宋体"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负债合计</w:t>
            </w:r>
          </w:p>
        </w:tc>
        <w:tc>
          <w:tcPr>
            <w:tcW w:w="956" w:type="pct"/>
            <w:shd w:val="clear" w:color="auto" w:fill="D9D9D9"/>
          </w:tcPr>
          <w:p>
            <w:pPr>
              <w:widowControl/>
              <w:jc w:val="right"/>
              <w:rPr>
                <w:rFonts w:cs="宋体" w:asciiTheme="minorEastAsia" w:hAnsiTheme="minorEastAsia"/>
                <w:kern w:val="0"/>
                <w:sz w:val="18"/>
                <w:szCs w:val="18"/>
              </w:rPr>
            </w:pPr>
          </w:p>
        </w:tc>
        <w:tc>
          <w:tcPr>
            <w:tcW w:w="1323" w:type="pct"/>
            <w:shd w:val="clear" w:color="auto" w:fill="D9D9D9"/>
          </w:tcPr>
          <w:p>
            <w:pPr>
              <w:widowControl/>
              <w:jc w:val="right"/>
              <w:rPr>
                <w:rFonts w:cs="宋体" w:asciiTheme="minorEastAsia" w:hAnsiTheme="minorEastAsia"/>
                <w:kern w:val="0"/>
                <w:sz w:val="18"/>
                <w:szCs w:val="18"/>
              </w:rPr>
            </w:pPr>
          </w:p>
        </w:tc>
        <w:tc>
          <w:tcPr>
            <w:tcW w:w="1177" w:type="pct"/>
            <w:shd w:val="clear" w:color="auto" w:fill="D9D9D9"/>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544" w:type="pct"/>
            <w:shd w:val="clear" w:color="auto" w:fill="D9D9D9"/>
            <w:vAlign w:val="center"/>
          </w:tcPr>
          <w:p>
            <w:pPr>
              <w:rPr>
                <w:rFonts w:cs="宋体" w:asciiTheme="minorEastAsia" w:hAnsiTheme="minorEastAsia"/>
                <w:b/>
                <w:sz w:val="18"/>
                <w:szCs w:val="18"/>
              </w:rPr>
            </w:pPr>
            <w:r>
              <w:rPr>
                <w:rFonts w:hint="eastAsia" w:cs="宋体" w:asciiTheme="minorEastAsia" w:hAnsiTheme="minorEastAsia"/>
                <w:b/>
                <w:color w:val="000000" w:themeColor="text1"/>
                <w:sz w:val="18"/>
                <w:szCs w:val="21"/>
                <w14:textFill>
                  <w14:solidFill>
                    <w14:schemeClr w14:val="tx1"/>
                  </w14:solidFill>
                </w14:textFill>
              </w:rPr>
              <w:t>所有者权益（或股东权益）</w:t>
            </w:r>
            <w:r>
              <w:rPr>
                <w:rFonts w:cs="宋体" w:asciiTheme="minorEastAsia" w:hAnsiTheme="minorEastAsia"/>
                <w:b/>
                <w:color w:val="000000" w:themeColor="text1"/>
                <w:sz w:val="18"/>
                <w:szCs w:val="21"/>
                <w14:textFill>
                  <w14:solidFill>
                    <w14:schemeClr w14:val="tx1"/>
                  </w14:solidFill>
                </w14:textFill>
              </w:rPr>
              <w:t>：</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股本</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其他权益工具</w:t>
            </w:r>
            <w:r>
              <w:rPr>
                <w:rFonts w:cs="宋体" w:asciiTheme="minorEastAsia" w:hAnsiTheme="minorEastAsia"/>
                <w:color w:val="000000" w:themeColor="text1"/>
                <w:sz w:val="18"/>
                <w:szCs w:val="21"/>
                <w14:textFill>
                  <w14:solidFill>
                    <w14:schemeClr w14:val="tx1"/>
                  </w14:solidFill>
                </w14:textFill>
              </w:rPr>
              <w:t> </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其中：优先股</w:t>
            </w:r>
            <w:r>
              <w:rPr>
                <w:rFonts w:cs="宋体" w:asciiTheme="minorEastAsia" w:hAnsiTheme="minorEastAsia"/>
                <w:color w:val="000000" w:themeColor="text1"/>
                <w:sz w:val="18"/>
                <w:szCs w:val="21"/>
                <w14:textFill>
                  <w14:solidFill>
                    <w14:schemeClr w14:val="tx1"/>
                  </w14:solidFill>
                </w14:textFill>
              </w:rPr>
              <w:t> </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ind w:firstLine="540" w:firstLineChars="300"/>
              <w:jc w:val="left"/>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永续债</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资本公积</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ascii="Calibri" w:hAnsi="Calibri" w:eastAsia="宋体" w:cs="Times New Roman"/>
                <w:sz w:val="18"/>
                <w:szCs w:val="18"/>
              </w:rPr>
            </w:pPr>
            <w:r>
              <w:rPr>
                <w:rFonts w:cs="宋体" w:asciiTheme="minorEastAsia" w:hAnsiTheme="minorEastAsia"/>
                <w:color w:val="000000" w:themeColor="text1"/>
                <w:sz w:val="18"/>
                <w:szCs w:val="21"/>
                <w14:textFill>
                  <w14:solidFill>
                    <w14:schemeClr w14:val="tx1"/>
                  </w14:solidFill>
                </w14:textFill>
              </w:rPr>
              <w:t>减：库存股</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其他综合收益</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盈余公积</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一般风险准备</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未分配利润</w:t>
            </w:r>
          </w:p>
        </w:tc>
        <w:tc>
          <w:tcPr>
            <w:tcW w:w="956" w:type="pct"/>
            <w:shd w:val="clear" w:color="auto" w:fill="auto"/>
            <w:vAlign w:val="center"/>
          </w:tcPr>
          <w:p>
            <w:pPr>
              <w:jc w:val="right"/>
              <w:rPr>
                <w:rFonts w:cs="宋体" w:asciiTheme="minorEastAsia" w:hAnsiTheme="minorEastAsia"/>
                <w:color w:val="00000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归属于母公司所有者权益</w:t>
            </w:r>
            <w:r>
              <w:rPr>
                <w:rFonts w:hint="eastAsia" w:cs="宋体" w:asciiTheme="minorEastAsia" w:hAnsiTheme="minorEastAsia"/>
                <w:color w:val="000000" w:themeColor="text1"/>
                <w:sz w:val="18"/>
                <w:szCs w:val="21"/>
                <w14:textFill>
                  <w14:solidFill>
                    <w14:schemeClr w14:val="tx1"/>
                  </w14:solidFill>
                </w14:textFill>
              </w:rPr>
              <w:t>（或股东权益）</w:t>
            </w:r>
            <w:r>
              <w:rPr>
                <w:rFonts w:cs="宋体" w:asciiTheme="minorEastAsia" w:hAnsiTheme="minorEastAsia"/>
                <w:color w:val="000000" w:themeColor="text1"/>
                <w:sz w:val="18"/>
                <w:szCs w:val="21"/>
                <w14:textFill>
                  <w14:solidFill>
                    <w14:schemeClr w14:val="tx1"/>
                  </w14:solidFill>
                </w14:textFill>
              </w:rPr>
              <w:t>合计</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left"/>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少数股东权益</w:t>
            </w:r>
          </w:p>
        </w:tc>
        <w:tc>
          <w:tcPr>
            <w:tcW w:w="956" w:type="pct"/>
            <w:shd w:val="clear" w:color="auto" w:fill="auto"/>
          </w:tcPr>
          <w:p>
            <w:pPr>
              <w:widowControl/>
              <w:jc w:val="right"/>
              <w:rPr>
                <w:rFonts w:cs="宋体" w:asciiTheme="minorEastAsia" w:hAnsiTheme="minorEastAsia"/>
                <w:kern w:val="0"/>
                <w:sz w:val="18"/>
                <w:szCs w:val="18"/>
              </w:rPr>
            </w:pPr>
          </w:p>
        </w:tc>
        <w:tc>
          <w:tcPr>
            <w:tcW w:w="1323" w:type="pct"/>
            <w:shd w:val="clear" w:color="auto" w:fill="auto"/>
          </w:tcPr>
          <w:p>
            <w:pPr>
              <w:widowControl/>
              <w:jc w:val="right"/>
              <w:rPr>
                <w:rFonts w:cs="宋体" w:asciiTheme="minorEastAsia" w:hAnsiTheme="minorEastAsia"/>
                <w:kern w:val="0"/>
                <w:sz w:val="18"/>
                <w:szCs w:val="18"/>
              </w:rPr>
            </w:pPr>
          </w:p>
        </w:tc>
        <w:tc>
          <w:tcPr>
            <w:tcW w:w="117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544" w:type="pct"/>
            <w:shd w:val="clear" w:color="auto" w:fill="D9D9D9"/>
            <w:vAlign w:val="center"/>
          </w:tcPr>
          <w:p>
            <w:pPr>
              <w:widowControl/>
              <w:jc w:val="center"/>
              <w:rPr>
                <w:rFonts w:cs="Times New Roman" w:asciiTheme="minorEastAsia" w:hAnsiTheme="minorEastAsia"/>
                <w:b/>
                <w:sz w:val="18"/>
                <w:szCs w:val="18"/>
                <w:shd w:val="clear" w:color="auto" w:fill="D8D8D8" w:themeFill="background1" w:themeFillShade="D9"/>
              </w:rPr>
            </w:pPr>
            <w:r>
              <w:rPr>
                <w:rFonts w:hint="eastAsia" w:cs="Times New Roman" w:asciiTheme="minorEastAsia" w:hAnsiTheme="minorEastAsia"/>
                <w:b/>
                <w:sz w:val="18"/>
                <w:szCs w:val="18"/>
                <w:shd w:val="clear" w:color="auto" w:fill="D8D8D8" w:themeFill="background1" w:themeFillShade="D9"/>
              </w:rPr>
              <w:t>所有者权益（或股东权益）合计</w:t>
            </w:r>
          </w:p>
        </w:tc>
        <w:tc>
          <w:tcPr>
            <w:tcW w:w="956"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c>
          <w:tcPr>
            <w:tcW w:w="1323"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c>
          <w:tcPr>
            <w:tcW w:w="1177"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clear" w:color="auto" w:fill="D9D9D9"/>
            <w:vAlign w:val="center"/>
          </w:tcPr>
          <w:p>
            <w:pPr>
              <w:widowControl/>
              <w:jc w:val="center"/>
              <w:rPr>
                <w:rFonts w:cs="Times New Roman" w:asciiTheme="minorEastAsia" w:hAnsiTheme="minorEastAsia"/>
                <w:b/>
                <w:sz w:val="18"/>
                <w:szCs w:val="18"/>
                <w:shd w:val="clear" w:color="auto" w:fill="D8D8D8" w:themeFill="background1" w:themeFillShade="D9"/>
              </w:rPr>
            </w:pPr>
            <w:r>
              <w:rPr>
                <w:rFonts w:hint="eastAsia" w:cs="Times New Roman" w:asciiTheme="minorEastAsia" w:hAnsiTheme="minorEastAsia"/>
                <w:b/>
                <w:sz w:val="18"/>
                <w:szCs w:val="18"/>
                <w:shd w:val="clear" w:color="auto" w:fill="D8D8D8" w:themeFill="background1" w:themeFillShade="D9"/>
              </w:rPr>
              <w:t>负债和所有者权益（或股东权益）合计</w:t>
            </w:r>
          </w:p>
        </w:tc>
        <w:tc>
          <w:tcPr>
            <w:tcW w:w="956"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c>
          <w:tcPr>
            <w:tcW w:w="1323"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c>
          <w:tcPr>
            <w:tcW w:w="1177" w:type="pct"/>
            <w:shd w:val="clear" w:color="auto" w:fill="D9D9D9"/>
          </w:tcPr>
          <w:p>
            <w:pPr>
              <w:widowControl/>
              <w:jc w:val="right"/>
              <w:rPr>
                <w:rFonts w:cs="宋体" w:asciiTheme="minorEastAsia" w:hAnsiTheme="minorEastAsia"/>
                <w:kern w:val="0"/>
                <w:sz w:val="18"/>
                <w:szCs w:val="18"/>
                <w:shd w:val="clear" w:color="auto" w:fill="D8D8D8" w:themeFill="background1" w:themeFillShade="D9"/>
              </w:rPr>
            </w:pPr>
          </w:p>
        </w:tc>
      </w:tr>
    </w:tbl>
    <w:p>
      <w:pPr>
        <w:rPr>
          <w:rFonts w:ascii="Arial" w:hAnsi="Arial" w:eastAsia="黑体" w:cs="Times New Roman"/>
          <w:b/>
          <w:bCs/>
          <w:sz w:val="22"/>
          <w:lang w:val="zh-CN"/>
        </w:rPr>
      </w:pPr>
      <w:r>
        <w:rPr>
          <w:rFonts w:ascii="Calibri" w:hAnsi="Calibri" w:eastAsia="宋体" w:cs="Times New Roman"/>
          <w:sz w:val="18"/>
          <w:szCs w:val="18"/>
        </w:rPr>
        <w:t>法定代表人：_____________ 主管会计工作负责人：_____________ 会计机构负责人：_____________</w:t>
      </w:r>
      <w:bookmarkStart w:id="72" w:name="OLE_LINK4"/>
      <w:bookmarkStart w:id="73" w:name="OLE_LINK3"/>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母公司</w:t>
      </w:r>
      <w:r>
        <w:rPr>
          <w:rFonts w:ascii="Times New Roman" w:hAnsi="Times New Roman" w:eastAsia="宋体" w:cs="Times New Roman"/>
          <w:b/>
          <w:bCs/>
          <w:szCs w:val="32"/>
          <w:lang w:val="zh-CN"/>
        </w:rPr>
        <w:t>资产负债表</w:t>
      </w:r>
      <w:r>
        <w:rPr>
          <w:rFonts w:hint="eastAsia"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bookmarkEnd w:id="72"/>
    <w:bookmarkEnd w:id="73"/>
    <w:tbl>
      <w:tblPr>
        <w:tblStyle w:val="46"/>
        <w:tblW w:w="584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76"/>
        <w:gridCol w:w="1905"/>
        <w:gridCol w:w="2597"/>
        <w:gridCol w:w="238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tcPr>
          <w:p>
            <w:pPr>
              <w:jc w:val="center"/>
              <w:rPr>
                <w:rFonts w:cs="宋体" w:asciiTheme="minorEastAsia" w:hAnsiTheme="minorEastAsia"/>
                <w:b/>
                <w:sz w:val="18"/>
                <w:szCs w:val="18"/>
              </w:rPr>
            </w:pPr>
            <w:r>
              <w:rPr>
                <w:rFonts w:hint="eastAsia" w:cs="Times New Roman" w:asciiTheme="minorEastAsia" w:hAnsiTheme="minorEastAsia"/>
                <w:b/>
                <w:sz w:val="18"/>
                <w:szCs w:val="18"/>
              </w:rPr>
              <w:t>项目</w:t>
            </w:r>
          </w:p>
        </w:tc>
        <w:tc>
          <w:tcPr>
            <w:tcW w:w="956" w:type="pct"/>
            <w:shd w:val="clear" w:color="auto" w:fill="D9D9D9"/>
          </w:tcPr>
          <w:p>
            <w:pPr>
              <w:jc w:val="center"/>
              <w:rPr>
                <w:rFonts w:cs="宋体" w:asciiTheme="minorEastAsia" w:hAnsiTheme="minorEastAsia"/>
                <w:b/>
                <w:sz w:val="18"/>
                <w:szCs w:val="18"/>
              </w:rPr>
            </w:pPr>
            <w:r>
              <w:rPr>
                <w:rFonts w:hint="eastAsia" w:cs="Times New Roman" w:asciiTheme="minorEastAsia" w:hAnsiTheme="minorEastAsia"/>
                <w:b/>
                <w:sz w:val="18"/>
                <w:szCs w:val="18"/>
              </w:rPr>
              <w:t>附注</w:t>
            </w:r>
          </w:p>
        </w:tc>
        <w:tc>
          <w:tcPr>
            <w:tcW w:w="1303"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2024年12月31日</w:t>
            </w:r>
          </w:p>
        </w:tc>
        <w:tc>
          <w:tcPr>
            <w:tcW w:w="1198"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现金及存放中央银行款项</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存放同业款项</w:t>
            </w:r>
            <w:r>
              <w:rPr>
                <w:rFonts w:hint="eastAsia" w:cs="宋体" w:asciiTheme="minorEastAsia" w:hAnsiTheme="minorEastAsia"/>
                <w:color w:val="000000" w:themeColor="text1"/>
                <w:sz w:val="18"/>
                <w:szCs w:val="21"/>
                <w14:textFill>
                  <w14:solidFill>
                    <w14:schemeClr w14:val="tx1"/>
                  </w14:solidFill>
                </w14:textFill>
              </w:rPr>
              <w:t>及其他</w:t>
            </w:r>
            <w:r>
              <w:rPr>
                <w:rFonts w:cs="宋体" w:asciiTheme="minorEastAsia" w:hAnsiTheme="minorEastAsia"/>
                <w:color w:val="000000" w:themeColor="text1"/>
                <w:sz w:val="18"/>
                <w:szCs w:val="21"/>
                <w14:textFill>
                  <w14:solidFill>
                    <w14:schemeClr w14:val="tx1"/>
                  </w14:solidFill>
                </w14:textFill>
              </w:rPr>
              <w:t>金融机构款项</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贵金属</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拆出资金</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hint="eastAsia" w:cs="宋体" w:asciiTheme="minorEastAsia" w:hAnsiTheme="minorEastAsia"/>
                <w:color w:val="000000" w:themeColor="text1"/>
                <w:sz w:val="18"/>
                <w:szCs w:val="21"/>
                <w14:textFill>
                  <w14:solidFill>
                    <w14:schemeClr w14:val="tx1"/>
                  </w14:solidFill>
                </w14:textFill>
              </w:rPr>
              <w:t>衍生</w:t>
            </w:r>
            <w:r>
              <w:rPr>
                <w:rFonts w:cs="宋体" w:asciiTheme="minorEastAsia" w:hAnsiTheme="minorEastAsia"/>
                <w:color w:val="000000" w:themeColor="text1"/>
                <w:sz w:val="18"/>
                <w:szCs w:val="21"/>
                <w14:textFill>
                  <w14:solidFill>
                    <w14:schemeClr w14:val="tx1"/>
                  </w14:solidFill>
                </w14:textFill>
              </w:rPr>
              <w:t>金融资产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0" w:hRule="atLeast"/>
        </w:trPr>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合同</w:t>
            </w:r>
            <w:r>
              <w:rPr>
                <w:rFonts w:cs="宋体" w:asciiTheme="minorEastAsia" w:hAnsiTheme="minorEastAsia"/>
                <w:color w:val="000000" w:themeColor="text1"/>
                <w:sz w:val="18"/>
                <w:szCs w:val="21"/>
                <w14:textFill>
                  <w14:solidFill>
                    <w14:schemeClr w14:val="tx1"/>
                  </w14:solidFill>
                </w14:textFill>
              </w:rPr>
              <w:t>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买入返售金融资产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应收利息</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cs="宋体" w:asciiTheme="minorEastAsia" w:hAnsiTheme="minorEastAsia"/>
                <w:color w:val="000000" w:themeColor="text1"/>
                <w:sz w:val="18"/>
                <w:szCs w:val="21"/>
                <w14:textFill>
                  <w14:solidFill>
                    <w14:schemeClr w14:val="tx1"/>
                  </w14:solidFill>
                </w14:textFill>
              </w:rPr>
              <w:t>发放贷款和垫款</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投资：</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hint="eastAsia" w:cs="宋体" w:asciiTheme="minorEastAsia" w:hAnsiTheme="minorEastAsia"/>
                <w:color w:val="000000" w:themeColor="text1"/>
                <w:sz w:val="18"/>
                <w:szCs w:val="21"/>
                <w14:textFill>
                  <w14:solidFill>
                    <w14:schemeClr w14:val="tx1"/>
                  </w14:solidFill>
                </w14:textFill>
              </w:rPr>
              <w:t>其中：</w:t>
            </w:r>
            <w:r>
              <w:rPr>
                <w:rFonts w:cs="宋体" w:asciiTheme="minorEastAsia" w:hAnsiTheme="minorEastAsia"/>
                <w:color w:val="000000" w:themeColor="text1"/>
                <w:sz w:val="18"/>
                <w:szCs w:val="21"/>
                <w14:textFill>
                  <w14:solidFill>
                    <w14:schemeClr w14:val="tx1"/>
                  </w14:solidFill>
                </w14:textFill>
              </w:rPr>
              <w:t>交易性</w:t>
            </w:r>
            <w:r>
              <w:rPr>
                <w:rFonts w:hint="eastAsia" w:cs="宋体" w:asciiTheme="minorEastAsia" w:hAnsiTheme="minorEastAsia"/>
                <w:color w:val="000000" w:themeColor="text1"/>
                <w:sz w:val="18"/>
                <w:szCs w:val="21"/>
                <w14:textFill>
                  <w14:solidFill>
                    <w14:schemeClr w14:val="tx1"/>
                  </w14:solidFill>
                </w14:textFill>
              </w:rPr>
              <w:t>金融</w:t>
            </w:r>
            <w:r>
              <w:rPr>
                <w:rFonts w:cs="宋体" w:asciiTheme="minorEastAsia" w:hAnsiTheme="minorEastAsia"/>
                <w:color w:val="000000" w:themeColor="text1"/>
                <w:sz w:val="18"/>
                <w:szCs w:val="21"/>
                <w14:textFill>
                  <w14:solidFill>
                    <w14:schemeClr w14:val="tx1"/>
                  </w14:solidFill>
                </w14:textFill>
              </w:rPr>
              <w:t>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 xml:space="preserve">    </w:t>
            </w:r>
            <w:r>
              <w:rPr>
                <w:rFonts w:hint="eastAsia" w:cs="宋体" w:asciiTheme="minorEastAsia" w:hAnsiTheme="minorEastAsia"/>
                <w:color w:val="000000" w:themeColor="text1"/>
                <w:sz w:val="18"/>
                <w:szCs w:val="21"/>
                <w14:textFill>
                  <w14:solidFill>
                    <w14:schemeClr w14:val="tx1"/>
                  </w14:solidFill>
                </w14:textFill>
              </w:rPr>
              <w:t xml:space="preserve">  </w:t>
            </w:r>
            <w:r>
              <w:rPr>
                <w:rFonts w:cs="宋体" w:asciiTheme="minorEastAsia" w:hAnsiTheme="minorEastAsia"/>
                <w:color w:val="000000" w:themeColor="text1"/>
                <w:sz w:val="18"/>
                <w:szCs w:val="21"/>
                <w14:textFill>
                  <w14:solidFill>
                    <w14:schemeClr w14:val="tx1"/>
                  </w14:solidFill>
                </w14:textFill>
              </w:rPr>
              <w:t>债权投资</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 xml:space="preserve">    </w:t>
            </w:r>
            <w:r>
              <w:rPr>
                <w:rFonts w:hint="eastAsia" w:cs="宋体" w:asciiTheme="minorEastAsia" w:hAnsiTheme="minorEastAsia"/>
                <w:color w:val="000000" w:themeColor="text1"/>
                <w:sz w:val="18"/>
                <w:szCs w:val="21"/>
                <w14:textFill>
                  <w14:solidFill>
                    <w14:schemeClr w14:val="tx1"/>
                  </w14:solidFill>
                </w14:textFill>
              </w:rPr>
              <w:t xml:space="preserve">  </w:t>
            </w:r>
            <w:r>
              <w:rPr>
                <w:rFonts w:cs="宋体" w:asciiTheme="minorEastAsia" w:hAnsiTheme="minorEastAsia"/>
                <w:color w:val="000000" w:themeColor="text1"/>
                <w:sz w:val="18"/>
                <w:szCs w:val="21"/>
                <w14:textFill>
                  <w14:solidFill>
                    <w14:schemeClr w14:val="tx1"/>
                  </w14:solidFill>
                </w14:textFill>
              </w:rPr>
              <w:t>其他债权投资</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 xml:space="preserve">    </w:t>
            </w:r>
            <w:r>
              <w:rPr>
                <w:rFonts w:hint="eastAsia" w:cs="宋体" w:asciiTheme="minorEastAsia" w:hAnsiTheme="minorEastAsia"/>
                <w:color w:val="000000" w:themeColor="text1"/>
                <w:sz w:val="18"/>
                <w:szCs w:val="21"/>
                <w14:textFill>
                  <w14:solidFill>
                    <w14:schemeClr w14:val="tx1"/>
                  </w14:solidFill>
                </w14:textFill>
              </w:rPr>
              <w:t xml:space="preserve">  </w:t>
            </w:r>
            <w:r>
              <w:rPr>
                <w:rFonts w:cs="宋体" w:asciiTheme="minorEastAsia" w:hAnsiTheme="minorEastAsia"/>
                <w:color w:val="000000" w:themeColor="text1"/>
                <w:sz w:val="18"/>
                <w:szCs w:val="21"/>
                <w14:textFill>
                  <w14:solidFill>
                    <w14:schemeClr w14:val="tx1"/>
                  </w14:solidFill>
                </w14:textFill>
              </w:rPr>
              <w:t>其他权益工具投资</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持有待售资产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长期股权投资</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b/>
                <w:sz w:val="18"/>
                <w:szCs w:val="18"/>
              </w:rPr>
            </w:pPr>
            <w:r>
              <w:rPr>
                <w:rFonts w:cs="宋体" w:asciiTheme="minorEastAsia" w:hAnsiTheme="minorEastAsia"/>
                <w:color w:val="000000" w:themeColor="text1"/>
                <w:sz w:val="18"/>
                <w:szCs w:val="21"/>
                <w14:textFill>
                  <w14:solidFill>
                    <w14:schemeClr w14:val="tx1"/>
                  </w14:solidFill>
                </w14:textFill>
              </w:rPr>
              <w:t>投资性房地产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b/>
                <w:sz w:val="18"/>
                <w:szCs w:val="18"/>
              </w:rPr>
            </w:pPr>
            <w:r>
              <w:rPr>
                <w:rFonts w:cs="宋体" w:asciiTheme="minorEastAsia" w:hAnsiTheme="minorEastAsia"/>
                <w:color w:val="000000" w:themeColor="text1"/>
                <w:sz w:val="18"/>
                <w:szCs w:val="21"/>
                <w14:textFill>
                  <w14:solidFill>
                    <w14:schemeClr w14:val="tx1"/>
                  </w14:solidFill>
                </w14:textFill>
              </w:rPr>
              <w:t>固定资产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在建工程</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使用权资产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无形资产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商誉</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递延所得税资产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长期待摊费用</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其他资产</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资产总计</w:t>
            </w:r>
          </w:p>
        </w:tc>
        <w:tc>
          <w:tcPr>
            <w:tcW w:w="956" w:type="pct"/>
            <w:shd w:val="clear" w:color="auto" w:fill="D9D9D9"/>
          </w:tcPr>
          <w:p>
            <w:pPr>
              <w:jc w:val="right"/>
              <w:rPr>
                <w:rFonts w:cs="Times New Roman" w:asciiTheme="minorEastAsia" w:hAnsiTheme="minorEastAsia"/>
                <w:sz w:val="18"/>
                <w:szCs w:val="18"/>
              </w:rPr>
            </w:pPr>
          </w:p>
        </w:tc>
        <w:tc>
          <w:tcPr>
            <w:tcW w:w="1303" w:type="pct"/>
            <w:shd w:val="clear" w:color="auto" w:fill="D9D9D9"/>
          </w:tcPr>
          <w:p>
            <w:pPr>
              <w:jc w:val="right"/>
              <w:rPr>
                <w:rFonts w:cs="Times New Roman" w:asciiTheme="minorEastAsia" w:hAnsiTheme="minorEastAsia"/>
                <w:sz w:val="18"/>
                <w:szCs w:val="18"/>
              </w:rPr>
            </w:pPr>
          </w:p>
        </w:tc>
        <w:tc>
          <w:tcPr>
            <w:tcW w:w="1198" w:type="pct"/>
            <w:shd w:val="clear" w:color="auto" w:fill="D9D9D9"/>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b/>
                <w:sz w:val="18"/>
                <w:szCs w:val="18"/>
              </w:rPr>
            </w:pPr>
            <w:r>
              <w:rPr>
                <w:rFonts w:cs="宋体" w:asciiTheme="minorEastAsia" w:hAnsiTheme="minorEastAsia"/>
                <w:b/>
                <w:color w:val="000000" w:themeColor="text1"/>
                <w:sz w:val="18"/>
                <w:szCs w:val="21"/>
                <w14:textFill>
                  <w14:solidFill>
                    <w14:schemeClr w14:val="tx1"/>
                  </w14:solidFill>
                </w14:textFill>
              </w:rPr>
              <w:t>负债：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向中央银行借款</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同业及其他金融机构存放款项</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拆入资金</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3" w:type="pct"/>
            <w:shd w:val="clear" w:color="auto" w:fill="D9D9D9"/>
            <w:vAlign w:val="center"/>
          </w:tcPr>
          <w:p>
            <w:pPr>
              <w:rPr>
                <w:sz w:val="18"/>
                <w:szCs w:val="18"/>
              </w:rPr>
            </w:pPr>
            <w:r>
              <w:rPr>
                <w:rFonts w:hint="eastAsia" w:cs="宋体" w:asciiTheme="minorEastAsia" w:hAnsiTheme="minorEastAsia"/>
                <w:color w:val="000000" w:themeColor="text1"/>
                <w:sz w:val="18"/>
                <w:szCs w:val="21"/>
                <w14:textFill>
                  <w14:solidFill>
                    <w14:schemeClr w14:val="tx1"/>
                  </w14:solidFill>
                </w14:textFill>
              </w:rPr>
              <w:t>交易性</w:t>
            </w:r>
            <w:r>
              <w:rPr>
                <w:rFonts w:cs="宋体" w:asciiTheme="minorEastAsia" w:hAnsiTheme="minorEastAsia"/>
                <w:color w:val="000000" w:themeColor="text1"/>
                <w:sz w:val="18"/>
                <w:szCs w:val="21"/>
                <w14:textFill>
                  <w14:solidFill>
                    <w14:schemeClr w14:val="tx1"/>
                  </w14:solidFill>
                </w14:textFill>
              </w:rPr>
              <w:t>金融</w:t>
            </w:r>
            <w:r>
              <w:rPr>
                <w:rFonts w:hint="eastAsia" w:cs="宋体" w:asciiTheme="minorEastAsia" w:hAnsiTheme="minorEastAsia"/>
                <w:color w:val="000000" w:themeColor="text1"/>
                <w:sz w:val="18"/>
                <w:szCs w:val="21"/>
                <w14:textFill>
                  <w14:solidFill>
                    <w14:schemeClr w14:val="tx1"/>
                  </w14:solidFill>
                </w14:textFill>
              </w:rPr>
              <w:t>负债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3" w:type="pct"/>
            <w:shd w:val="clear" w:color="auto" w:fill="D9D9D9"/>
            <w:vAlign w:val="center"/>
          </w:tcPr>
          <w:p>
            <w:pPr>
              <w:rPr>
                <w:sz w:val="18"/>
                <w:szCs w:val="18"/>
              </w:rPr>
            </w:pPr>
            <w:r>
              <w:rPr>
                <w:rFonts w:cs="宋体" w:asciiTheme="minorEastAsia" w:hAnsiTheme="minorEastAsia"/>
                <w:color w:val="000000" w:themeColor="text1"/>
                <w:sz w:val="18"/>
                <w:szCs w:val="21"/>
                <w14:textFill>
                  <w14:solidFill>
                    <w14:schemeClr w14:val="tx1"/>
                  </w14:solidFill>
                </w14:textFill>
              </w:rPr>
              <w:t>衍生金融负债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卖出回购金融资产款</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吸收存款</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应付职工薪酬</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应交税费</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1543" w:type="pct"/>
            <w:shd w:val="clear" w:color="auto" w:fill="D9D9D9"/>
            <w:vAlign w:val="center"/>
          </w:tcPr>
          <w:p>
            <w:pPr>
              <w:rPr>
                <w:rFonts w:cs="Times New Roman" w:asciiTheme="minorEastAsia" w:hAnsiTheme="minorEastAsia"/>
                <w:sz w:val="18"/>
                <w:szCs w:val="18"/>
              </w:rPr>
            </w:pPr>
            <w:r>
              <w:rPr>
                <w:rFonts w:cs="宋体" w:asciiTheme="minorEastAsia" w:hAnsiTheme="minorEastAsia"/>
                <w:color w:val="000000" w:themeColor="text1"/>
                <w:sz w:val="18"/>
                <w:szCs w:val="21"/>
                <w14:textFill>
                  <w14:solidFill>
                    <w14:schemeClr w14:val="tx1"/>
                  </w14:solidFill>
                </w14:textFill>
              </w:rPr>
              <w:t>应付利息</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合同</w:t>
            </w:r>
            <w:r>
              <w:rPr>
                <w:rFonts w:cs="宋体" w:asciiTheme="minorEastAsia" w:hAnsiTheme="minorEastAsia"/>
                <w:color w:val="000000" w:themeColor="text1"/>
                <w:sz w:val="18"/>
                <w:szCs w:val="21"/>
                <w14:textFill>
                  <w14:solidFill>
                    <w14:schemeClr w14:val="tx1"/>
                  </w14:solidFill>
                </w14:textFill>
              </w:rPr>
              <w:t>负债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hint="eastAsia" w:cs="宋体" w:asciiTheme="minorEastAsia" w:hAnsiTheme="minorEastAsia"/>
                <w:color w:val="000000" w:themeColor="text1"/>
                <w:sz w:val="18"/>
                <w:szCs w:val="21"/>
                <w14:textFill>
                  <w14:solidFill>
                    <w14:schemeClr w14:val="tx1"/>
                  </w14:solidFill>
                </w14:textFill>
              </w:rPr>
              <w:t>持有待售负债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sz w:val="18"/>
                <w:szCs w:val="18"/>
              </w:rPr>
            </w:pPr>
            <w:r>
              <w:rPr>
                <w:rFonts w:cs="宋体" w:asciiTheme="minorEastAsia" w:hAnsiTheme="minorEastAsia"/>
                <w:color w:val="000000" w:themeColor="text1"/>
                <w:sz w:val="18"/>
                <w:szCs w:val="21"/>
                <w14:textFill>
                  <w14:solidFill>
                    <w14:schemeClr w14:val="tx1"/>
                  </w14:solidFill>
                </w14:textFill>
              </w:rPr>
              <w:t>应付债券</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其中：优先股</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ind w:firstLine="540" w:firstLineChars="300"/>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永续债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宋体" w:asciiTheme="minorEastAsia" w:hAnsiTheme="minorEastAsia"/>
                <w:color w:val="000000" w:themeColor="text1"/>
                <w:sz w:val="18"/>
                <w:szCs w:val="21"/>
                <w14:textFill>
                  <w14:solidFill>
                    <w14:schemeClr w14:val="tx1"/>
                  </w14:solidFill>
                </w14:textFill>
              </w:rPr>
              <w:t>租赁</w:t>
            </w:r>
            <w:r>
              <w:rPr>
                <w:rFonts w:cs="宋体" w:asciiTheme="minorEastAsia" w:hAnsiTheme="minorEastAsia"/>
                <w:color w:val="000000" w:themeColor="text1"/>
                <w:sz w:val="18"/>
                <w:szCs w:val="21"/>
                <w14:textFill>
                  <w14:solidFill>
                    <w14:schemeClr w14:val="tx1"/>
                  </w14:solidFill>
                </w14:textFill>
              </w:rPr>
              <w:t>负债</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hint="eastAsia" w:cs="宋体" w:asciiTheme="minorEastAsia" w:hAnsiTheme="minorEastAsia"/>
                <w:color w:val="000000" w:themeColor="text1"/>
                <w:sz w:val="18"/>
                <w:szCs w:val="21"/>
                <w14:textFill>
                  <w14:solidFill>
                    <w14:schemeClr w14:val="tx1"/>
                  </w14:solidFill>
                </w14:textFill>
              </w:rPr>
              <w:t>长期应付职工薪酬</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cs="宋体" w:asciiTheme="minorEastAsia" w:hAnsiTheme="minorEastAsia"/>
                <w:color w:val="000000" w:themeColor="text1"/>
                <w:sz w:val="18"/>
                <w:szCs w:val="21"/>
                <w14:textFill>
                  <w14:solidFill>
                    <w14:schemeClr w14:val="tx1"/>
                  </w14:solidFill>
                </w14:textFill>
              </w:rPr>
              <w:t>预计负债</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cs="宋体" w:asciiTheme="minorEastAsia" w:hAnsiTheme="minorEastAsia"/>
                <w:color w:val="000000" w:themeColor="text1"/>
                <w:sz w:val="18"/>
                <w:szCs w:val="21"/>
                <w14:textFill>
                  <w14:solidFill>
                    <w14:schemeClr w14:val="tx1"/>
                  </w14:solidFill>
                </w14:textFill>
              </w:rPr>
              <w:t>递延所得税负债</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宋体" w:asciiTheme="minorEastAsia" w:hAnsiTheme="minorEastAsia"/>
                <w:color w:val="000000" w:themeColor="text1"/>
                <w:sz w:val="18"/>
                <w:szCs w:val="21"/>
                <w14:textFill>
                  <w14:solidFill>
                    <w14:schemeClr w14:val="tx1"/>
                  </w14:solidFill>
                </w14:textFill>
              </w:rPr>
            </w:pPr>
            <w:r>
              <w:rPr>
                <w:rFonts w:cs="宋体" w:asciiTheme="minorEastAsia" w:hAnsiTheme="minorEastAsia"/>
                <w:color w:val="000000" w:themeColor="text1"/>
                <w:sz w:val="18"/>
                <w:szCs w:val="21"/>
                <w14:textFill>
                  <w14:solidFill>
                    <w14:schemeClr w14:val="tx1"/>
                  </w14:solidFill>
                </w14:textFill>
              </w:rPr>
              <w:t>其他负债</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jc w:val="center"/>
              <w:rPr>
                <w:rFonts w:cs="Times New Roman" w:asciiTheme="minorEastAsia" w:hAnsiTheme="minorEastAsia"/>
                <w:b/>
                <w:sz w:val="18"/>
                <w:szCs w:val="18"/>
              </w:rPr>
            </w:pPr>
            <w:r>
              <w:rPr>
                <w:rFonts w:hint="eastAsia" w:cs="Times New Roman" w:asciiTheme="minorEastAsia" w:hAnsiTheme="minorEastAsia"/>
                <w:b/>
                <w:sz w:val="18"/>
                <w:szCs w:val="18"/>
              </w:rPr>
              <w:t>负债合计</w:t>
            </w:r>
          </w:p>
        </w:tc>
        <w:tc>
          <w:tcPr>
            <w:tcW w:w="956" w:type="pct"/>
            <w:shd w:val="clear" w:color="auto" w:fill="D9D9D9"/>
          </w:tcPr>
          <w:p>
            <w:pPr>
              <w:jc w:val="right"/>
              <w:rPr>
                <w:rFonts w:cs="Times New Roman" w:asciiTheme="minorEastAsia" w:hAnsiTheme="minorEastAsia"/>
                <w:b/>
                <w:sz w:val="18"/>
                <w:szCs w:val="18"/>
              </w:rPr>
            </w:pPr>
          </w:p>
        </w:tc>
        <w:tc>
          <w:tcPr>
            <w:tcW w:w="1303" w:type="pct"/>
            <w:shd w:val="clear" w:color="auto" w:fill="D9D9D9"/>
          </w:tcPr>
          <w:p>
            <w:pPr>
              <w:jc w:val="right"/>
              <w:rPr>
                <w:rFonts w:cs="Times New Roman" w:asciiTheme="minorEastAsia" w:hAnsiTheme="minorEastAsia"/>
                <w:b/>
                <w:sz w:val="18"/>
                <w:szCs w:val="18"/>
              </w:rPr>
            </w:pPr>
          </w:p>
        </w:tc>
        <w:tc>
          <w:tcPr>
            <w:tcW w:w="1198" w:type="pct"/>
            <w:shd w:val="clear" w:color="auto" w:fill="D9D9D9"/>
          </w:tcPr>
          <w:p>
            <w:pPr>
              <w:jc w:val="right"/>
              <w:rPr>
                <w:rFonts w:cs="Times New Roman" w:asciiTheme="minorEastAsia" w:hAnsi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b/>
                <w:sz w:val="18"/>
                <w:szCs w:val="18"/>
              </w:rPr>
            </w:pPr>
            <w:r>
              <w:rPr>
                <w:rFonts w:hint="eastAsia" w:cs="Times New Roman" w:asciiTheme="minorEastAsia" w:hAnsiTheme="minorEastAsia"/>
                <w:b/>
                <w:sz w:val="18"/>
                <w:szCs w:val="18"/>
              </w:rPr>
              <w:t>所有者权益（或股东权益）：</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股本</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其他权益工具</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其中：优先股</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ind w:firstLine="540" w:firstLineChars="300"/>
              <w:rPr>
                <w:rFonts w:cs="Times New Roman" w:asciiTheme="minorEastAsia" w:hAnsiTheme="minorEastAsia"/>
                <w:sz w:val="18"/>
                <w:szCs w:val="18"/>
              </w:rPr>
            </w:pPr>
            <w:r>
              <w:rPr>
                <w:rFonts w:hint="eastAsia" w:cs="Times New Roman" w:asciiTheme="minorEastAsia" w:hAnsiTheme="minorEastAsia"/>
                <w:sz w:val="18"/>
                <w:szCs w:val="18"/>
              </w:rPr>
              <w:t>永续债</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资本公积</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减：库存股</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其他综合收益</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盈余公积</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一般风险准备</w:t>
            </w:r>
          </w:p>
        </w:tc>
        <w:tc>
          <w:tcPr>
            <w:tcW w:w="956" w:type="pct"/>
            <w:shd w:val="clear" w:color="auto" w:fill="auto"/>
          </w:tcPr>
          <w:p>
            <w:pPr>
              <w:jc w:val="right"/>
              <w:rPr>
                <w:rFonts w:cs="Times New Roman" w:asciiTheme="minorEastAsia" w:hAnsiTheme="minorEastAsia"/>
                <w:sz w:val="18"/>
                <w:szCs w:val="18"/>
              </w:rPr>
            </w:pPr>
          </w:p>
        </w:tc>
        <w:tc>
          <w:tcPr>
            <w:tcW w:w="1303" w:type="pct"/>
            <w:shd w:val="clear" w:color="auto" w:fill="auto"/>
          </w:tcPr>
          <w:p>
            <w:pPr>
              <w:jc w:val="right"/>
              <w:rPr>
                <w:rFonts w:cs="Times New Roman" w:asciiTheme="minorEastAsia" w:hAnsiTheme="minorEastAsia"/>
                <w:sz w:val="18"/>
                <w:szCs w:val="18"/>
              </w:rPr>
            </w:pPr>
          </w:p>
        </w:tc>
        <w:tc>
          <w:tcPr>
            <w:tcW w:w="1198"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未分配利润</w:t>
            </w:r>
          </w:p>
        </w:tc>
        <w:tc>
          <w:tcPr>
            <w:tcW w:w="956"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303"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c>
          <w:tcPr>
            <w:tcW w:w="1198" w:type="pct"/>
            <w:tcBorders>
              <w:bottom w:val="single" w:color="5B9BD5" w:themeColor="accent1" w:sz="4" w:space="0"/>
            </w:tcBorders>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jc w:val="center"/>
              <w:rPr>
                <w:rFonts w:cs="Times New Roman" w:asciiTheme="minorEastAsia" w:hAnsiTheme="minorEastAsia"/>
                <w:b/>
                <w:sz w:val="18"/>
                <w:szCs w:val="18"/>
              </w:rPr>
            </w:pPr>
            <w:r>
              <w:rPr>
                <w:rFonts w:hint="eastAsia" w:cs="Times New Roman" w:asciiTheme="minorEastAsia" w:hAnsiTheme="minorEastAsia"/>
                <w:b/>
                <w:sz w:val="18"/>
                <w:szCs w:val="18"/>
              </w:rPr>
              <w:t>所有者权益（或股东权益）合计</w:t>
            </w:r>
          </w:p>
        </w:tc>
        <w:tc>
          <w:tcPr>
            <w:tcW w:w="956" w:type="pct"/>
            <w:shd w:val="clear" w:color="auto" w:fill="D9D9D9"/>
          </w:tcPr>
          <w:p>
            <w:pPr>
              <w:jc w:val="right"/>
              <w:rPr>
                <w:rFonts w:cs="Times New Roman" w:asciiTheme="minorEastAsia" w:hAnsiTheme="minorEastAsia"/>
                <w:sz w:val="18"/>
                <w:szCs w:val="18"/>
              </w:rPr>
            </w:pPr>
          </w:p>
        </w:tc>
        <w:tc>
          <w:tcPr>
            <w:tcW w:w="1303" w:type="pct"/>
            <w:shd w:val="clear" w:color="auto" w:fill="D9D9D9"/>
          </w:tcPr>
          <w:p>
            <w:pPr>
              <w:jc w:val="right"/>
              <w:rPr>
                <w:rFonts w:cs="Times New Roman" w:asciiTheme="minorEastAsia" w:hAnsiTheme="minorEastAsia"/>
                <w:sz w:val="18"/>
                <w:szCs w:val="18"/>
              </w:rPr>
            </w:pPr>
          </w:p>
        </w:tc>
        <w:tc>
          <w:tcPr>
            <w:tcW w:w="1198" w:type="pct"/>
            <w:shd w:val="clear" w:color="auto" w:fill="D9D9D9"/>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3" w:type="pct"/>
            <w:shd w:val="clear" w:color="auto" w:fill="D9D9D9"/>
            <w:vAlign w:val="center"/>
          </w:tcPr>
          <w:p>
            <w:pPr>
              <w:jc w:val="center"/>
              <w:rPr>
                <w:rFonts w:cs="Times New Roman" w:asciiTheme="minorEastAsia" w:hAnsiTheme="minorEastAsia"/>
                <w:b/>
                <w:sz w:val="18"/>
                <w:szCs w:val="18"/>
              </w:rPr>
            </w:pPr>
            <w:r>
              <w:rPr>
                <w:rFonts w:hint="eastAsia" w:cs="Times New Roman" w:asciiTheme="minorEastAsia" w:hAnsiTheme="minorEastAsia"/>
                <w:b/>
                <w:sz w:val="18"/>
                <w:szCs w:val="18"/>
              </w:rPr>
              <w:t>负债和所有者权益（或股东权益）合计</w:t>
            </w:r>
          </w:p>
        </w:tc>
        <w:tc>
          <w:tcPr>
            <w:tcW w:w="956" w:type="pct"/>
            <w:shd w:val="clear" w:color="auto" w:fill="D9D9D9"/>
          </w:tcPr>
          <w:p>
            <w:pPr>
              <w:jc w:val="right"/>
              <w:rPr>
                <w:rFonts w:cs="Times New Roman" w:asciiTheme="minorEastAsia" w:hAnsiTheme="minorEastAsia"/>
                <w:sz w:val="18"/>
                <w:szCs w:val="18"/>
              </w:rPr>
            </w:pPr>
          </w:p>
        </w:tc>
        <w:tc>
          <w:tcPr>
            <w:tcW w:w="1303" w:type="pct"/>
            <w:shd w:val="clear" w:color="auto" w:fill="D9D9D9"/>
          </w:tcPr>
          <w:p>
            <w:pPr>
              <w:jc w:val="right"/>
              <w:rPr>
                <w:rFonts w:cs="Times New Roman" w:asciiTheme="minorEastAsia" w:hAnsiTheme="minorEastAsia"/>
                <w:sz w:val="18"/>
                <w:szCs w:val="18"/>
              </w:rPr>
            </w:pPr>
          </w:p>
        </w:tc>
        <w:tc>
          <w:tcPr>
            <w:tcW w:w="1198" w:type="pct"/>
            <w:shd w:val="clear" w:color="auto" w:fill="D9D9D9"/>
          </w:tcPr>
          <w:p>
            <w:pPr>
              <w:jc w:val="right"/>
              <w:rPr>
                <w:rFonts w:cs="Times New Roman" w:asciiTheme="minorEastAsia" w:hAnsiTheme="minorEastAsia"/>
                <w:sz w:val="18"/>
                <w:szCs w:val="18"/>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 xml:space="preserve">合并利润表 </w:t>
      </w:r>
    </w:p>
    <w:p>
      <w:pPr>
        <w:ind w:left="630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60"/>
        <w:gridCol w:w="1320"/>
        <w:gridCol w:w="2053"/>
        <w:gridCol w:w="233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tcBorders>
              <w:bottom w:val="single" w:color="5B9BD5" w:themeColor="accent1" w:sz="4" w:space="0"/>
            </w:tcBorders>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项目</w:t>
            </w:r>
          </w:p>
        </w:tc>
        <w:tc>
          <w:tcPr>
            <w:tcW w:w="662"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附注</w:t>
            </w:r>
          </w:p>
        </w:tc>
        <w:tc>
          <w:tcPr>
            <w:tcW w:w="1030"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2024年</w:t>
            </w:r>
          </w:p>
        </w:tc>
        <w:tc>
          <w:tcPr>
            <w:tcW w:w="1171" w:type="pct"/>
            <w:shd w:val="clear" w:color="auto" w:fill="D9D9D9"/>
            <w:vAlign w:val="center"/>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b/>
                <w:sz w:val="18"/>
                <w:szCs w:val="18"/>
              </w:rPr>
            </w:pPr>
            <w:r>
              <w:rPr>
                <w:rFonts w:cs="Times New Roman" w:asciiTheme="minorEastAsia" w:hAnsiTheme="minorEastAsia"/>
                <w:b/>
                <w:sz w:val="18"/>
                <w:szCs w:val="18"/>
              </w:rPr>
              <w:t>一、营业收入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利息净收入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ind w:firstLine="0" w:firstLineChars="0"/>
              <w:rPr>
                <w:rFonts w:cs="Times New Roman" w:asciiTheme="minorEastAsia" w:hAnsiTheme="minorEastAsia"/>
                <w:sz w:val="18"/>
                <w:szCs w:val="18"/>
              </w:rPr>
            </w:pPr>
            <w:r>
              <w:rPr>
                <w:rFonts w:hint="eastAsia" w:cs="Times New Roman" w:asciiTheme="minorEastAsia" w:hAnsiTheme="minorEastAsia"/>
                <w:sz w:val="18"/>
                <w:szCs w:val="18"/>
              </w:rPr>
              <w:t>其中：</w:t>
            </w:r>
            <w:r>
              <w:rPr>
                <w:rFonts w:cs="Times New Roman" w:asciiTheme="minorEastAsia" w:hAnsiTheme="minorEastAsia"/>
                <w:sz w:val="18"/>
                <w:szCs w:val="18"/>
              </w:rPr>
              <w:t>利息收入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firstLine="540" w:firstLineChars="300"/>
              <w:rPr>
                <w:rFonts w:cs="Times New Roman" w:asciiTheme="minorEastAsia" w:hAnsiTheme="minorEastAsia"/>
                <w:sz w:val="18"/>
                <w:szCs w:val="18"/>
              </w:rPr>
            </w:pPr>
            <w:r>
              <w:rPr>
                <w:rFonts w:cs="Times New Roman" w:asciiTheme="minorEastAsia" w:hAnsiTheme="minorEastAsia"/>
                <w:sz w:val="18"/>
                <w:szCs w:val="18"/>
              </w:rPr>
              <w:t>利息支出</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手续费及佣金净收入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firstLine="0" w:firstLineChars="0"/>
              <w:rPr>
                <w:rFonts w:cs="宋体" w:asciiTheme="minorEastAsia" w:hAnsiTheme="minorEastAsia"/>
                <w:b/>
                <w:sz w:val="18"/>
                <w:szCs w:val="18"/>
              </w:rPr>
            </w:pPr>
            <w:r>
              <w:rPr>
                <w:rFonts w:hint="eastAsia" w:cs="Times New Roman" w:asciiTheme="minorEastAsia" w:hAnsiTheme="minorEastAsia"/>
                <w:sz w:val="18"/>
                <w:szCs w:val="18"/>
              </w:rPr>
              <w:t>其中：</w:t>
            </w:r>
            <w:r>
              <w:rPr>
                <w:rFonts w:cs="Times New Roman" w:asciiTheme="minorEastAsia" w:hAnsiTheme="minorEastAsia"/>
                <w:sz w:val="18"/>
                <w:szCs w:val="18"/>
              </w:rPr>
              <w:t>手续费及佣金收入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ind w:firstLine="540" w:firstLineChars="300"/>
              <w:rPr>
                <w:rFonts w:cs="宋体" w:asciiTheme="minorEastAsia" w:hAnsiTheme="minorEastAsia"/>
                <w:sz w:val="18"/>
                <w:szCs w:val="18"/>
              </w:rPr>
            </w:pPr>
            <w:r>
              <w:rPr>
                <w:rFonts w:cs="Times New Roman" w:asciiTheme="minorEastAsia" w:hAnsiTheme="minorEastAsia"/>
                <w:sz w:val="18"/>
                <w:szCs w:val="18"/>
              </w:rPr>
              <w:t>手续费及佣金支出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投资收益（损失以”－”号填列）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firstLine="0" w:firstLineChars="0"/>
              <w:rPr>
                <w:rFonts w:cs="Times New Roman" w:asciiTheme="minorEastAsia" w:hAnsiTheme="minorEastAsia"/>
                <w:sz w:val="18"/>
                <w:szCs w:val="18"/>
              </w:rPr>
            </w:pPr>
            <w:r>
              <w:rPr>
                <w:rFonts w:cs="Times New Roman" w:asciiTheme="minorEastAsia" w:hAnsiTheme="minorEastAsia"/>
                <w:sz w:val="18"/>
                <w:szCs w:val="18"/>
              </w:rPr>
              <w:t>其中：对联营企业和合营企业的投资收益</w:t>
            </w:r>
            <w:r>
              <w:rPr>
                <w:rFonts w:hint="eastAsia" w:cs="Times New Roman" w:asciiTheme="minorEastAsia" w:hAnsiTheme="minorEastAsia"/>
                <w:sz w:val="18"/>
                <w:szCs w:val="18"/>
              </w:rPr>
              <w:t>（损失以“－”号填列）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left="0" w:leftChars="0" w:firstLine="540" w:firstLineChars="300"/>
              <w:rPr>
                <w:rFonts w:cs="Times New Roman" w:asciiTheme="minorEastAsia" w:hAnsiTheme="minorEastAsia"/>
                <w:sz w:val="18"/>
                <w:szCs w:val="18"/>
              </w:rPr>
            </w:pPr>
            <w:r>
              <w:rPr>
                <w:rFonts w:hint="eastAsia" w:cs="Times New Roman" w:asciiTheme="minorEastAsia" w:hAnsiTheme="minorEastAsia"/>
                <w:sz w:val="18"/>
                <w:szCs w:val="18"/>
              </w:rPr>
              <w:t>以</w:t>
            </w:r>
            <w:r>
              <w:rPr>
                <w:rFonts w:cs="Times New Roman" w:asciiTheme="minorEastAsia" w:hAnsiTheme="minorEastAsia"/>
                <w:sz w:val="18"/>
                <w:szCs w:val="18"/>
              </w:rPr>
              <w:t>摊余成本计量的金融资产终止确认产生的收益（</w:t>
            </w:r>
            <w:r>
              <w:rPr>
                <w:rFonts w:hint="eastAsia" w:cs="Times New Roman" w:asciiTheme="minorEastAsia" w:hAnsiTheme="minorEastAsia"/>
                <w:sz w:val="18"/>
                <w:szCs w:val="18"/>
              </w:rPr>
              <w:t>损失</w:t>
            </w:r>
            <w:r>
              <w:rPr>
                <w:rFonts w:cs="Times New Roman" w:asciiTheme="minorEastAsia" w:hAnsiTheme="minorEastAsia"/>
                <w:sz w:val="18"/>
                <w:szCs w:val="18"/>
              </w:rPr>
              <w:t>以“-”</w:t>
            </w:r>
            <w:r>
              <w:rPr>
                <w:rFonts w:hint="eastAsia" w:cs="Times New Roman" w:asciiTheme="minorEastAsia" w:hAnsiTheme="minorEastAsia"/>
                <w:sz w:val="18"/>
                <w:szCs w:val="18"/>
              </w:rPr>
              <w:t>号</w:t>
            </w:r>
            <w:r>
              <w:rPr>
                <w:rFonts w:cs="Times New Roman" w:asciiTheme="minorEastAsia" w:hAnsiTheme="minorEastAsia"/>
                <w:sz w:val="18"/>
                <w:szCs w:val="18"/>
              </w:rPr>
              <w:t>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净敞口套期收益（损失以“</w:t>
            </w:r>
            <w:r>
              <w:rPr>
                <w:rFonts w:cs="Times New Roman" w:asciiTheme="minorEastAsia" w:hAnsiTheme="minorEastAsia"/>
                <w:sz w:val="18"/>
                <w:szCs w:val="18"/>
              </w:rPr>
              <w:t>-”号填列）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w:t>
            </w:r>
            <w:r>
              <w:rPr>
                <w:rFonts w:cs="Times New Roman" w:asciiTheme="minorEastAsia" w:hAnsiTheme="minorEastAsia"/>
                <w:sz w:val="18"/>
                <w:szCs w:val="18"/>
              </w:rPr>
              <w:t>收益</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公允价值变动收益（损失以”－”号填列）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汇兑收益（损失以”－”号填列）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其他业务收入</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资产处置收益（损失以“</w:t>
            </w:r>
            <w:r>
              <w:rPr>
                <w:rFonts w:cs="Times New Roman" w:asciiTheme="minorEastAsia" w:hAnsiTheme="minorEastAsia"/>
                <w:sz w:val="18"/>
                <w:szCs w:val="18"/>
              </w:rPr>
              <w:t>-”号填列）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b/>
                <w:sz w:val="18"/>
                <w:szCs w:val="18"/>
              </w:rPr>
              <w:t>二、营业</w:t>
            </w:r>
            <w:r>
              <w:rPr>
                <w:rFonts w:hint="eastAsia" w:cs="Times New Roman" w:asciiTheme="minorEastAsia" w:hAnsiTheme="minorEastAsia"/>
                <w:b/>
                <w:sz w:val="18"/>
                <w:szCs w:val="18"/>
              </w:rPr>
              <w:t>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税金及附加</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业务及管理费</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信用</w:t>
            </w:r>
            <w:r>
              <w:rPr>
                <w:rFonts w:cs="Times New Roman" w:asciiTheme="minorEastAsia" w:hAnsiTheme="minorEastAsia"/>
                <w:sz w:val="18"/>
                <w:szCs w:val="18"/>
              </w:rPr>
              <w:t>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其他资产</w:t>
            </w:r>
            <w:r>
              <w:rPr>
                <w:rFonts w:cs="Times New Roman" w:asciiTheme="minorEastAsia" w:hAnsiTheme="minorEastAsia"/>
                <w:sz w:val="18"/>
                <w:szCs w:val="18"/>
              </w:rPr>
              <w:t>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其他业务成本</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b/>
                <w:sz w:val="18"/>
                <w:szCs w:val="18"/>
              </w:rPr>
              <w:t>三、营业利润（亏损以”－”号填列）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加：营业外收入</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减：营业外支出</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cs="Times New Roman" w:asciiTheme="minorEastAsia" w:hAnsiTheme="minorEastAsia"/>
                <w:b/>
                <w:sz w:val="18"/>
                <w:szCs w:val="18"/>
              </w:rPr>
              <w:t>四、利润总额（亏损总额以”－”号填列）</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减：所得税费用</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b/>
                <w:sz w:val="18"/>
                <w:szCs w:val="18"/>
              </w:rPr>
              <w:t>五、净利润（净亏损以”－”号填列）</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其中：被合并方在合并前实现的净利润</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（一）按</w:t>
            </w:r>
            <w:r>
              <w:rPr>
                <w:rFonts w:cs="Times New Roman" w:asciiTheme="minorEastAsia" w:hAnsiTheme="minorEastAsia"/>
                <w:sz w:val="18"/>
                <w:szCs w:val="18"/>
              </w:rPr>
              <w:t>经营持续性分类：</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ind w:firstLine="0" w:firstLineChars="0"/>
              <w:rPr>
                <w:rFonts w:cs="Times New Roman" w:asciiTheme="minorEastAsia" w:hAnsiTheme="minorEastAsia"/>
                <w:sz w:val="18"/>
                <w:szCs w:val="18"/>
              </w:rPr>
            </w:pPr>
            <w:r>
              <w:rPr>
                <w:rFonts w:cs="Times New Roman" w:asciiTheme="minorEastAsia" w:hAnsiTheme="minorEastAsia"/>
                <w:sz w:val="18"/>
                <w:szCs w:val="18"/>
              </w:rPr>
              <w:t>1.持续经营净利润</w:t>
            </w:r>
            <w:r>
              <w:rPr>
                <w:rFonts w:hint="eastAsia" w:cs="Times New Roman" w:asciiTheme="minorEastAsia" w:hAnsiTheme="minorEastAsia"/>
                <w:sz w:val="18"/>
                <w:szCs w:val="18"/>
              </w:rPr>
              <w:t>（净亏损以“</w:t>
            </w:r>
            <w:r>
              <w:rPr>
                <w:rFonts w:cs="Times New Roman" w:asciiTheme="minorEastAsia" w:hAnsiTheme="minorEastAsia"/>
                <w:sz w:val="18"/>
                <w:szCs w:val="18"/>
              </w:rPr>
              <w:t>-”号填列）</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firstLine="0" w:firstLineChars="0"/>
              <w:rPr>
                <w:rFonts w:cs="宋体" w:asciiTheme="minorEastAsia" w:hAnsiTheme="minorEastAsia"/>
                <w:b/>
                <w:sz w:val="18"/>
                <w:szCs w:val="18"/>
              </w:rPr>
            </w:pPr>
            <w:r>
              <w:rPr>
                <w:rFonts w:cs="Times New Roman" w:asciiTheme="minorEastAsia" w:hAnsiTheme="minorEastAsia"/>
                <w:sz w:val="18"/>
                <w:szCs w:val="18"/>
              </w:rPr>
              <w:t>2.终止经营净利润</w:t>
            </w:r>
            <w:r>
              <w:rPr>
                <w:rFonts w:hint="eastAsia" w:cs="Times New Roman" w:asciiTheme="minorEastAsia" w:hAnsiTheme="minorEastAsia"/>
                <w:sz w:val="18"/>
                <w:szCs w:val="18"/>
              </w:rPr>
              <w:t>（净亏损以“</w:t>
            </w:r>
            <w:r>
              <w:rPr>
                <w:rFonts w:cs="Times New Roman" w:asciiTheme="minorEastAsia" w:hAnsiTheme="minorEastAsia"/>
                <w:sz w:val="18"/>
                <w:szCs w:val="18"/>
              </w:rPr>
              <w:t>-”号填列）</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（二）按</w:t>
            </w:r>
            <w:r>
              <w:rPr>
                <w:rFonts w:cs="Times New Roman" w:asciiTheme="minorEastAsia" w:hAnsiTheme="minorEastAsia"/>
                <w:sz w:val="18"/>
                <w:szCs w:val="18"/>
              </w:rPr>
              <w:t>所有权归属分类</w:t>
            </w:r>
            <w:r>
              <w:rPr>
                <w:rFonts w:hint="eastAsia" w:cs="Times New Roman" w:asciiTheme="minorEastAsia" w:hAnsiTheme="minorEastAsia"/>
                <w:sz w:val="18"/>
                <w:szCs w:val="18"/>
              </w:rPr>
              <w:t>：</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ind w:firstLine="0" w:firstLineChars="0"/>
              <w:rPr>
                <w:rFonts w:cs="宋体" w:asciiTheme="minorEastAsia" w:hAnsiTheme="minorEastAsia"/>
                <w:sz w:val="18"/>
                <w:szCs w:val="18"/>
              </w:rPr>
            </w:pPr>
            <w:r>
              <w:rPr>
                <w:rFonts w:cs="Times New Roman" w:asciiTheme="minorEastAsia" w:hAnsiTheme="minorEastAsia"/>
                <w:sz w:val="18"/>
                <w:szCs w:val="18"/>
              </w:rPr>
              <w:t>1.少数股东损益</w:t>
            </w:r>
            <w:r>
              <w:rPr>
                <w:rFonts w:hint="eastAsia" w:cs="Times New Roman" w:asciiTheme="minorEastAsia" w:hAnsiTheme="minorEastAsia"/>
                <w:sz w:val="18"/>
                <w:szCs w:val="18"/>
              </w:rPr>
              <w:t>（净亏损以“</w:t>
            </w:r>
            <w:r>
              <w:rPr>
                <w:rFonts w:cs="Times New Roman" w:asciiTheme="minorEastAsia" w:hAnsiTheme="minorEastAsia"/>
                <w:sz w:val="18"/>
                <w:szCs w:val="18"/>
              </w:rPr>
              <w:t>-”号填列）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ind w:firstLine="0" w:firstLineChars="0"/>
              <w:rPr>
                <w:rFonts w:cs="宋体" w:asciiTheme="minorEastAsia" w:hAnsiTheme="minorEastAsia"/>
                <w:b/>
                <w:sz w:val="18"/>
                <w:szCs w:val="18"/>
              </w:rPr>
            </w:pPr>
            <w:r>
              <w:rPr>
                <w:rFonts w:cs="Times New Roman" w:asciiTheme="minorEastAsia" w:hAnsiTheme="minorEastAsia"/>
                <w:sz w:val="18"/>
                <w:szCs w:val="18"/>
              </w:rPr>
              <w:t>2.归属于母公司所有者的净利润</w:t>
            </w:r>
            <w:r>
              <w:rPr>
                <w:rFonts w:hint="eastAsia" w:cs="Times New Roman" w:asciiTheme="minorEastAsia" w:hAnsiTheme="minorEastAsia"/>
                <w:sz w:val="18"/>
                <w:szCs w:val="18"/>
              </w:rPr>
              <w:t>（净亏损以“</w:t>
            </w:r>
            <w:r>
              <w:rPr>
                <w:rFonts w:cs="Times New Roman" w:asciiTheme="minorEastAsia" w:hAnsiTheme="minorEastAsia"/>
                <w:sz w:val="18"/>
                <w:szCs w:val="18"/>
              </w:rPr>
              <w:t>-”号填列）</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b/>
                <w:sz w:val="18"/>
                <w:szCs w:val="18"/>
              </w:rPr>
              <w:t>六</w:t>
            </w:r>
            <w:r>
              <w:rPr>
                <w:rFonts w:cs="Times New Roman" w:asciiTheme="minorEastAsia" w:hAnsiTheme="minorEastAsia"/>
                <w:b/>
                <w:sz w:val="18"/>
                <w:szCs w:val="18"/>
              </w:rPr>
              <w:t>、</w:t>
            </w:r>
            <w:r>
              <w:rPr>
                <w:rFonts w:hint="eastAsia" w:cs="Times New Roman" w:asciiTheme="minorEastAsia" w:hAnsiTheme="minorEastAsia"/>
                <w:b/>
                <w:sz w:val="18"/>
                <w:szCs w:val="18"/>
              </w:rPr>
              <w:t>其他综合收益税后净额</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一）</w:t>
            </w:r>
            <w:r>
              <w:rPr>
                <w:rFonts w:hint="eastAsia" w:cs="Times New Roman" w:asciiTheme="minorEastAsia" w:hAnsiTheme="minorEastAsia"/>
                <w:sz w:val="18"/>
                <w:szCs w:val="18"/>
              </w:rPr>
              <w:t>归属母公司所有者的其他综合收益的税后净额</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1.</w:t>
            </w:r>
            <w:r>
              <w:rPr>
                <w:rFonts w:hint="eastAsia" w:cs="Times New Roman" w:asciiTheme="minorEastAsia" w:hAnsiTheme="minorEastAsia"/>
                <w:sz w:val="18"/>
                <w:szCs w:val="18"/>
              </w:rPr>
              <w:t>不能重分类</w:t>
            </w:r>
            <w:r>
              <w:rPr>
                <w:rFonts w:cs="Times New Roman" w:asciiTheme="minorEastAsia" w:hAnsiTheme="minorEastAsia"/>
                <w:sz w:val="18"/>
                <w:szCs w:val="18"/>
              </w:rPr>
              <w:t>进损益的其他综合收益</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cs="Times New Roman" w:asciiTheme="minorEastAsia" w:hAnsiTheme="minorEastAsia"/>
                <w:sz w:val="18"/>
                <w:szCs w:val="18"/>
              </w:rPr>
              <w:t>1</w:t>
            </w:r>
            <w:r>
              <w:rPr>
                <w:rFonts w:hint="eastAsia" w:cs="Times New Roman" w:asciiTheme="minorEastAsia" w:hAnsiTheme="minorEastAsia"/>
                <w:sz w:val="18"/>
                <w:szCs w:val="18"/>
              </w:rPr>
              <w:t>）重新计量设定受益计划变动额</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cs="Times New Roman" w:asciiTheme="minorEastAsia" w:hAnsiTheme="minorEastAsia"/>
                <w:sz w:val="18"/>
                <w:szCs w:val="18"/>
              </w:rPr>
              <w:t>2</w:t>
            </w:r>
            <w:r>
              <w:rPr>
                <w:rFonts w:hint="eastAsia" w:cs="Times New Roman" w:asciiTheme="minorEastAsia" w:hAnsiTheme="minorEastAsia"/>
                <w:sz w:val="18"/>
                <w:szCs w:val="18"/>
              </w:rPr>
              <w:t>）</w:t>
            </w:r>
            <w:r>
              <w:rPr>
                <w:rFonts w:cs="Times New Roman" w:asciiTheme="minorEastAsia" w:hAnsiTheme="minorEastAsia"/>
                <w:sz w:val="18"/>
                <w:szCs w:val="18"/>
              </w:rPr>
              <w:t xml:space="preserve"> </w:t>
            </w:r>
            <w:r>
              <w:rPr>
                <w:rFonts w:hint="eastAsia" w:cs="Times New Roman" w:asciiTheme="minorEastAsia" w:hAnsiTheme="minorEastAsia"/>
                <w:sz w:val="18"/>
                <w:szCs w:val="18"/>
              </w:rPr>
              <w:t>权益法下不能转损益的其他综合收益</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cs="Times New Roman" w:asciiTheme="minorEastAsia" w:hAnsiTheme="minorEastAsia"/>
                <w:sz w:val="18"/>
                <w:szCs w:val="18"/>
              </w:rPr>
              <w:t>3</w:t>
            </w:r>
            <w:r>
              <w:rPr>
                <w:rFonts w:hint="eastAsia" w:cs="Times New Roman" w:asciiTheme="minorEastAsia" w:hAnsiTheme="minorEastAsia"/>
                <w:sz w:val="18"/>
                <w:szCs w:val="18"/>
              </w:rPr>
              <w:t>）其他权益工具投资公允价值变动</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cs="Times New Roman" w:asciiTheme="minorEastAsia" w:hAnsiTheme="minorEastAsia"/>
                <w:sz w:val="18"/>
                <w:szCs w:val="18"/>
              </w:rPr>
              <w:t>4</w:t>
            </w:r>
            <w:r>
              <w:rPr>
                <w:rFonts w:hint="eastAsia" w:cs="Times New Roman" w:asciiTheme="minorEastAsia" w:hAnsiTheme="minorEastAsia"/>
                <w:sz w:val="18"/>
                <w:szCs w:val="18"/>
              </w:rPr>
              <w:t>）企业自身信用风险公允价值变动</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w:t>
            </w:r>
            <w:r>
              <w:rPr>
                <w:rFonts w:cs="Times New Roman" w:asciiTheme="minorEastAsia" w:hAnsiTheme="minorEastAsia"/>
                <w:sz w:val="18"/>
                <w:szCs w:val="18"/>
              </w:rPr>
              <w:t>5</w:t>
            </w:r>
            <w:r>
              <w:rPr>
                <w:rFonts w:hint="eastAsia" w:cs="Times New Roman" w:asciiTheme="minorEastAsia" w:hAnsiTheme="minorEastAsia"/>
                <w:sz w:val="18"/>
                <w:szCs w:val="18"/>
              </w:rPr>
              <w:t>）</w:t>
            </w:r>
            <w:r>
              <w:rPr>
                <w:rFonts w:cs="Times New Roman" w:asciiTheme="minorEastAsia" w:hAnsiTheme="minorEastAsia"/>
                <w:sz w:val="18"/>
                <w:szCs w:val="18"/>
              </w:rPr>
              <w:t>其他</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将重分类进损益的其他综合收益</w:t>
            </w:r>
          </w:p>
        </w:tc>
        <w:tc>
          <w:tcPr>
            <w:tcW w:w="662" w:type="pct"/>
            <w:shd w:val="clear" w:color="auto" w:fill="auto"/>
          </w:tcPr>
          <w:p>
            <w:pPr>
              <w:ind w:left="1260" w:hanging="420"/>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b/>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1</w:t>
            </w:r>
            <w:r>
              <w:rPr>
                <w:rFonts w:hint="eastAsia" w:cs="Times New Roman" w:asciiTheme="minorEastAsia" w:hAnsiTheme="minorEastAsia"/>
                <w:sz w:val="18"/>
                <w:szCs w:val="18"/>
              </w:rPr>
              <w:t>）权益法下可转损益的其他综合收益</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2</w:t>
            </w:r>
            <w:r>
              <w:rPr>
                <w:rFonts w:hint="eastAsia" w:cs="Times New Roman" w:asciiTheme="minorEastAsia" w:hAnsiTheme="minorEastAsia"/>
                <w:sz w:val="18"/>
                <w:szCs w:val="18"/>
              </w:rPr>
              <w:t>）其他债权投资公允价值变动</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3</w:t>
            </w:r>
            <w:r>
              <w:rPr>
                <w:rFonts w:hint="eastAsia" w:cs="Times New Roman" w:asciiTheme="minorEastAsia" w:hAnsiTheme="minorEastAsia"/>
                <w:sz w:val="18"/>
                <w:szCs w:val="18"/>
              </w:rPr>
              <w:t>）金融资产重分类计入其他综合收益的金额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4</w:t>
            </w:r>
            <w:r>
              <w:rPr>
                <w:rFonts w:hint="eastAsia" w:cs="Times New Roman" w:asciiTheme="minorEastAsia" w:hAnsiTheme="minorEastAsia"/>
                <w:sz w:val="18"/>
                <w:szCs w:val="18"/>
              </w:rPr>
              <w:t>）其他债权投资信用损失准备</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5</w:t>
            </w:r>
            <w:r>
              <w:rPr>
                <w:rFonts w:hint="eastAsia" w:cs="Times New Roman" w:asciiTheme="minorEastAsia" w:hAnsiTheme="minorEastAsia"/>
                <w:sz w:val="18"/>
                <w:szCs w:val="18"/>
              </w:rPr>
              <w:t>）现金流量套期储备</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6</w:t>
            </w:r>
            <w:r>
              <w:rPr>
                <w:rFonts w:hint="eastAsia" w:cs="Times New Roman" w:asciiTheme="minorEastAsia" w:hAnsiTheme="minorEastAsia"/>
                <w:sz w:val="18"/>
                <w:szCs w:val="18"/>
              </w:rPr>
              <w:t>）外币财务报表折算差额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7</w:t>
            </w:r>
            <w:r>
              <w:rPr>
                <w:rFonts w:hint="eastAsia" w:cs="Times New Roman" w:asciiTheme="minorEastAsia" w:hAnsiTheme="minorEastAsia"/>
                <w:sz w:val="18"/>
                <w:szCs w:val="18"/>
              </w:rPr>
              <w:t>）其他</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ascii="Calibri" w:hAnsi="Calibri" w:eastAsia="宋体" w:cs="Times New Roman"/>
                <w:sz w:val="18"/>
                <w:szCs w:val="18"/>
              </w:rPr>
            </w:pPr>
            <w:r>
              <w:rPr>
                <w:rFonts w:hint="eastAsia" w:cs="Times New Roman" w:asciiTheme="minorEastAsia" w:hAnsiTheme="minorEastAsia"/>
                <w:sz w:val="18"/>
                <w:szCs w:val="18"/>
              </w:rPr>
              <w:t>（二）归属于少数股东的其他综合收益的税后净额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b/>
                <w:sz w:val="18"/>
                <w:szCs w:val="18"/>
              </w:rPr>
              <w:t>七</w:t>
            </w:r>
            <w:r>
              <w:rPr>
                <w:rFonts w:cs="Times New Roman" w:asciiTheme="minorEastAsia" w:hAnsiTheme="minorEastAsia"/>
                <w:b/>
                <w:sz w:val="18"/>
                <w:szCs w:val="18"/>
              </w:rPr>
              <w:t>、综合收益总额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（一）</w:t>
            </w:r>
            <w:r>
              <w:rPr>
                <w:rFonts w:cs="Times New Roman" w:asciiTheme="minorEastAsia" w:hAnsiTheme="minorEastAsia"/>
                <w:sz w:val="18"/>
                <w:szCs w:val="18"/>
              </w:rPr>
              <w:t>归属于母公司所有者的综合收益总额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（二）</w:t>
            </w:r>
            <w:r>
              <w:rPr>
                <w:rFonts w:cs="Times New Roman" w:asciiTheme="minorEastAsia" w:hAnsiTheme="minorEastAsia"/>
                <w:sz w:val="18"/>
                <w:szCs w:val="18"/>
              </w:rPr>
              <w:t>归属于少数股东的综合收益总额</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b/>
                <w:sz w:val="18"/>
                <w:szCs w:val="18"/>
              </w:rPr>
              <w:t>八</w:t>
            </w:r>
            <w:r>
              <w:rPr>
                <w:rFonts w:cs="Times New Roman" w:asciiTheme="minorEastAsia" w:hAnsiTheme="minorEastAsia"/>
                <w:b/>
                <w:sz w:val="18"/>
                <w:szCs w:val="18"/>
              </w:rPr>
              <w:t>、每股收益：</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（一）基本每股收益</w:t>
            </w:r>
            <w:r>
              <w:rPr>
                <w:rFonts w:hint="eastAsia" w:cs="Times New Roman" w:asciiTheme="minorEastAsia" w:hAnsiTheme="minorEastAsia"/>
                <w:sz w:val="18"/>
                <w:szCs w:val="18"/>
              </w:rPr>
              <w:t>（元</w:t>
            </w:r>
            <w:r>
              <w:rPr>
                <w:rFonts w:cs="Times New Roman" w:asciiTheme="minorEastAsia" w:hAnsiTheme="minorEastAsia"/>
                <w:sz w:val="18"/>
                <w:szCs w:val="18"/>
              </w:rPr>
              <w:t>/股）</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（二）稀释每股收益</w:t>
            </w:r>
            <w:r>
              <w:rPr>
                <w:rFonts w:hint="eastAsia" w:cs="Times New Roman" w:asciiTheme="minorEastAsia" w:hAnsiTheme="minorEastAsia"/>
                <w:sz w:val="18"/>
                <w:szCs w:val="18"/>
              </w:rPr>
              <w:t>（元</w:t>
            </w:r>
            <w:r>
              <w:rPr>
                <w:rFonts w:cs="Times New Roman" w:asciiTheme="minorEastAsia" w:hAnsiTheme="minorEastAsia"/>
                <w:sz w:val="18"/>
                <w:szCs w:val="18"/>
              </w:rPr>
              <w:t>/股）</w:t>
            </w:r>
          </w:p>
        </w:tc>
        <w:tc>
          <w:tcPr>
            <w:tcW w:w="662" w:type="pct"/>
            <w:shd w:val="clear" w:color="auto" w:fill="auto"/>
          </w:tcPr>
          <w:p>
            <w:pPr>
              <w:jc w:val="right"/>
              <w:rPr>
                <w:rFonts w:cs="Times New Roman" w:asciiTheme="minorEastAsia" w:hAnsiTheme="minorEastAsia"/>
                <w:sz w:val="18"/>
                <w:szCs w:val="18"/>
              </w:rPr>
            </w:pPr>
          </w:p>
        </w:tc>
        <w:tc>
          <w:tcPr>
            <w:tcW w:w="1030" w:type="pct"/>
            <w:shd w:val="clear" w:color="auto" w:fill="auto"/>
          </w:tcPr>
          <w:p>
            <w:pPr>
              <w:jc w:val="right"/>
              <w:rPr>
                <w:rFonts w:cs="Times New Roman" w:asciiTheme="minorEastAsia" w:hAnsiTheme="minorEastAsia"/>
                <w:sz w:val="18"/>
                <w:szCs w:val="18"/>
              </w:rPr>
            </w:pPr>
          </w:p>
        </w:tc>
        <w:tc>
          <w:tcPr>
            <w:tcW w:w="1171" w:type="pct"/>
            <w:shd w:val="clear" w:color="auto" w:fill="auto"/>
          </w:tcPr>
          <w:p>
            <w:pPr>
              <w:jc w:val="right"/>
              <w:rPr>
                <w:rFonts w:cs="Times New Roman" w:asciiTheme="minorEastAsia" w:hAnsiTheme="minorEastAsia"/>
                <w:sz w:val="18"/>
                <w:szCs w:val="18"/>
              </w:rPr>
            </w:pPr>
          </w:p>
        </w:tc>
      </w:tr>
    </w:tbl>
    <w:p>
      <w:pPr>
        <w:widowControl/>
        <w:jc w:val="left"/>
        <w:rPr>
          <w:rFonts w:cs="宋体" w:asciiTheme="minorEastAsia" w:hAnsiTheme="minorEastAsia"/>
          <w:kern w:val="0"/>
          <w:sz w:val="18"/>
          <w:szCs w:val="18"/>
        </w:rPr>
      </w:pPr>
      <w:r>
        <w:rPr>
          <w:rFonts w:ascii="Calibri" w:hAnsi="Calibri" w:eastAsia="宋体" w:cs="Times New Roman"/>
          <w:sz w:val="18"/>
          <w:szCs w:val="18"/>
        </w:rPr>
        <w:t>法定代表人：_____________ 主管会计工作负责人：_____________ 会计机构负责人：_____________</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母公司利润表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45"/>
        <w:gridCol w:w="1463"/>
        <w:gridCol w:w="1906"/>
        <w:gridCol w:w="205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tcBorders>
              <w:bottom w:val="single" w:color="5B9BD5" w:themeColor="accent1" w:sz="4" w:space="0"/>
            </w:tcBorders>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项目</w:t>
            </w:r>
          </w:p>
        </w:tc>
        <w:tc>
          <w:tcPr>
            <w:tcW w:w="734"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附注</w:t>
            </w:r>
          </w:p>
        </w:tc>
        <w:tc>
          <w:tcPr>
            <w:tcW w:w="956"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2024年</w:t>
            </w:r>
          </w:p>
        </w:tc>
        <w:tc>
          <w:tcPr>
            <w:tcW w:w="1030" w:type="pct"/>
            <w:shd w:val="clear" w:color="auto" w:fill="D9D9D9"/>
            <w:vAlign w:val="center"/>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b/>
                <w:sz w:val="18"/>
                <w:szCs w:val="18"/>
              </w:rPr>
            </w:pPr>
            <w:r>
              <w:rPr>
                <w:rFonts w:cs="Times New Roman" w:asciiTheme="minorEastAsia" w:hAnsiTheme="minorEastAsia"/>
                <w:b/>
                <w:sz w:val="18"/>
                <w:szCs w:val="18"/>
              </w:rPr>
              <w:t>一、营业收入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利息净收入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ind w:firstLine="0" w:firstLineChars="0"/>
              <w:rPr>
                <w:rFonts w:cs="宋体" w:asciiTheme="minorEastAsia" w:hAnsiTheme="minorEastAsia"/>
                <w:sz w:val="18"/>
                <w:szCs w:val="18"/>
              </w:rPr>
            </w:pPr>
            <w:r>
              <w:rPr>
                <w:rFonts w:hint="eastAsia" w:cs="Times New Roman" w:asciiTheme="minorEastAsia" w:hAnsiTheme="minorEastAsia"/>
                <w:sz w:val="18"/>
                <w:szCs w:val="18"/>
              </w:rPr>
              <w:t>其中：</w:t>
            </w:r>
            <w:r>
              <w:rPr>
                <w:rFonts w:cs="Times New Roman" w:asciiTheme="minorEastAsia" w:hAnsiTheme="minorEastAsia"/>
                <w:sz w:val="18"/>
                <w:szCs w:val="18"/>
              </w:rPr>
              <w:t>利息收入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ind w:firstLine="540" w:firstLineChars="300"/>
              <w:rPr>
                <w:rFonts w:cs="宋体" w:asciiTheme="minorEastAsia" w:hAnsiTheme="minorEastAsia"/>
                <w:sz w:val="18"/>
                <w:szCs w:val="18"/>
              </w:rPr>
            </w:pPr>
            <w:r>
              <w:rPr>
                <w:rFonts w:cs="Times New Roman" w:asciiTheme="minorEastAsia" w:hAnsiTheme="minorEastAsia"/>
                <w:sz w:val="18"/>
                <w:szCs w:val="18"/>
              </w:rPr>
              <w:t>利息支出</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手续费及佣金净收入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ind w:firstLine="0" w:firstLineChars="0"/>
              <w:rPr>
                <w:rFonts w:cs="Times New Roman" w:asciiTheme="minorEastAsia" w:hAnsiTheme="minorEastAsia"/>
                <w:sz w:val="18"/>
                <w:szCs w:val="18"/>
              </w:rPr>
            </w:pPr>
            <w:r>
              <w:rPr>
                <w:rFonts w:hint="eastAsia" w:cs="Times New Roman" w:asciiTheme="minorEastAsia" w:hAnsiTheme="minorEastAsia"/>
                <w:sz w:val="18"/>
                <w:szCs w:val="18"/>
              </w:rPr>
              <w:t>其中：</w:t>
            </w:r>
            <w:r>
              <w:rPr>
                <w:rFonts w:cs="Times New Roman" w:asciiTheme="minorEastAsia" w:hAnsiTheme="minorEastAsia"/>
                <w:sz w:val="18"/>
                <w:szCs w:val="18"/>
              </w:rPr>
              <w:t>手续费及佣金收入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ind w:firstLine="540" w:firstLineChars="300"/>
              <w:rPr>
                <w:rFonts w:cs="宋体" w:asciiTheme="minorEastAsia" w:hAnsiTheme="minorEastAsia"/>
                <w:sz w:val="18"/>
                <w:szCs w:val="18"/>
              </w:rPr>
            </w:pPr>
            <w:r>
              <w:rPr>
                <w:rFonts w:cs="Times New Roman" w:asciiTheme="minorEastAsia" w:hAnsiTheme="minorEastAsia"/>
                <w:sz w:val="18"/>
                <w:szCs w:val="18"/>
              </w:rPr>
              <w:t>手续费及佣金支出</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投资收益（损失以”－”号填列）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ind w:firstLine="0" w:firstLineChars="0"/>
              <w:rPr>
                <w:rFonts w:cs="Times New Roman" w:asciiTheme="minorEastAsia" w:hAnsiTheme="minorEastAsia"/>
                <w:sz w:val="18"/>
                <w:szCs w:val="18"/>
              </w:rPr>
            </w:pPr>
            <w:r>
              <w:rPr>
                <w:rFonts w:cs="Times New Roman" w:asciiTheme="minorEastAsia" w:hAnsiTheme="minorEastAsia"/>
                <w:sz w:val="18"/>
                <w:szCs w:val="18"/>
              </w:rPr>
              <w:t>其中：对联营企业和合营企业的投资收益</w:t>
            </w:r>
            <w:r>
              <w:rPr>
                <w:rFonts w:hint="eastAsia" w:cs="Times New Roman" w:asciiTheme="minorEastAsia" w:hAnsiTheme="minorEastAsia"/>
                <w:sz w:val="18"/>
                <w:szCs w:val="18"/>
              </w:rPr>
              <w:t>（损失以“－”号填列）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ind w:left="0" w:leftChars="0" w:firstLine="540" w:firstLineChars="300"/>
              <w:rPr>
                <w:rFonts w:cs="Times New Roman" w:asciiTheme="minorEastAsia" w:hAnsiTheme="minorEastAsia"/>
                <w:sz w:val="18"/>
                <w:szCs w:val="18"/>
              </w:rPr>
            </w:pPr>
            <w:r>
              <w:rPr>
                <w:rFonts w:hint="eastAsia" w:cs="Times New Roman" w:asciiTheme="minorEastAsia" w:hAnsiTheme="minorEastAsia"/>
                <w:sz w:val="18"/>
                <w:szCs w:val="18"/>
              </w:rPr>
              <w:t>以</w:t>
            </w:r>
            <w:r>
              <w:rPr>
                <w:rFonts w:cs="Times New Roman" w:asciiTheme="minorEastAsia" w:hAnsiTheme="minorEastAsia"/>
                <w:sz w:val="18"/>
                <w:szCs w:val="18"/>
              </w:rPr>
              <w:t>摊余成本计量的金融资产终止确认产生的收益（</w:t>
            </w:r>
            <w:r>
              <w:rPr>
                <w:rFonts w:hint="eastAsia" w:cs="Times New Roman" w:asciiTheme="minorEastAsia" w:hAnsiTheme="minorEastAsia"/>
                <w:sz w:val="18"/>
                <w:szCs w:val="18"/>
              </w:rPr>
              <w:t>损失</w:t>
            </w:r>
            <w:r>
              <w:rPr>
                <w:rFonts w:cs="Times New Roman" w:asciiTheme="minorEastAsia" w:hAnsiTheme="minorEastAsia"/>
                <w:sz w:val="18"/>
                <w:szCs w:val="18"/>
              </w:rPr>
              <w:t>以“-”</w:t>
            </w:r>
            <w:r>
              <w:rPr>
                <w:rFonts w:hint="eastAsia" w:cs="Times New Roman" w:asciiTheme="minorEastAsia" w:hAnsiTheme="minorEastAsia"/>
                <w:sz w:val="18"/>
                <w:szCs w:val="18"/>
              </w:rPr>
              <w:t>号</w:t>
            </w:r>
            <w:r>
              <w:rPr>
                <w:rFonts w:cs="Times New Roman" w:asciiTheme="minorEastAsia" w:hAnsiTheme="minorEastAsia"/>
                <w:sz w:val="18"/>
                <w:szCs w:val="18"/>
              </w:rPr>
              <w:t>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净敞口套期收益（损失以“</w:t>
            </w:r>
            <w:r>
              <w:rPr>
                <w:rFonts w:cs="Times New Roman" w:asciiTheme="minorEastAsia" w:hAnsiTheme="minorEastAsia"/>
                <w:sz w:val="18"/>
                <w:szCs w:val="18"/>
              </w:rPr>
              <w:t>-”号填列）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w:t>
            </w:r>
            <w:r>
              <w:rPr>
                <w:rFonts w:cs="Times New Roman" w:asciiTheme="minorEastAsia" w:hAnsiTheme="minorEastAsia"/>
                <w:sz w:val="18"/>
                <w:szCs w:val="18"/>
              </w:rPr>
              <w:t>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公允价值变动收益（损失以”－”号填列）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b/>
                <w:sz w:val="18"/>
                <w:szCs w:val="18"/>
              </w:rPr>
            </w:pPr>
            <w:r>
              <w:rPr>
                <w:rFonts w:cs="Times New Roman" w:asciiTheme="minorEastAsia" w:hAnsiTheme="minorEastAsia"/>
                <w:sz w:val="18"/>
                <w:szCs w:val="18"/>
              </w:rPr>
              <w:t>汇兑收益（损失以”－”号填列）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其他业务收入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资产处置收益（损失以“</w:t>
            </w:r>
            <w:r>
              <w:rPr>
                <w:rFonts w:cs="Times New Roman" w:asciiTheme="minorEastAsia" w:hAnsiTheme="minorEastAsia"/>
                <w:sz w:val="18"/>
                <w:szCs w:val="18"/>
              </w:rPr>
              <w:t>-”号填列）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b/>
                <w:sz w:val="18"/>
                <w:szCs w:val="18"/>
              </w:rPr>
            </w:pPr>
            <w:r>
              <w:rPr>
                <w:rFonts w:cs="Times New Roman" w:asciiTheme="minorEastAsia" w:hAnsiTheme="minorEastAsia"/>
                <w:b/>
                <w:sz w:val="18"/>
                <w:szCs w:val="18"/>
              </w:rPr>
              <w:t>二、营业</w:t>
            </w:r>
            <w:r>
              <w:rPr>
                <w:rFonts w:hint="eastAsia" w:cs="Times New Roman" w:asciiTheme="minorEastAsia" w:hAnsiTheme="minorEastAsia"/>
                <w:b/>
                <w:sz w:val="18"/>
                <w:szCs w:val="18"/>
              </w:rPr>
              <w:t>支出</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税金及附加</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宋体" w:asciiTheme="minorEastAsia" w:hAnsiTheme="minorEastAsia"/>
                <w:sz w:val="18"/>
                <w:szCs w:val="18"/>
              </w:rPr>
            </w:pPr>
            <w:r>
              <w:rPr>
                <w:rFonts w:cs="Times New Roman" w:asciiTheme="minorEastAsia" w:hAnsiTheme="minorEastAsia"/>
                <w:sz w:val="18"/>
                <w:szCs w:val="18"/>
              </w:rPr>
              <w:t>业务及管理费</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信用减值</w:t>
            </w:r>
            <w:r>
              <w:rPr>
                <w:rFonts w:cs="Times New Roman" w:asciiTheme="minorEastAsia" w:hAnsiTheme="minorEastAsia"/>
                <w:sz w:val="18"/>
                <w:szCs w:val="18"/>
              </w:rPr>
              <w:t>损失</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其他</w:t>
            </w:r>
            <w:r>
              <w:rPr>
                <w:rFonts w:cs="Times New Roman" w:asciiTheme="minorEastAsia" w:hAnsiTheme="minorEastAsia"/>
                <w:sz w:val="18"/>
                <w:szCs w:val="18"/>
              </w:rPr>
              <w:t>资产减值</w:t>
            </w:r>
            <w:r>
              <w:rPr>
                <w:rFonts w:hint="eastAsia" w:cs="Times New Roman" w:asciiTheme="minorEastAsia" w:hAnsiTheme="minorEastAsia"/>
                <w:sz w:val="18"/>
                <w:szCs w:val="18"/>
              </w:rPr>
              <w:t>损失</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其他业务成本</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b/>
                <w:sz w:val="18"/>
                <w:szCs w:val="18"/>
              </w:rPr>
              <w:t>三、营业利润（亏损以”－”号填列）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加：营业外收入</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减：营业外支出</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b/>
                <w:sz w:val="18"/>
                <w:szCs w:val="18"/>
              </w:rPr>
              <w:t>四、利润总额（亏损总额以”－”号填列）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减：所得税费用</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b/>
                <w:sz w:val="18"/>
                <w:szCs w:val="18"/>
              </w:rPr>
              <w:t>五、净利润（净亏损以”－”号填列）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（一）持续</w:t>
            </w:r>
            <w:r>
              <w:rPr>
                <w:rFonts w:cs="Times New Roman" w:asciiTheme="minorEastAsia" w:hAnsiTheme="minorEastAsia"/>
                <w:sz w:val="18"/>
                <w:szCs w:val="18"/>
              </w:rPr>
              <w:t>经营净利润</w:t>
            </w:r>
            <w:r>
              <w:rPr>
                <w:rFonts w:hint="eastAsia" w:cs="Times New Roman" w:asciiTheme="minorEastAsia" w:hAnsiTheme="minorEastAsia"/>
                <w:sz w:val="18"/>
                <w:szCs w:val="18"/>
              </w:rPr>
              <w:t>（净亏损以“－”号填列）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（二）终止经营</w:t>
            </w:r>
            <w:r>
              <w:rPr>
                <w:rFonts w:cs="Times New Roman" w:asciiTheme="minorEastAsia" w:hAnsiTheme="minorEastAsia"/>
                <w:sz w:val="18"/>
                <w:szCs w:val="18"/>
              </w:rPr>
              <w:t>净利润</w:t>
            </w:r>
            <w:r>
              <w:rPr>
                <w:rFonts w:hint="eastAsia" w:cs="Times New Roman" w:asciiTheme="minorEastAsia" w:hAnsiTheme="minorEastAsia"/>
                <w:sz w:val="18"/>
                <w:szCs w:val="18"/>
              </w:rPr>
              <w:t>（净亏损以“－”号填列）</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b/>
                <w:sz w:val="18"/>
                <w:szCs w:val="18"/>
              </w:rPr>
              <w:t>六</w:t>
            </w:r>
            <w:r>
              <w:rPr>
                <w:rFonts w:cs="Times New Roman" w:asciiTheme="minorEastAsia" w:hAnsiTheme="minorEastAsia"/>
                <w:b/>
                <w:sz w:val="18"/>
                <w:szCs w:val="18"/>
              </w:rPr>
              <w:t>、</w:t>
            </w:r>
            <w:r>
              <w:rPr>
                <w:rFonts w:hint="eastAsia" w:cs="Times New Roman" w:asciiTheme="minorEastAsia" w:hAnsiTheme="minorEastAsia"/>
                <w:b/>
                <w:sz w:val="18"/>
                <w:szCs w:val="18"/>
              </w:rPr>
              <w:t>其他综合收益税后净额</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一）不能</w:t>
            </w:r>
            <w:r>
              <w:rPr>
                <w:rFonts w:hint="eastAsia" w:cs="Times New Roman" w:asciiTheme="minorEastAsia" w:hAnsiTheme="minorEastAsia"/>
                <w:sz w:val="18"/>
                <w:szCs w:val="18"/>
              </w:rPr>
              <w:t>重</w:t>
            </w:r>
            <w:r>
              <w:rPr>
                <w:rFonts w:cs="Times New Roman" w:asciiTheme="minorEastAsia" w:hAnsiTheme="minorEastAsia"/>
                <w:sz w:val="18"/>
                <w:szCs w:val="18"/>
              </w:rPr>
              <w:t>分类进</w:t>
            </w:r>
            <w:r>
              <w:rPr>
                <w:rFonts w:hint="eastAsia" w:cs="Times New Roman" w:asciiTheme="minorEastAsia" w:hAnsiTheme="minorEastAsia"/>
                <w:sz w:val="18"/>
                <w:szCs w:val="18"/>
              </w:rPr>
              <w:t>损益</w:t>
            </w:r>
            <w:r>
              <w:rPr>
                <w:rFonts w:cs="Times New Roman" w:asciiTheme="minorEastAsia" w:hAnsiTheme="minorEastAsia"/>
                <w:sz w:val="18"/>
                <w:szCs w:val="18"/>
              </w:rPr>
              <w:t>的</w:t>
            </w:r>
            <w:r>
              <w:rPr>
                <w:rFonts w:hint="eastAsia" w:cs="Times New Roman" w:asciiTheme="minorEastAsia" w:hAnsiTheme="minorEastAsia"/>
                <w:sz w:val="18"/>
                <w:szCs w:val="18"/>
              </w:rPr>
              <w:t>其他</w:t>
            </w:r>
            <w:r>
              <w:rPr>
                <w:rFonts w:cs="Times New Roman" w:asciiTheme="minorEastAsia" w:hAnsiTheme="minorEastAsia"/>
                <w:sz w:val="18"/>
                <w:szCs w:val="18"/>
              </w:rPr>
              <w:t>综合收益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 xml:space="preserve">1. </w:t>
            </w:r>
            <w:r>
              <w:rPr>
                <w:rFonts w:hint="eastAsia" w:cs="Times New Roman" w:asciiTheme="minorEastAsia" w:hAnsiTheme="minorEastAsia"/>
                <w:sz w:val="18"/>
                <w:szCs w:val="18"/>
              </w:rPr>
              <w:t>重新计量设定受益计划变动额</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ascii="Calibri" w:hAnsi="Calibri" w:eastAsia="宋体" w:cs="Times New Roman"/>
                <w:sz w:val="18"/>
                <w:szCs w:val="18"/>
              </w:rPr>
            </w:pPr>
            <w:r>
              <w:rPr>
                <w:rFonts w:cs="Times New Roman" w:asciiTheme="minorEastAsia" w:hAnsiTheme="minorEastAsia"/>
                <w:sz w:val="18"/>
                <w:szCs w:val="18"/>
              </w:rPr>
              <w:t xml:space="preserve">2. </w:t>
            </w:r>
            <w:r>
              <w:rPr>
                <w:rFonts w:hint="eastAsia" w:cs="Times New Roman" w:asciiTheme="minorEastAsia" w:hAnsiTheme="minorEastAsia"/>
                <w:sz w:val="18"/>
                <w:szCs w:val="18"/>
              </w:rPr>
              <w:t>权益法下不能转损益的其他综合收益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3</w:t>
            </w:r>
            <w:r>
              <w:rPr>
                <w:rFonts w:hint="eastAsia" w:cs="Times New Roman" w:asciiTheme="minorEastAsia" w:hAnsiTheme="minorEastAsia"/>
                <w:sz w:val="18"/>
                <w:szCs w:val="18"/>
              </w:rPr>
              <w:t>．其他权益工具投资公允价值变动</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4</w:t>
            </w:r>
            <w:r>
              <w:rPr>
                <w:rFonts w:hint="eastAsia" w:cs="Times New Roman" w:asciiTheme="minorEastAsia" w:hAnsiTheme="minorEastAsia"/>
                <w:sz w:val="18"/>
                <w:szCs w:val="18"/>
              </w:rPr>
              <w:t>．企业自身信用风险公允价值变动</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5．其他</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w:t>
            </w:r>
            <w:r>
              <w:rPr>
                <w:rFonts w:cs="Times New Roman" w:asciiTheme="minorEastAsia" w:hAnsiTheme="minorEastAsia"/>
                <w:sz w:val="18"/>
                <w:szCs w:val="18"/>
              </w:rPr>
              <w:t>二）</w:t>
            </w:r>
            <w:r>
              <w:rPr>
                <w:rFonts w:hint="eastAsia" w:cs="Times New Roman" w:asciiTheme="minorEastAsia" w:hAnsiTheme="minorEastAsia"/>
                <w:sz w:val="18"/>
                <w:szCs w:val="18"/>
              </w:rPr>
              <w:t>将重分类进损益的其他综合收益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 xml:space="preserve">1. </w:t>
            </w:r>
            <w:r>
              <w:rPr>
                <w:rFonts w:hint="eastAsia" w:cs="Times New Roman" w:asciiTheme="minorEastAsia" w:hAnsiTheme="minorEastAsia"/>
                <w:sz w:val="18"/>
                <w:szCs w:val="18"/>
              </w:rPr>
              <w:t>权益法下可转损益的其他综合收益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 xml:space="preserve">2. </w:t>
            </w:r>
            <w:r>
              <w:rPr>
                <w:rFonts w:hint="eastAsia" w:cs="Times New Roman" w:asciiTheme="minorEastAsia" w:hAnsiTheme="minorEastAsia"/>
                <w:sz w:val="18"/>
                <w:szCs w:val="18"/>
              </w:rPr>
              <w:t>其他债权投资公允价值变动</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sz w:val="18"/>
                <w:szCs w:val="18"/>
              </w:rPr>
              <w:t xml:space="preserve">3. </w:t>
            </w:r>
            <w:r>
              <w:rPr>
                <w:rFonts w:hint="eastAsia" w:cs="Times New Roman" w:asciiTheme="minorEastAsia" w:hAnsiTheme="minorEastAsia"/>
                <w:sz w:val="18"/>
                <w:szCs w:val="18"/>
              </w:rPr>
              <w:t>金融资产重分类计入其他综合收益的金额</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color w:val="000000" w:themeColor="text1"/>
                <w:sz w:val="18"/>
                <w:szCs w:val="18"/>
                <w14:textFill>
                  <w14:solidFill>
                    <w14:schemeClr w14:val="tx1"/>
                  </w14:solidFill>
                </w14:textFill>
              </w:rPr>
            </w:pPr>
            <w:r>
              <w:rPr>
                <w:rFonts w:cs="Times New Roman" w:asciiTheme="minorEastAsia" w:hAnsiTheme="minorEastAsia"/>
                <w:sz w:val="18"/>
                <w:szCs w:val="18"/>
              </w:rPr>
              <w:t xml:space="preserve">4. </w:t>
            </w:r>
            <w:r>
              <w:rPr>
                <w:rFonts w:hint="eastAsia" w:cs="Times New Roman" w:asciiTheme="minorEastAsia" w:hAnsiTheme="minorEastAsia"/>
                <w:sz w:val="18"/>
                <w:szCs w:val="18"/>
              </w:rPr>
              <w:t>其他债权投资信用损失准备</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 xml:space="preserve">5. </w:t>
            </w:r>
            <w:r>
              <w:rPr>
                <w:rFonts w:hint="eastAsia" w:cs="Times New Roman" w:asciiTheme="minorEastAsia" w:hAnsiTheme="minorEastAsia"/>
                <w:sz w:val="18"/>
                <w:szCs w:val="18"/>
              </w:rPr>
              <w:t>现金流量套期储备</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 xml:space="preserve">6. </w:t>
            </w:r>
            <w:r>
              <w:rPr>
                <w:rFonts w:hint="eastAsia" w:cs="Times New Roman" w:asciiTheme="minorEastAsia" w:hAnsiTheme="minorEastAsia"/>
                <w:sz w:val="18"/>
                <w:szCs w:val="18"/>
              </w:rPr>
              <w:t>外币财务报表折算差额</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sz w:val="18"/>
                <w:szCs w:val="18"/>
              </w:rPr>
              <w:t xml:space="preserve">7. </w:t>
            </w:r>
            <w:r>
              <w:rPr>
                <w:rFonts w:hint="eastAsia" w:cs="Times New Roman" w:asciiTheme="minorEastAsia" w:hAnsiTheme="minorEastAsia"/>
                <w:sz w:val="18"/>
                <w:szCs w:val="18"/>
              </w:rPr>
              <w:t>其他</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b/>
                <w:sz w:val="18"/>
                <w:szCs w:val="18"/>
              </w:rPr>
              <w:t>七</w:t>
            </w:r>
            <w:r>
              <w:rPr>
                <w:rFonts w:cs="Times New Roman" w:asciiTheme="minorEastAsia" w:hAnsiTheme="minorEastAsia"/>
                <w:b/>
                <w:sz w:val="18"/>
                <w:szCs w:val="18"/>
              </w:rPr>
              <w:t>、综合收益总额</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hint="eastAsia" w:cs="Times New Roman" w:asciiTheme="minorEastAsia" w:hAnsiTheme="minorEastAsia"/>
                <w:b/>
                <w:sz w:val="18"/>
                <w:szCs w:val="18"/>
              </w:rPr>
              <w:t>八</w:t>
            </w:r>
            <w:r>
              <w:rPr>
                <w:rFonts w:cs="Times New Roman" w:asciiTheme="minorEastAsia" w:hAnsiTheme="minorEastAsia"/>
                <w:b/>
                <w:sz w:val="18"/>
                <w:szCs w:val="18"/>
              </w:rPr>
              <w:t>、每股收益：</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（一）基本每股收益</w:t>
            </w:r>
            <w:r>
              <w:rPr>
                <w:rFonts w:hint="eastAsia" w:cs="Times New Roman" w:asciiTheme="minorEastAsia" w:hAnsiTheme="minorEastAsia"/>
                <w:sz w:val="18"/>
                <w:szCs w:val="18"/>
              </w:rPr>
              <w:t>（元</w:t>
            </w:r>
            <w:r>
              <w:rPr>
                <w:rFonts w:cs="Times New Roman" w:asciiTheme="minorEastAsia" w:hAnsiTheme="minorEastAsia"/>
                <w:sz w:val="18"/>
                <w:szCs w:val="18"/>
              </w:rPr>
              <w:t>/股）</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shd w:val="clear" w:color="auto" w:fill="D9D9D9"/>
            <w:vAlign w:val="center"/>
          </w:tcPr>
          <w:p>
            <w:pPr>
              <w:rPr>
                <w:rFonts w:cs="Times New Roman" w:asciiTheme="minorEastAsia" w:hAnsiTheme="minorEastAsia"/>
                <w:b/>
                <w:sz w:val="18"/>
                <w:szCs w:val="18"/>
              </w:rPr>
            </w:pPr>
            <w:r>
              <w:rPr>
                <w:rFonts w:cs="Times New Roman" w:asciiTheme="minorEastAsia" w:hAnsiTheme="minorEastAsia"/>
                <w:sz w:val="18"/>
                <w:szCs w:val="18"/>
              </w:rPr>
              <w:t>（二）稀释每股收益</w:t>
            </w:r>
            <w:r>
              <w:rPr>
                <w:rFonts w:hint="eastAsia" w:cs="Times New Roman" w:asciiTheme="minorEastAsia" w:hAnsiTheme="minorEastAsia"/>
                <w:sz w:val="18"/>
                <w:szCs w:val="18"/>
              </w:rPr>
              <w:t>（元</w:t>
            </w:r>
            <w:r>
              <w:rPr>
                <w:rFonts w:cs="Times New Roman" w:asciiTheme="minorEastAsia" w:hAnsiTheme="minorEastAsia"/>
                <w:sz w:val="18"/>
                <w:szCs w:val="18"/>
              </w:rPr>
              <w:t>/股）</w:t>
            </w:r>
          </w:p>
        </w:tc>
        <w:tc>
          <w:tcPr>
            <w:tcW w:w="734" w:type="pct"/>
            <w:shd w:val="clear" w:color="auto" w:fill="auto"/>
          </w:tcPr>
          <w:p>
            <w:pPr>
              <w:rPr>
                <w:rFonts w:cs="Times New Roman" w:asciiTheme="minorEastAsia" w:hAnsiTheme="minorEastAsia"/>
                <w:sz w:val="18"/>
                <w:szCs w:val="18"/>
              </w:rPr>
            </w:pPr>
          </w:p>
        </w:tc>
        <w:tc>
          <w:tcPr>
            <w:tcW w:w="956" w:type="pct"/>
            <w:shd w:val="clear" w:color="auto" w:fill="auto"/>
          </w:tcPr>
          <w:p>
            <w:pPr>
              <w:rPr>
                <w:rFonts w:cs="Times New Roman" w:asciiTheme="minorEastAsia" w:hAnsiTheme="minorEastAsia"/>
                <w:sz w:val="18"/>
                <w:szCs w:val="18"/>
              </w:rPr>
            </w:pPr>
          </w:p>
        </w:tc>
        <w:tc>
          <w:tcPr>
            <w:tcW w:w="1030" w:type="pct"/>
            <w:shd w:val="clear" w:color="auto" w:fill="auto"/>
          </w:tcPr>
          <w:p>
            <w:pPr>
              <w:rPr>
                <w:rFonts w:cs="Times New Roman" w:asciiTheme="minorEastAsia" w:hAnsiTheme="minorEastAsia"/>
                <w:sz w:val="18"/>
                <w:szCs w:val="18"/>
              </w:rPr>
            </w:pPr>
          </w:p>
        </w:tc>
      </w:tr>
    </w:tbl>
    <w:p>
      <w:pPr>
        <w:rPr>
          <w:rFonts w:cs="Times New Roman" w:asciiTheme="minorEastAsia" w:hAnsiTheme="minorEastAsia"/>
          <w:sz w:val="18"/>
          <w:szCs w:val="18"/>
        </w:rPr>
      </w:pPr>
      <w:bookmarkStart w:id="74" w:name="_Toc369159469"/>
      <w:bookmarkStart w:id="75" w:name="_Toc247094008"/>
      <w:bookmarkStart w:id="76" w:name="_Toc241636379"/>
      <w:bookmarkStart w:id="77" w:name="_Toc247371783"/>
    </w:p>
    <w:bookmarkEnd w:id="74"/>
    <w:bookmarkEnd w:id="75"/>
    <w:bookmarkEnd w:id="76"/>
    <w:bookmarkEnd w:id="77"/>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合并现金流量表</w:t>
      </w:r>
    </w:p>
    <w:p>
      <w:pPr>
        <w:ind w:left="714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76"/>
        <w:gridCol w:w="1786"/>
        <w:gridCol w:w="1712"/>
        <w:gridCol w:w="17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tcBorders>
              <w:bottom w:val="single" w:color="5B9BD5" w:themeColor="accent1" w:sz="4" w:space="0"/>
            </w:tcBorders>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项目</w:t>
            </w:r>
          </w:p>
        </w:tc>
        <w:tc>
          <w:tcPr>
            <w:tcW w:w="901"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附注</w:t>
            </w:r>
          </w:p>
        </w:tc>
        <w:tc>
          <w:tcPr>
            <w:tcW w:w="864"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2024年</w:t>
            </w:r>
          </w:p>
        </w:tc>
        <w:tc>
          <w:tcPr>
            <w:tcW w:w="876" w:type="pct"/>
            <w:shd w:val="clear" w:color="auto" w:fill="D9D9D9"/>
            <w:vAlign w:val="center"/>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一、经营活动产生的现金流量：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客户存款和同业</w:t>
            </w:r>
            <w:r>
              <w:rPr>
                <w:rFonts w:hint="eastAsia" w:cs="Times New Roman" w:asciiTheme="minorEastAsia" w:hAnsiTheme="minorEastAsia"/>
                <w:color w:val="000000" w:themeColor="text1"/>
                <w:sz w:val="18"/>
                <w:szCs w:val="21"/>
                <w14:textFill>
                  <w14:solidFill>
                    <w14:schemeClr w14:val="tx1"/>
                  </w14:solidFill>
                </w14:textFill>
              </w:rPr>
              <w:t>及</w:t>
            </w:r>
            <w:r>
              <w:rPr>
                <w:rFonts w:cs="Times New Roman" w:asciiTheme="minorEastAsia" w:hAnsiTheme="minorEastAsia"/>
                <w:color w:val="000000" w:themeColor="text1"/>
                <w:sz w:val="18"/>
                <w:szCs w:val="21"/>
                <w14:textFill>
                  <w14:solidFill>
                    <w14:schemeClr w14:val="tx1"/>
                  </w14:solidFill>
                </w14:textFill>
              </w:rPr>
              <w:t>其他金融机构存放款项净增加额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向中央银行借款净增加额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客户</w:t>
            </w:r>
            <w:r>
              <w:rPr>
                <w:rFonts w:cs="Times New Roman" w:asciiTheme="minorEastAsia" w:hAnsiTheme="minorEastAsia"/>
                <w:color w:val="000000" w:themeColor="text1"/>
                <w:sz w:val="18"/>
                <w:szCs w:val="21"/>
                <w14:textFill>
                  <w14:solidFill>
                    <w14:schemeClr w14:val="tx1"/>
                  </w14:solidFill>
                </w14:textFill>
              </w:rPr>
              <w:t>贷款及垫款</w:t>
            </w:r>
            <w:r>
              <w:rPr>
                <w:rFonts w:hint="eastAsia" w:cs="Times New Roman" w:asciiTheme="minorEastAsia" w:hAnsiTheme="minorEastAsia"/>
                <w:color w:val="000000" w:themeColor="text1"/>
                <w:sz w:val="18"/>
                <w:szCs w:val="21"/>
                <w14:textFill>
                  <w14:solidFill>
                    <w14:schemeClr w14:val="tx1"/>
                  </w14:solidFill>
                </w14:textFill>
              </w:rPr>
              <w:t>净</w:t>
            </w:r>
            <w:r>
              <w:rPr>
                <w:rFonts w:cs="Times New Roman" w:asciiTheme="minorEastAsia" w:hAnsiTheme="minorEastAsia"/>
                <w:color w:val="000000" w:themeColor="text1"/>
                <w:sz w:val="18"/>
                <w:szCs w:val="21"/>
                <w14:textFill>
                  <w14:solidFill>
                    <w14:schemeClr w14:val="tx1"/>
                  </w14:solidFill>
                </w14:textFill>
              </w:rPr>
              <w:t>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存放中央银行和同业及</w:t>
            </w:r>
            <w:r>
              <w:rPr>
                <w:rFonts w:cs="Times New Roman" w:asciiTheme="minorEastAsia" w:hAnsiTheme="minorEastAsia"/>
                <w:color w:val="000000" w:themeColor="text1"/>
                <w:sz w:val="18"/>
                <w:szCs w:val="21"/>
                <w14:textFill>
                  <w14:solidFill>
                    <w14:schemeClr w14:val="tx1"/>
                  </w14:solidFill>
                </w14:textFill>
              </w:rPr>
              <w:t>其他金融机构款项净减少额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为</w:t>
            </w:r>
            <w:r>
              <w:rPr>
                <w:rFonts w:cs="Times New Roman" w:asciiTheme="minorEastAsia" w:hAnsiTheme="minorEastAsia"/>
                <w:color w:val="000000" w:themeColor="text1"/>
                <w:sz w:val="18"/>
                <w:szCs w:val="21"/>
                <w14:textFill>
                  <w14:solidFill>
                    <w14:schemeClr w14:val="tx1"/>
                  </w14:solidFill>
                </w14:textFill>
              </w:rPr>
              <w:t>交易目的而持有的金融资产净减少额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拆入资金净增加额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拆出</w:t>
            </w:r>
            <w:r>
              <w:rPr>
                <w:rFonts w:cs="Times New Roman" w:asciiTheme="minorEastAsia" w:hAnsiTheme="minorEastAsia"/>
                <w:color w:val="000000" w:themeColor="text1"/>
                <w:sz w:val="18"/>
                <w:szCs w:val="21"/>
                <w14:textFill>
                  <w14:solidFill>
                    <w14:schemeClr w14:val="tx1"/>
                  </w14:solidFill>
                </w14:textFill>
              </w:rPr>
              <w:t>资金净减少额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买入</w:t>
            </w:r>
            <w:r>
              <w:rPr>
                <w:rFonts w:cs="Times New Roman" w:asciiTheme="minorEastAsia" w:hAnsiTheme="minorEastAsia"/>
                <w:color w:val="000000" w:themeColor="text1"/>
                <w:sz w:val="18"/>
                <w:szCs w:val="21"/>
                <w14:textFill>
                  <w14:solidFill>
                    <w14:schemeClr w14:val="tx1"/>
                  </w14:solidFill>
                </w14:textFill>
              </w:rPr>
              <w:t>返售金融资产净减少额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卖出回购</w:t>
            </w:r>
            <w:r>
              <w:rPr>
                <w:rFonts w:cs="Times New Roman" w:asciiTheme="minorEastAsia" w:hAnsiTheme="minorEastAsia"/>
                <w:color w:val="000000" w:themeColor="text1"/>
                <w:sz w:val="18"/>
                <w:szCs w:val="21"/>
                <w14:textFill>
                  <w14:solidFill>
                    <w14:schemeClr w14:val="tx1"/>
                  </w14:solidFill>
                </w14:textFill>
              </w:rPr>
              <w:t>金融资产款净增加额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收取利息、手续费及佣金的现金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收到的税费返还</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收到其他与经营活动有关的现金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经营活动现金流入小计</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客户</w:t>
            </w:r>
            <w:r>
              <w:rPr>
                <w:rFonts w:cs="Times New Roman" w:asciiTheme="minorEastAsia" w:hAnsiTheme="minorEastAsia"/>
                <w:color w:val="000000" w:themeColor="text1"/>
                <w:sz w:val="18"/>
                <w:szCs w:val="21"/>
                <w14:textFill>
                  <w14:solidFill>
                    <w14:schemeClr w14:val="tx1"/>
                  </w14:solidFill>
                </w14:textFill>
              </w:rPr>
              <w:t>存款和同业及其他金融机构款项净</w:t>
            </w:r>
            <w:r>
              <w:rPr>
                <w:rFonts w:hint="eastAsia" w:cs="Times New Roman" w:asciiTheme="minorEastAsia" w:hAnsiTheme="minorEastAsia"/>
                <w:color w:val="000000" w:themeColor="text1"/>
                <w:sz w:val="18"/>
                <w:szCs w:val="21"/>
                <w14:textFill>
                  <w14:solidFill>
                    <w14:schemeClr w14:val="tx1"/>
                  </w14:solidFill>
                </w14:textFill>
              </w:rPr>
              <w:t>减少</w:t>
            </w:r>
            <w:r>
              <w:rPr>
                <w:rFonts w:cs="Times New Roman" w:asciiTheme="minorEastAsia" w:hAnsiTheme="minorEastAsia"/>
                <w:color w:val="000000" w:themeColor="text1"/>
                <w:sz w:val="18"/>
                <w:szCs w:val="21"/>
                <w14:textFill>
                  <w14:solidFill>
                    <w14:schemeClr w14:val="tx1"/>
                  </w14:solidFill>
                </w14:textFill>
              </w:rPr>
              <w:t>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向</w:t>
            </w:r>
            <w:r>
              <w:rPr>
                <w:rFonts w:cs="Times New Roman" w:asciiTheme="minorEastAsia" w:hAnsiTheme="minorEastAsia"/>
                <w:color w:val="000000" w:themeColor="text1"/>
                <w:sz w:val="18"/>
                <w:szCs w:val="21"/>
                <w14:textFill>
                  <w14:solidFill>
                    <w14:schemeClr w14:val="tx1"/>
                  </w14:solidFill>
                </w14:textFill>
              </w:rPr>
              <w:t>中央银行借款净减少额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客户贷款及垫款净增加额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存放中央银行和同业</w:t>
            </w:r>
            <w:r>
              <w:rPr>
                <w:rFonts w:hint="eastAsia" w:cs="Times New Roman" w:asciiTheme="minorEastAsia" w:hAnsiTheme="minorEastAsia"/>
                <w:color w:val="000000" w:themeColor="text1"/>
                <w:sz w:val="18"/>
                <w:szCs w:val="21"/>
                <w14:textFill>
                  <w14:solidFill>
                    <w14:schemeClr w14:val="tx1"/>
                  </w14:solidFill>
                </w14:textFill>
              </w:rPr>
              <w:t>及其他</w:t>
            </w:r>
            <w:r>
              <w:rPr>
                <w:rFonts w:cs="Times New Roman" w:asciiTheme="minorEastAsia" w:hAnsiTheme="minorEastAsia"/>
                <w:color w:val="000000" w:themeColor="text1"/>
                <w:sz w:val="18"/>
                <w:szCs w:val="21"/>
                <w14:textFill>
                  <w14:solidFill>
                    <w14:schemeClr w14:val="tx1"/>
                  </w14:solidFill>
                </w14:textFill>
              </w:rPr>
              <w:t>金融机构款项净增加额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为</w:t>
            </w:r>
            <w:r>
              <w:rPr>
                <w:rFonts w:cs="Times New Roman" w:asciiTheme="minorEastAsia" w:hAnsiTheme="minorEastAsia"/>
                <w:color w:val="000000" w:themeColor="text1"/>
                <w:sz w:val="18"/>
                <w:szCs w:val="21"/>
                <w14:textFill>
                  <w14:solidFill>
                    <w14:schemeClr w14:val="tx1"/>
                  </w14:solidFill>
                </w14:textFill>
              </w:rPr>
              <w:t>交易目的而持有的金融资产净增加额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拆入资金净减少额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拆出资金净增加额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买入</w:t>
            </w:r>
            <w:r>
              <w:rPr>
                <w:rFonts w:cs="Times New Roman" w:asciiTheme="minorEastAsia" w:hAnsiTheme="minorEastAsia"/>
                <w:color w:val="000000" w:themeColor="text1"/>
                <w:sz w:val="18"/>
                <w:szCs w:val="21"/>
                <w14:textFill>
                  <w14:solidFill>
                    <w14:schemeClr w14:val="tx1"/>
                  </w14:solidFill>
                </w14:textFill>
              </w:rPr>
              <w:t>返售金融资产净增加额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color w:val="000000" w:themeColor="text1"/>
                <w:sz w:val="18"/>
                <w:szCs w:val="21"/>
                <w14:textFill>
                  <w14:solidFill>
                    <w14:schemeClr w14:val="tx1"/>
                  </w14:solidFill>
                </w14:textFill>
              </w:rPr>
              <w:t>卖出回购金融资产款</w:t>
            </w:r>
            <w:r>
              <w:rPr>
                <w:rFonts w:cs="Times New Roman" w:asciiTheme="minorEastAsia" w:hAnsiTheme="minorEastAsia"/>
                <w:color w:val="000000" w:themeColor="text1"/>
                <w:sz w:val="18"/>
                <w:szCs w:val="21"/>
                <w14:textFill>
                  <w14:solidFill>
                    <w14:schemeClr w14:val="tx1"/>
                  </w14:solidFill>
                </w14:textFill>
              </w:rPr>
              <w:t>净</w:t>
            </w:r>
            <w:r>
              <w:rPr>
                <w:rFonts w:hint="eastAsia" w:cs="Times New Roman" w:asciiTheme="minorEastAsia" w:hAnsiTheme="minorEastAsia"/>
                <w:color w:val="000000" w:themeColor="text1"/>
                <w:sz w:val="18"/>
                <w:szCs w:val="21"/>
                <w14:textFill>
                  <w14:solidFill>
                    <w14:schemeClr w14:val="tx1"/>
                  </w14:solidFill>
                </w14:textFill>
              </w:rPr>
              <w:t>减少</w:t>
            </w:r>
            <w:r>
              <w:rPr>
                <w:rFonts w:cs="Times New Roman" w:asciiTheme="minorEastAsia" w:hAnsiTheme="minorEastAsia"/>
                <w:color w:val="000000" w:themeColor="text1"/>
                <w:sz w:val="18"/>
                <w:szCs w:val="21"/>
                <w14:textFill>
                  <w14:solidFill>
                    <w14:schemeClr w14:val="tx1"/>
                  </w14:solidFill>
                </w14:textFill>
              </w:rPr>
              <w:t>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支付利息、手续费及佣金的现金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支付给职工以及为职工支付的现金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支付的各项税费</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cs="Times New Roman" w:asciiTheme="minorEastAsia" w:hAnsiTheme="minorEastAsia"/>
                <w:color w:val="000000" w:themeColor="text1"/>
                <w:sz w:val="18"/>
                <w:szCs w:val="21"/>
                <w14:textFill>
                  <w14:solidFill>
                    <w14:schemeClr w14:val="tx1"/>
                  </w14:solidFill>
                </w14:textFill>
              </w:rPr>
              <w:t>支付其他与经营活动有关的现金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经营活动现金流出小计</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经营活动产生的现金流量净额</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Times New Roman"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二、投资活动产生的现金流量：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收回投资收到的现金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取得投资收益收到的现金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投资活动现金流入小计</w:t>
            </w:r>
          </w:p>
        </w:tc>
        <w:tc>
          <w:tcPr>
            <w:tcW w:w="901" w:type="pct"/>
            <w:shd w:val="pct10" w:color="auto" w:fill="auto"/>
          </w:tcPr>
          <w:p>
            <w:pPr>
              <w:jc w:val="right"/>
              <w:rPr>
                <w:rFonts w:cs="宋体" w:asciiTheme="minorEastAsia" w:hAnsiTheme="minorEastAsia"/>
                <w:kern w:val="0"/>
                <w:sz w:val="18"/>
                <w:szCs w:val="18"/>
              </w:rPr>
            </w:pPr>
          </w:p>
        </w:tc>
        <w:tc>
          <w:tcPr>
            <w:tcW w:w="864" w:type="pct"/>
            <w:shd w:val="pct10" w:color="auto" w:fill="auto"/>
          </w:tcPr>
          <w:p>
            <w:pPr>
              <w:jc w:val="right"/>
              <w:rPr>
                <w:rFonts w:cs="宋体" w:asciiTheme="minorEastAsia" w:hAnsiTheme="minorEastAsia"/>
                <w:kern w:val="0"/>
                <w:sz w:val="18"/>
                <w:szCs w:val="18"/>
              </w:rPr>
            </w:pPr>
          </w:p>
        </w:tc>
        <w:tc>
          <w:tcPr>
            <w:tcW w:w="876" w:type="pct"/>
            <w:shd w:val="pct10"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质押贷款净增加额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投资活动现金流出小计</w:t>
            </w:r>
          </w:p>
        </w:tc>
        <w:tc>
          <w:tcPr>
            <w:tcW w:w="901" w:type="pct"/>
            <w:shd w:val="clear" w:color="auto" w:fill="D9D9D9"/>
          </w:tcPr>
          <w:p>
            <w:pPr>
              <w:jc w:val="right"/>
              <w:rPr>
                <w:rFonts w:cs="宋体" w:asciiTheme="minorEastAsia" w:hAnsiTheme="minorEastAsia"/>
                <w:b/>
                <w:kern w:val="0"/>
                <w:sz w:val="18"/>
                <w:szCs w:val="18"/>
              </w:rPr>
            </w:pPr>
          </w:p>
        </w:tc>
        <w:tc>
          <w:tcPr>
            <w:tcW w:w="864" w:type="pct"/>
            <w:shd w:val="clear" w:color="auto" w:fill="D9D9D9"/>
          </w:tcPr>
          <w:p>
            <w:pPr>
              <w:jc w:val="right"/>
              <w:rPr>
                <w:rFonts w:cs="宋体" w:asciiTheme="minorEastAsia" w:hAnsiTheme="minorEastAsia"/>
                <w:b/>
                <w:kern w:val="0"/>
                <w:sz w:val="18"/>
                <w:szCs w:val="18"/>
              </w:rPr>
            </w:pPr>
          </w:p>
        </w:tc>
        <w:tc>
          <w:tcPr>
            <w:tcW w:w="876" w:type="pct"/>
            <w:shd w:val="clear" w:color="auto" w:fill="D9D9D9"/>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投资活动产生的现金流量净额</w:t>
            </w:r>
          </w:p>
        </w:tc>
        <w:tc>
          <w:tcPr>
            <w:tcW w:w="901" w:type="pct"/>
            <w:shd w:val="clear" w:color="auto" w:fill="D9D9D9"/>
          </w:tcPr>
          <w:p>
            <w:pPr>
              <w:jc w:val="right"/>
              <w:rPr>
                <w:rFonts w:cs="宋体" w:asciiTheme="minorEastAsia" w:hAnsiTheme="minorEastAsia"/>
                <w:b/>
                <w:kern w:val="0"/>
                <w:sz w:val="18"/>
                <w:szCs w:val="18"/>
              </w:rPr>
            </w:pPr>
          </w:p>
        </w:tc>
        <w:tc>
          <w:tcPr>
            <w:tcW w:w="864" w:type="pct"/>
            <w:shd w:val="clear" w:color="auto" w:fill="D9D9D9"/>
          </w:tcPr>
          <w:p>
            <w:pPr>
              <w:jc w:val="right"/>
              <w:rPr>
                <w:rFonts w:cs="宋体" w:asciiTheme="minorEastAsia" w:hAnsiTheme="minorEastAsia"/>
                <w:b/>
                <w:kern w:val="0"/>
                <w:sz w:val="18"/>
                <w:szCs w:val="18"/>
              </w:rPr>
            </w:pPr>
          </w:p>
        </w:tc>
        <w:tc>
          <w:tcPr>
            <w:tcW w:w="876" w:type="pct"/>
            <w:shd w:val="clear" w:color="auto" w:fill="D9D9D9"/>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三、筹资活动产生的现金流量：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吸收投资收到的现金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取得借款收到的现金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发行债券收到的现金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筹资活动现金流入小计</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偿还债务支付的现金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分配股利、利润或偿付利息支付的现金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筹资活动现金流出小计</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jc w:val="center"/>
              <w:rPr>
                <w:rFonts w:cs="宋体" w:asciiTheme="minorEastAsia" w:hAnsiTheme="minorEastAsia"/>
                <w:b/>
                <w:sz w:val="18"/>
                <w:szCs w:val="18"/>
              </w:rPr>
            </w:pPr>
            <w:r>
              <w:rPr>
                <w:rFonts w:hint="eastAsia" w:cs="Times New Roman" w:asciiTheme="minorEastAsia" w:hAnsiTheme="minorEastAsia"/>
                <w:b/>
                <w:sz w:val="18"/>
                <w:szCs w:val="18"/>
              </w:rPr>
              <w:t>筹资活动产生的现金流量净额</w:t>
            </w:r>
          </w:p>
        </w:tc>
        <w:tc>
          <w:tcPr>
            <w:tcW w:w="901" w:type="pct"/>
            <w:shd w:val="clear" w:color="auto" w:fill="D9D9D9"/>
          </w:tcPr>
          <w:p>
            <w:pPr>
              <w:jc w:val="right"/>
              <w:rPr>
                <w:rFonts w:cs="宋体" w:asciiTheme="minorEastAsia" w:hAnsiTheme="minorEastAsia"/>
                <w:kern w:val="0"/>
                <w:sz w:val="18"/>
                <w:szCs w:val="18"/>
              </w:rPr>
            </w:pPr>
          </w:p>
        </w:tc>
        <w:tc>
          <w:tcPr>
            <w:tcW w:w="864" w:type="pct"/>
            <w:shd w:val="clear" w:color="auto" w:fill="D9D9D9"/>
          </w:tcPr>
          <w:p>
            <w:pPr>
              <w:jc w:val="right"/>
              <w:rPr>
                <w:rFonts w:cs="宋体" w:asciiTheme="minorEastAsia" w:hAnsiTheme="minorEastAsia"/>
                <w:kern w:val="0"/>
                <w:sz w:val="18"/>
                <w:szCs w:val="18"/>
              </w:rPr>
            </w:pPr>
          </w:p>
        </w:tc>
        <w:tc>
          <w:tcPr>
            <w:tcW w:w="876" w:type="pct"/>
            <w:shd w:val="clear" w:color="auto" w:fill="D9D9D9"/>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五、现金及现金等价物净增加额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sz w:val="18"/>
                <w:szCs w:val="18"/>
              </w:rPr>
            </w:pPr>
            <w:r>
              <w:rPr>
                <w:rFonts w:hint="eastAsia" w:cs="Times New Roman" w:asciiTheme="minorEastAsia" w:hAnsiTheme="minorEastAsia"/>
                <w:sz w:val="18"/>
                <w:szCs w:val="18"/>
              </w:rPr>
              <w:t>加：期初现金及现金等价物余额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clear" w:color="auto" w:fill="D9D9D9"/>
            <w:vAlign w:val="center"/>
          </w:tcPr>
          <w:p>
            <w:pPr>
              <w:rPr>
                <w:rFonts w:cs="宋体" w:asciiTheme="minorEastAsia" w:hAnsiTheme="minorEastAsia"/>
                <w:b/>
                <w:sz w:val="18"/>
                <w:szCs w:val="18"/>
              </w:rPr>
            </w:pPr>
            <w:r>
              <w:rPr>
                <w:rFonts w:hint="eastAsia" w:cs="Times New Roman" w:asciiTheme="minorEastAsia" w:hAnsiTheme="minorEastAsia"/>
                <w:b/>
                <w:sz w:val="18"/>
                <w:szCs w:val="18"/>
              </w:rPr>
              <w:t>六、期末现金及现金等价物余额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bl>
    <w:p>
      <w:pPr>
        <w:widowControl/>
        <w:ind w:right="-382"/>
        <w:jc w:val="left"/>
        <w:rPr>
          <w:rFonts w:cs="Times New Roman" w:asciiTheme="minorEastAsia" w:hAnsiTheme="minorEastAsia"/>
          <w:bCs/>
          <w:sz w:val="18"/>
          <w:szCs w:val="18"/>
        </w:rPr>
      </w:pPr>
      <w:r>
        <w:rPr>
          <w:rFonts w:ascii="Calibri" w:hAnsi="Calibri" w:eastAsia="宋体" w:cs="Times New Roman"/>
          <w:sz w:val="18"/>
          <w:szCs w:val="18"/>
        </w:rPr>
        <w:t>法定代表人：_____________ 主管会计工作负责人：_____________ 会计机构负责人</w:t>
      </w:r>
      <w:r>
        <w:rPr>
          <w:rFonts w:hint="eastAsia" w:ascii="Calibri" w:hAnsi="Calibri" w:eastAsia="宋体" w:cs="Times New Roman"/>
          <w:sz w:val="18"/>
          <w:szCs w:val="18"/>
        </w:rPr>
        <w:t>：</w:t>
      </w:r>
      <w:r>
        <w:rPr>
          <w:rFonts w:ascii="Calibri" w:hAnsi="Calibri" w:eastAsia="宋体" w:cs="Times New Roman"/>
          <w:sz w:val="18"/>
          <w:szCs w:val="18"/>
        </w:rPr>
        <w:t>_____________</w:t>
      </w:r>
    </w:p>
    <w:p>
      <w:pPr>
        <w:widowControl/>
        <w:ind w:right="270"/>
        <w:jc w:val="left"/>
        <w:rPr>
          <w:rFonts w:cs="Times New Roman" w:asciiTheme="minorEastAsia" w:hAnsiTheme="minorEastAsia"/>
          <w:b/>
          <w:bCs/>
          <w:szCs w:val="18"/>
        </w:rPr>
      </w:pP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w:t>
      </w:r>
      <w:r>
        <w:rPr>
          <w:rFonts w:ascii="Times New Roman" w:hAnsi="Times New Roman" w:eastAsia="宋体" w:cs="Times New Roman"/>
          <w:b/>
          <w:bCs/>
          <w:szCs w:val="32"/>
          <w:lang w:val="zh-CN"/>
        </w:rPr>
        <w:t>）母公司</w:t>
      </w:r>
      <w:r>
        <w:rPr>
          <w:rFonts w:hint="eastAsia" w:ascii="Times New Roman" w:hAnsi="Times New Roman" w:eastAsia="宋体" w:cs="Times New Roman"/>
          <w:b/>
          <w:bCs/>
          <w:szCs w:val="32"/>
          <w:lang w:val="zh-CN"/>
        </w:rPr>
        <w:t>现金</w:t>
      </w:r>
      <w:r>
        <w:rPr>
          <w:rFonts w:ascii="Times New Roman" w:hAnsi="Times New Roman" w:eastAsia="宋体" w:cs="Times New Roman"/>
          <w:b/>
          <w:bCs/>
          <w:szCs w:val="32"/>
          <w:lang w:val="zh-CN"/>
        </w:rPr>
        <w:t>流</w:t>
      </w:r>
      <w:r>
        <w:rPr>
          <w:rFonts w:hint="eastAsia" w:ascii="Times New Roman" w:hAnsi="Times New Roman" w:eastAsia="宋体" w:cs="Times New Roman"/>
          <w:b/>
          <w:bCs/>
          <w:szCs w:val="32"/>
          <w:lang w:val="zh-CN"/>
        </w:rPr>
        <w:t>量表</w:t>
      </w:r>
    </w:p>
    <w:p>
      <w:pPr>
        <w:ind w:left="6720" w:firstLine="420"/>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：元</w:t>
      </w:r>
      <w:r>
        <w:rPr>
          <w:rFonts w:hint="eastAsia" w:ascii="Calibri" w:hAnsi="Calibri" w:eastAsia="宋体" w:cs="Times New Roman"/>
        </w:rPr>
        <w:t xml:space="preserve"> </w:t>
      </w:r>
    </w:p>
    <w:tbl>
      <w:tblPr>
        <w:tblStyle w:val="46"/>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项目</w:t>
            </w:r>
          </w:p>
        </w:tc>
        <w:tc>
          <w:tcPr>
            <w:tcW w:w="902"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附注</w:t>
            </w:r>
          </w:p>
        </w:tc>
        <w:tc>
          <w:tcPr>
            <w:tcW w:w="804" w:type="pct"/>
            <w:shd w:val="clear" w:color="auto" w:fill="D9D9D9"/>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2024年</w:t>
            </w:r>
          </w:p>
        </w:tc>
        <w:tc>
          <w:tcPr>
            <w:tcW w:w="1018" w:type="pct"/>
            <w:shd w:val="clear" w:color="auto" w:fill="D9D9D9"/>
            <w:vAlign w:val="center"/>
          </w:tcPr>
          <w:p>
            <w:pPr>
              <w:jc w:val="center"/>
              <w:rPr>
                <w:rFonts w:hint="eastAsia" w:ascii="Times New Roman" w:hAnsi="Times New Roman" w:cs="Times New Roman" w:eastAsiaTheme="minorEastAsia"/>
                <w:b/>
                <w:sz w:val="18"/>
                <w:szCs w:val="18"/>
              </w:rPr>
            </w:pPr>
            <w:r>
              <w:rPr>
                <w:rFonts w:hint="eastAsia" w:ascii="Times New Roman" w:hAnsi="Times New Roman" w:cs="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一、经营活动产生的现金流量：</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客户存款和同业</w:t>
            </w:r>
            <w:r>
              <w:rPr>
                <w:rFonts w:hint="eastAsia" w:cs="Times New Roman" w:asciiTheme="minorEastAsia" w:hAnsiTheme="minorEastAsia"/>
                <w:color w:val="000000" w:themeColor="text1"/>
                <w:sz w:val="18"/>
                <w:szCs w:val="21"/>
                <w14:textFill>
                  <w14:solidFill>
                    <w14:schemeClr w14:val="tx1"/>
                  </w14:solidFill>
                </w14:textFill>
              </w:rPr>
              <w:t>及</w:t>
            </w:r>
            <w:r>
              <w:rPr>
                <w:rFonts w:cs="Times New Roman" w:asciiTheme="minorEastAsia" w:hAnsiTheme="minorEastAsia"/>
                <w:color w:val="000000" w:themeColor="text1"/>
                <w:sz w:val="18"/>
                <w:szCs w:val="21"/>
                <w14:textFill>
                  <w14:solidFill>
                    <w14:schemeClr w14:val="tx1"/>
                  </w14:solidFill>
                </w14:textFill>
              </w:rPr>
              <w:t>其他金融机构存放款项净增加额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向中央银行借款净增加额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客户</w:t>
            </w:r>
            <w:r>
              <w:rPr>
                <w:rFonts w:cs="Times New Roman" w:asciiTheme="minorEastAsia" w:hAnsiTheme="minorEastAsia"/>
                <w:color w:val="000000" w:themeColor="text1"/>
                <w:sz w:val="18"/>
                <w:szCs w:val="21"/>
                <w14:textFill>
                  <w14:solidFill>
                    <w14:schemeClr w14:val="tx1"/>
                  </w14:solidFill>
                </w14:textFill>
              </w:rPr>
              <w:t>贷款及垫款</w:t>
            </w:r>
            <w:r>
              <w:rPr>
                <w:rFonts w:hint="eastAsia" w:cs="Times New Roman" w:asciiTheme="minorEastAsia" w:hAnsiTheme="minorEastAsia"/>
                <w:color w:val="000000" w:themeColor="text1"/>
                <w:sz w:val="18"/>
                <w:szCs w:val="21"/>
                <w14:textFill>
                  <w14:solidFill>
                    <w14:schemeClr w14:val="tx1"/>
                  </w14:solidFill>
                </w14:textFill>
              </w:rPr>
              <w:t>净</w:t>
            </w:r>
            <w:r>
              <w:rPr>
                <w:rFonts w:cs="Times New Roman" w:asciiTheme="minorEastAsia" w:hAnsiTheme="minorEastAsia"/>
                <w:color w:val="000000" w:themeColor="text1"/>
                <w:sz w:val="18"/>
                <w:szCs w:val="21"/>
                <w14:textFill>
                  <w14:solidFill>
                    <w14:schemeClr w14:val="tx1"/>
                  </w14:solidFill>
                </w14:textFill>
              </w:rPr>
              <w:t>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存放中央银行和同业及</w:t>
            </w:r>
            <w:r>
              <w:rPr>
                <w:rFonts w:cs="Times New Roman" w:asciiTheme="minorEastAsia" w:hAnsiTheme="minorEastAsia"/>
                <w:color w:val="000000" w:themeColor="text1"/>
                <w:sz w:val="18"/>
                <w:szCs w:val="21"/>
                <w14:textFill>
                  <w14:solidFill>
                    <w14:schemeClr w14:val="tx1"/>
                  </w14:solidFill>
                </w14:textFill>
              </w:rPr>
              <w:t>其他金融机构款项净减少额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为</w:t>
            </w:r>
            <w:r>
              <w:rPr>
                <w:rFonts w:cs="Times New Roman" w:asciiTheme="minorEastAsia" w:hAnsiTheme="minorEastAsia"/>
                <w:color w:val="000000" w:themeColor="text1"/>
                <w:sz w:val="18"/>
                <w:szCs w:val="21"/>
                <w14:textFill>
                  <w14:solidFill>
                    <w14:schemeClr w14:val="tx1"/>
                  </w14:solidFill>
                </w14:textFill>
              </w:rPr>
              <w:t>交易目的而持有的金融资产净减少额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拆入资金净增加额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拆出</w:t>
            </w:r>
            <w:r>
              <w:rPr>
                <w:rFonts w:cs="Times New Roman" w:asciiTheme="minorEastAsia" w:hAnsiTheme="minorEastAsia"/>
                <w:color w:val="000000" w:themeColor="text1"/>
                <w:sz w:val="18"/>
                <w:szCs w:val="21"/>
                <w14:textFill>
                  <w14:solidFill>
                    <w14:schemeClr w14:val="tx1"/>
                  </w14:solidFill>
                </w14:textFill>
              </w:rPr>
              <w:t>资金净减少额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买入</w:t>
            </w:r>
            <w:r>
              <w:rPr>
                <w:rFonts w:cs="Times New Roman" w:asciiTheme="minorEastAsia" w:hAnsiTheme="minorEastAsia"/>
                <w:color w:val="000000" w:themeColor="text1"/>
                <w:sz w:val="18"/>
                <w:szCs w:val="21"/>
                <w14:textFill>
                  <w14:solidFill>
                    <w14:schemeClr w14:val="tx1"/>
                  </w14:solidFill>
                </w14:textFill>
              </w:rPr>
              <w:t>返售金融资产净减少额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卖出回购</w:t>
            </w:r>
            <w:r>
              <w:rPr>
                <w:rFonts w:cs="Times New Roman" w:asciiTheme="minorEastAsia" w:hAnsiTheme="minorEastAsia"/>
                <w:color w:val="000000" w:themeColor="text1"/>
                <w:sz w:val="18"/>
                <w:szCs w:val="21"/>
                <w14:textFill>
                  <w14:solidFill>
                    <w14:schemeClr w14:val="tx1"/>
                  </w14:solidFill>
                </w14:textFill>
              </w:rPr>
              <w:t>金融资产款净增加额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收取利息、手续费及佣金的现金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收到的税费返还</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收到其他与经营活动有关的现金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18"/>
              </w:rPr>
              <w:t>经营活动现金流入小计</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客户</w:t>
            </w:r>
            <w:r>
              <w:rPr>
                <w:rFonts w:cs="Times New Roman" w:asciiTheme="minorEastAsia" w:hAnsiTheme="minorEastAsia"/>
                <w:color w:val="000000" w:themeColor="text1"/>
                <w:sz w:val="18"/>
                <w:szCs w:val="21"/>
                <w14:textFill>
                  <w14:solidFill>
                    <w14:schemeClr w14:val="tx1"/>
                  </w14:solidFill>
                </w14:textFill>
              </w:rPr>
              <w:t>存款和同业及其他金融机构款项净</w:t>
            </w:r>
            <w:r>
              <w:rPr>
                <w:rFonts w:hint="eastAsia" w:cs="Times New Roman" w:asciiTheme="minorEastAsia" w:hAnsiTheme="minorEastAsia"/>
                <w:color w:val="000000" w:themeColor="text1"/>
                <w:sz w:val="18"/>
                <w:szCs w:val="21"/>
                <w14:textFill>
                  <w14:solidFill>
                    <w14:schemeClr w14:val="tx1"/>
                  </w14:solidFill>
                </w14:textFill>
              </w:rPr>
              <w:t>减少</w:t>
            </w:r>
            <w:r>
              <w:rPr>
                <w:rFonts w:cs="Times New Roman" w:asciiTheme="minorEastAsia" w:hAnsiTheme="minorEastAsia"/>
                <w:color w:val="000000" w:themeColor="text1"/>
                <w:sz w:val="18"/>
                <w:szCs w:val="21"/>
                <w14:textFill>
                  <w14:solidFill>
                    <w14:schemeClr w14:val="tx1"/>
                  </w14:solidFill>
                </w14:textFill>
              </w:rPr>
              <w:t>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向</w:t>
            </w:r>
            <w:r>
              <w:rPr>
                <w:rFonts w:cs="Times New Roman" w:asciiTheme="minorEastAsia" w:hAnsiTheme="minorEastAsia"/>
                <w:color w:val="000000" w:themeColor="text1"/>
                <w:sz w:val="18"/>
                <w:szCs w:val="21"/>
                <w14:textFill>
                  <w14:solidFill>
                    <w14:schemeClr w14:val="tx1"/>
                  </w14:solidFill>
                </w14:textFill>
              </w:rPr>
              <w:t>中央银行借款净减少额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客户贷款及垫款净增加额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存放中央银行和同业</w:t>
            </w:r>
            <w:r>
              <w:rPr>
                <w:rFonts w:hint="eastAsia" w:cs="Times New Roman" w:asciiTheme="minorEastAsia" w:hAnsiTheme="minorEastAsia"/>
                <w:color w:val="000000" w:themeColor="text1"/>
                <w:sz w:val="18"/>
                <w:szCs w:val="21"/>
                <w14:textFill>
                  <w14:solidFill>
                    <w14:schemeClr w14:val="tx1"/>
                  </w14:solidFill>
                </w14:textFill>
              </w:rPr>
              <w:t>及其他</w:t>
            </w:r>
            <w:r>
              <w:rPr>
                <w:rFonts w:cs="Times New Roman" w:asciiTheme="minorEastAsia" w:hAnsiTheme="minorEastAsia"/>
                <w:color w:val="000000" w:themeColor="text1"/>
                <w:sz w:val="18"/>
                <w:szCs w:val="21"/>
                <w14:textFill>
                  <w14:solidFill>
                    <w14:schemeClr w14:val="tx1"/>
                  </w14:solidFill>
                </w14:textFill>
              </w:rPr>
              <w:t>金融机构款项净增加额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为</w:t>
            </w:r>
            <w:r>
              <w:rPr>
                <w:rFonts w:cs="Times New Roman" w:asciiTheme="minorEastAsia" w:hAnsiTheme="minorEastAsia"/>
                <w:color w:val="000000" w:themeColor="text1"/>
                <w:sz w:val="18"/>
                <w:szCs w:val="21"/>
                <w14:textFill>
                  <w14:solidFill>
                    <w14:schemeClr w14:val="tx1"/>
                  </w14:solidFill>
                </w14:textFill>
              </w:rPr>
              <w:t>交易目的而持有的金融资产净增加额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拆入资金净减少额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拆出资金净增加额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买入</w:t>
            </w:r>
            <w:r>
              <w:rPr>
                <w:rFonts w:cs="Times New Roman" w:asciiTheme="minorEastAsia" w:hAnsiTheme="minorEastAsia"/>
                <w:color w:val="000000" w:themeColor="text1"/>
                <w:sz w:val="18"/>
                <w:szCs w:val="21"/>
                <w14:textFill>
                  <w14:solidFill>
                    <w14:schemeClr w14:val="tx1"/>
                  </w14:solidFill>
                </w14:textFill>
              </w:rPr>
              <w:t>返售金融资产净增加额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color w:val="000000" w:themeColor="text1"/>
                <w:sz w:val="18"/>
                <w:szCs w:val="21"/>
                <w14:textFill>
                  <w14:solidFill>
                    <w14:schemeClr w14:val="tx1"/>
                  </w14:solidFill>
                </w14:textFill>
              </w:rPr>
              <w:t>卖出回购金融资产款</w:t>
            </w:r>
            <w:r>
              <w:rPr>
                <w:rFonts w:cs="Times New Roman" w:asciiTheme="minorEastAsia" w:hAnsiTheme="minorEastAsia"/>
                <w:color w:val="000000" w:themeColor="text1"/>
                <w:sz w:val="18"/>
                <w:szCs w:val="21"/>
                <w14:textFill>
                  <w14:solidFill>
                    <w14:schemeClr w14:val="tx1"/>
                  </w14:solidFill>
                </w14:textFill>
              </w:rPr>
              <w:t>净</w:t>
            </w:r>
            <w:r>
              <w:rPr>
                <w:rFonts w:hint="eastAsia" w:cs="Times New Roman" w:asciiTheme="minorEastAsia" w:hAnsiTheme="minorEastAsia"/>
                <w:color w:val="000000" w:themeColor="text1"/>
                <w:sz w:val="18"/>
                <w:szCs w:val="21"/>
                <w14:textFill>
                  <w14:solidFill>
                    <w14:schemeClr w14:val="tx1"/>
                  </w14:solidFill>
                </w14:textFill>
              </w:rPr>
              <w:t>减少</w:t>
            </w:r>
            <w:r>
              <w:rPr>
                <w:rFonts w:cs="Times New Roman" w:asciiTheme="minorEastAsia" w:hAnsiTheme="minorEastAsia"/>
                <w:color w:val="000000" w:themeColor="text1"/>
                <w:sz w:val="18"/>
                <w:szCs w:val="21"/>
                <w14:textFill>
                  <w14:solidFill>
                    <w14:schemeClr w14:val="tx1"/>
                  </w14:solidFill>
                </w14:textFill>
              </w:rPr>
              <w:t>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支付利息、手续费及佣金的现金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支付给职工以及为职工支付的现金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支付的各项税费</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cs="Times New Roman" w:asciiTheme="minorEastAsia" w:hAnsiTheme="minorEastAsia"/>
                <w:color w:val="000000" w:themeColor="text1"/>
                <w:sz w:val="18"/>
                <w:szCs w:val="21"/>
                <w14:textFill>
                  <w14:solidFill>
                    <w14:schemeClr w14:val="tx1"/>
                  </w14:solidFill>
                </w14:textFill>
              </w:rPr>
              <w:t>支付其他与经营活动有关的现金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经营活动现金流出小计</w:t>
            </w:r>
          </w:p>
        </w:tc>
        <w:tc>
          <w:tcPr>
            <w:tcW w:w="902" w:type="pct"/>
            <w:shd w:val="clear" w:color="auto" w:fill="D9D9D9"/>
          </w:tcPr>
          <w:p>
            <w:pPr>
              <w:widowControl/>
              <w:jc w:val="center"/>
              <w:rPr>
                <w:rFonts w:cs="宋体" w:asciiTheme="minorEastAsia" w:hAnsiTheme="minorEastAsia"/>
                <w:b/>
                <w:kern w:val="0"/>
                <w:sz w:val="18"/>
                <w:szCs w:val="21"/>
              </w:rPr>
            </w:pPr>
          </w:p>
        </w:tc>
        <w:tc>
          <w:tcPr>
            <w:tcW w:w="804" w:type="pct"/>
            <w:shd w:val="clear" w:color="auto" w:fill="D9D9D9"/>
          </w:tcPr>
          <w:p>
            <w:pPr>
              <w:widowControl/>
              <w:jc w:val="center"/>
              <w:rPr>
                <w:rFonts w:cs="宋体" w:asciiTheme="minorEastAsia" w:hAnsiTheme="minorEastAsia"/>
                <w:b/>
                <w:kern w:val="0"/>
                <w:sz w:val="18"/>
                <w:szCs w:val="21"/>
              </w:rPr>
            </w:pPr>
          </w:p>
        </w:tc>
        <w:tc>
          <w:tcPr>
            <w:tcW w:w="1018" w:type="pct"/>
            <w:shd w:val="clear" w:color="auto" w:fill="D9D9D9"/>
          </w:tcPr>
          <w:p>
            <w:pPr>
              <w:widowControl/>
              <w:jc w:val="center"/>
              <w:rPr>
                <w:rFonts w:cs="宋体" w:asciiTheme="minorEastAsia" w:hAnsi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经营活动产生的现金流量净额</w:t>
            </w:r>
          </w:p>
        </w:tc>
        <w:tc>
          <w:tcPr>
            <w:tcW w:w="902" w:type="pct"/>
            <w:shd w:val="clear" w:color="auto" w:fill="D9D9D9"/>
          </w:tcPr>
          <w:p>
            <w:pPr>
              <w:widowControl/>
              <w:jc w:val="center"/>
              <w:rPr>
                <w:rFonts w:cs="宋体" w:asciiTheme="minorEastAsia" w:hAnsiTheme="minorEastAsia"/>
                <w:b/>
                <w:kern w:val="0"/>
                <w:sz w:val="18"/>
                <w:szCs w:val="21"/>
              </w:rPr>
            </w:pPr>
          </w:p>
        </w:tc>
        <w:tc>
          <w:tcPr>
            <w:tcW w:w="804" w:type="pct"/>
            <w:shd w:val="clear" w:color="auto" w:fill="D9D9D9"/>
          </w:tcPr>
          <w:p>
            <w:pPr>
              <w:widowControl/>
              <w:jc w:val="center"/>
              <w:rPr>
                <w:rFonts w:cs="宋体" w:asciiTheme="minorEastAsia" w:hAnsiTheme="minorEastAsia"/>
                <w:b/>
                <w:kern w:val="0"/>
                <w:sz w:val="18"/>
                <w:szCs w:val="21"/>
              </w:rPr>
            </w:pPr>
          </w:p>
        </w:tc>
        <w:tc>
          <w:tcPr>
            <w:tcW w:w="1018" w:type="pct"/>
            <w:shd w:val="clear" w:color="auto" w:fill="D9D9D9"/>
          </w:tcPr>
          <w:p>
            <w:pPr>
              <w:widowControl/>
              <w:jc w:val="center"/>
              <w:rPr>
                <w:rFonts w:cs="宋体" w:asciiTheme="minorEastAsia" w:hAnsi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二、投资活动产生的现金流量：</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收回投资收到的现金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取得投资收益收到的现金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处置固定资产、无形资产和其他长期资产收回的现金净额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处置子公司及其他营业单位收到的现金净额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收到其他与投资活动有关的现金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投资活动现金流入小计</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购建固定资产、无形资产和其他长期资产支付的现金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投资支付的现金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sz w:val="18"/>
                <w:szCs w:val="21"/>
              </w:rPr>
              <w:t>质押贷款净增加额</w:t>
            </w:r>
            <w:r>
              <w:rPr>
                <w:rFonts w:hint="eastAsia" w:cs="Times New Roman" w:asciiTheme="minorEastAsia" w:hAnsiTheme="minorEastAsia"/>
                <w:sz w:val="18"/>
                <w:szCs w:val="21"/>
              </w:rPr>
              <w:tab/>
            </w:r>
            <w:r>
              <w:rPr>
                <w:rFonts w:hint="eastAsia" w:cs="Times New Roman" w:asciiTheme="minorEastAsia" w:hAnsiTheme="minorEastAsia"/>
                <w:sz w:val="18"/>
                <w:szCs w:val="21"/>
              </w:rPr>
              <w:tab/>
            </w:r>
            <w:r>
              <w:rPr>
                <w:rFonts w:hint="eastAsia" w:cs="Times New Roman" w:asciiTheme="minorEastAsia" w:hAnsiTheme="minorEastAsia"/>
                <w:sz w:val="18"/>
                <w:szCs w:val="21"/>
              </w:rPr>
              <w:tab/>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取得子公司及其他营业单位支付的现金净额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投资活动现金流出小计</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投资活动产生的现金流量净额</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三、筹资活动产生的现金流量：</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吸收投资收到的现金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取得借款收到的现金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Times New Roman" w:asciiTheme="minorEastAsia" w:hAnsiTheme="minorEastAsia"/>
                <w:sz w:val="18"/>
                <w:szCs w:val="21"/>
              </w:rPr>
            </w:pPr>
            <w:r>
              <w:rPr>
                <w:rFonts w:hint="eastAsia" w:cs="Times New Roman" w:asciiTheme="minorEastAsia" w:hAnsiTheme="minorEastAsia"/>
                <w:sz w:val="18"/>
                <w:szCs w:val="21"/>
              </w:rPr>
              <w:t>发行债券收到的现金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收到其他与筹资活动有关的现金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筹资活动现金流入小计</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偿还债务支付的现金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分配股利、利润或偿付利息支付的现金</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筹资活动现金流出小计</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jc w:val="center"/>
              <w:rPr>
                <w:rFonts w:cs="宋体" w:asciiTheme="minorEastAsia" w:hAnsiTheme="minorEastAsia"/>
                <w:b/>
                <w:sz w:val="18"/>
                <w:szCs w:val="21"/>
              </w:rPr>
            </w:pPr>
            <w:r>
              <w:rPr>
                <w:rFonts w:hint="eastAsia" w:cs="Times New Roman" w:asciiTheme="minorEastAsia" w:hAnsiTheme="minorEastAsia"/>
                <w:b/>
                <w:sz w:val="18"/>
                <w:szCs w:val="21"/>
              </w:rPr>
              <w:t>筹资活动产生的现金流量净额</w:t>
            </w:r>
          </w:p>
        </w:tc>
        <w:tc>
          <w:tcPr>
            <w:tcW w:w="902" w:type="pct"/>
            <w:shd w:val="clear" w:color="auto" w:fill="D9D9D9"/>
          </w:tcPr>
          <w:p>
            <w:pPr>
              <w:widowControl/>
              <w:rPr>
                <w:rFonts w:cs="宋体" w:asciiTheme="minorEastAsia" w:hAnsiTheme="minorEastAsia"/>
                <w:kern w:val="0"/>
                <w:sz w:val="18"/>
                <w:szCs w:val="21"/>
              </w:rPr>
            </w:pPr>
          </w:p>
        </w:tc>
        <w:tc>
          <w:tcPr>
            <w:tcW w:w="804" w:type="pct"/>
            <w:shd w:val="clear" w:color="auto" w:fill="D9D9D9"/>
          </w:tcPr>
          <w:p>
            <w:pPr>
              <w:widowControl/>
              <w:rPr>
                <w:rFonts w:cs="宋体" w:asciiTheme="minorEastAsia" w:hAnsiTheme="minorEastAsia"/>
                <w:kern w:val="0"/>
                <w:sz w:val="18"/>
                <w:szCs w:val="21"/>
              </w:rPr>
            </w:pPr>
          </w:p>
        </w:tc>
        <w:tc>
          <w:tcPr>
            <w:tcW w:w="1018" w:type="pct"/>
            <w:shd w:val="clear" w:color="auto" w:fill="D9D9D9"/>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四、汇率变动对现金及现金等价物的影响</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五、现金及现金等价物净增加额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sz w:val="18"/>
                <w:szCs w:val="21"/>
              </w:rPr>
            </w:pPr>
            <w:r>
              <w:rPr>
                <w:rFonts w:hint="eastAsia" w:cs="Times New Roman" w:asciiTheme="minorEastAsia" w:hAnsiTheme="minorEastAsia"/>
                <w:sz w:val="18"/>
                <w:szCs w:val="21"/>
              </w:rPr>
              <w:t>加：期初现金及现金等价物余额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clear" w:color="auto" w:fill="D9D9D9"/>
            <w:vAlign w:val="center"/>
          </w:tcPr>
          <w:p>
            <w:pPr>
              <w:rPr>
                <w:rFonts w:cs="宋体" w:asciiTheme="minorEastAsia" w:hAnsiTheme="minorEastAsia"/>
                <w:b/>
                <w:sz w:val="18"/>
                <w:szCs w:val="21"/>
              </w:rPr>
            </w:pPr>
            <w:r>
              <w:rPr>
                <w:rFonts w:hint="eastAsia" w:cs="Times New Roman" w:asciiTheme="minorEastAsia" w:hAnsiTheme="minorEastAsia"/>
                <w:b/>
                <w:sz w:val="18"/>
                <w:szCs w:val="21"/>
              </w:rPr>
              <w:t>六、期末现金及现金等价物余额</w:t>
            </w:r>
          </w:p>
        </w:tc>
        <w:tc>
          <w:tcPr>
            <w:tcW w:w="902" w:type="pct"/>
            <w:shd w:val="clear" w:color="auto" w:fill="auto"/>
          </w:tcPr>
          <w:p>
            <w:pPr>
              <w:widowControl/>
              <w:rPr>
                <w:rFonts w:cs="宋体" w:asciiTheme="minorEastAsia" w:hAnsiTheme="minorEastAsia"/>
                <w:kern w:val="0"/>
                <w:sz w:val="18"/>
                <w:szCs w:val="21"/>
              </w:rPr>
            </w:pPr>
          </w:p>
        </w:tc>
        <w:tc>
          <w:tcPr>
            <w:tcW w:w="804" w:type="pct"/>
            <w:shd w:val="clear" w:color="auto" w:fill="auto"/>
          </w:tcPr>
          <w:p>
            <w:pPr>
              <w:widowControl/>
              <w:rPr>
                <w:rFonts w:cs="宋体" w:asciiTheme="minorEastAsia" w:hAnsiTheme="minorEastAsia"/>
                <w:kern w:val="0"/>
                <w:sz w:val="18"/>
                <w:szCs w:val="21"/>
              </w:rPr>
            </w:pPr>
          </w:p>
        </w:tc>
        <w:tc>
          <w:tcPr>
            <w:tcW w:w="1018" w:type="pct"/>
            <w:shd w:val="clear" w:color="auto" w:fill="auto"/>
          </w:tcPr>
          <w:p>
            <w:pPr>
              <w:widowControl/>
              <w:rPr>
                <w:rFonts w:cs="宋体" w:asciiTheme="minorEastAsia" w:hAnsiTheme="minorEastAsia"/>
                <w:kern w:val="0"/>
                <w:sz w:val="18"/>
                <w:szCs w:val="21"/>
              </w:rPr>
            </w:pPr>
          </w:p>
        </w:tc>
      </w:tr>
      <w:bookmarkEnd w:id="66"/>
      <w:bookmarkEnd w:id="67"/>
    </w:tbl>
    <w:p>
      <w:pPr>
        <w:keepNext/>
        <w:keepLines/>
        <w:spacing w:before="100" w:after="100"/>
        <w:outlineLvl w:val="2"/>
        <w:rPr>
          <w:rFonts w:ascii="Times New Roman" w:hAnsi="Times New Roman" w:eastAsia="宋体" w:cs="Times New Roman"/>
          <w:b/>
          <w:bCs/>
          <w:szCs w:val="32"/>
          <w:lang w:val="zh-CN"/>
        </w:rPr>
        <w:sectPr>
          <w:pgSz w:w="11906" w:h="21633"/>
          <w:pgMar w:top="1440" w:right="1797" w:bottom="1440" w:left="1797" w:header="851" w:footer="992" w:gutter="0"/>
          <w:cols w:space="425" w:num="1"/>
          <w:docGrid w:type="linesAndChars" w:linePitch="312" w:charSpace="0"/>
        </w:sectPr>
      </w:pPr>
      <w:bookmarkStart w:id="78" w:name="_Toc24206"/>
      <w:bookmarkStart w:id="79" w:name="_Toc14783"/>
    </w:p>
    <w:p>
      <w:pPr>
        <w:keepNext/>
        <w:keepLines/>
        <w:numPr>
          <w:ilvl w:val="0"/>
          <w:numId w:val="1"/>
        </w:numPr>
        <w:spacing w:before="100" w:after="100"/>
        <w:outlineLvl w:val="2"/>
        <w:rPr>
          <w:rFonts w:ascii="Times New Roman" w:hAnsi="Times New Roman" w:eastAsia="宋体" w:cs="Times New Roman"/>
          <w:b/>
          <w:bCs/>
          <w:szCs w:val="32"/>
          <w:lang w:val="zh-CN"/>
        </w:rPr>
      </w:pP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78"/>
      <w:bookmarkEnd w:id="79"/>
    </w:p>
    <w:p>
      <w:pPr>
        <w:numPr>
          <w:ilvl w:val="255"/>
          <w:numId w:val="0"/>
        </w:numPr>
        <w:ind w:left="12600" w:firstLine="420"/>
        <w:rPr>
          <w:rFonts w:ascii="Times New Roman" w:hAnsi="Times New Roman" w:eastAsia="宋体" w:cs="Times New Roman"/>
          <w:b/>
          <w:bCs/>
          <w:szCs w:val="32"/>
          <w:lang w:val="zh-CN"/>
        </w:rPr>
      </w:pPr>
      <w:r>
        <w:rPr>
          <w:rFonts w:hint="eastAsia"/>
          <w:lang w:val="zh-CN"/>
        </w:rPr>
        <w:t>单位：元</w:t>
      </w:r>
    </w:p>
    <w:tbl>
      <w:tblPr>
        <w:tblStyle w:val="46"/>
        <w:tblpPr w:leftFromText="180" w:rightFromText="180" w:vertAnchor="text" w:horzAnchor="page" w:tblpX="910" w:tblpY="231"/>
        <w:tblOverlap w:val="never"/>
        <w:tblW w:w="14955"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D9D9D9"/>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trPr>
        <w:tc>
          <w:tcPr>
            <w:tcW w:w="3966" w:type="dxa"/>
            <w:vMerge w:val="continue"/>
            <w:shd w:val="clear" w:color="auto" w:fill="D9D9D9"/>
            <w:vAlign w:val="center"/>
          </w:tcPr>
          <w:p>
            <w:pPr>
              <w:jc w:val="center"/>
              <w:rPr>
                <w:rFonts w:ascii="宋体" w:hAnsi="宋体" w:eastAsia="宋体" w:cs="Times New Roman"/>
                <w:b/>
                <w:color w:val="000000"/>
                <w:sz w:val="18"/>
                <w:szCs w:val="18"/>
              </w:rPr>
            </w:pPr>
          </w:p>
        </w:tc>
        <w:tc>
          <w:tcPr>
            <w:tcW w:w="9146"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966"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tbl>
      <w:tblPr>
        <w:tblStyle w:val="46"/>
        <w:tblpPr w:leftFromText="180" w:rightFromText="180" w:vertAnchor="text" w:horzAnchor="page" w:tblpX="895" w:tblpY="4435"/>
        <w:tblOverlap w:val="never"/>
        <w:tblW w:w="14955"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895"/>
        <w:gridCol w:w="1120"/>
        <w:gridCol w:w="1000"/>
        <w:gridCol w:w="840"/>
        <w:gridCol w:w="720"/>
        <w:gridCol w:w="680"/>
        <w:gridCol w:w="820"/>
        <w:gridCol w:w="900"/>
        <w:gridCol w:w="680"/>
        <w:gridCol w:w="740"/>
        <w:gridCol w:w="860"/>
        <w:gridCol w:w="800"/>
        <w:gridCol w:w="1020"/>
        <w:gridCol w:w="88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vMerge w:val="restart"/>
            <w:shd w:val="clear" w:color="auto" w:fill="D9D9D9"/>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060" w:type="dxa"/>
            <w:gridSpan w:val="13"/>
            <w:shd w:val="clear" w:color="auto" w:fill="D9D9D9"/>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trPr>
        <w:tc>
          <w:tcPr>
            <w:tcW w:w="3895" w:type="dxa"/>
            <w:vMerge w:val="continue"/>
            <w:shd w:val="clear" w:color="auto" w:fill="D9D9D9"/>
            <w:vAlign w:val="center"/>
          </w:tcPr>
          <w:p>
            <w:pPr>
              <w:jc w:val="center"/>
              <w:rPr>
                <w:rFonts w:ascii="宋体" w:hAnsi="宋体" w:eastAsia="宋体" w:cs="Times New Roman"/>
                <w:b/>
                <w:color w:val="000000"/>
                <w:sz w:val="18"/>
                <w:szCs w:val="18"/>
              </w:rPr>
            </w:pPr>
          </w:p>
        </w:tc>
        <w:tc>
          <w:tcPr>
            <w:tcW w:w="9160" w:type="dxa"/>
            <w:gridSpan w:val="11"/>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102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8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vMerge w:val="continue"/>
            <w:shd w:val="clear" w:color="auto" w:fill="auto"/>
            <w:vAlign w:val="center"/>
          </w:tcPr>
          <w:p>
            <w:pPr>
              <w:rPr>
                <w:rFonts w:ascii="宋体" w:hAnsi="宋体" w:eastAsia="宋体" w:cs="Times New Roman"/>
                <w:color w:val="000000"/>
                <w:sz w:val="18"/>
                <w:szCs w:val="18"/>
              </w:rPr>
            </w:pPr>
          </w:p>
        </w:tc>
        <w:tc>
          <w:tcPr>
            <w:tcW w:w="112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560" w:type="dxa"/>
            <w:gridSpan w:val="3"/>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68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2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900" w:type="dxa"/>
            <w:vMerge w:val="restart"/>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680" w:type="dxa"/>
            <w:vMerge w:val="restart"/>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4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6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00" w:type="dxa"/>
            <w:vMerge w:val="restart"/>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1020" w:type="dxa"/>
            <w:vMerge w:val="continue"/>
            <w:shd w:val="clear" w:color="auto" w:fill="D9D9D9"/>
          </w:tcPr>
          <w:p>
            <w:pPr>
              <w:jc w:val="center"/>
              <w:rPr>
                <w:rFonts w:ascii="Calibri" w:hAnsi="Calibri" w:eastAsia="宋体" w:cs="Times New Roman"/>
                <w:b/>
                <w:color w:val="000000"/>
                <w:sz w:val="18"/>
                <w:szCs w:val="18"/>
              </w:rPr>
            </w:pPr>
          </w:p>
        </w:tc>
        <w:tc>
          <w:tcPr>
            <w:tcW w:w="88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vMerge w:val="continue"/>
            <w:shd w:val="clear" w:color="auto" w:fill="auto"/>
            <w:vAlign w:val="center"/>
          </w:tcPr>
          <w:p>
            <w:pPr>
              <w:rPr>
                <w:rFonts w:ascii="宋体" w:hAnsi="宋体" w:eastAsia="宋体" w:cs="Times New Roman"/>
                <w:color w:val="000000"/>
                <w:sz w:val="18"/>
                <w:szCs w:val="18"/>
              </w:rPr>
            </w:pPr>
          </w:p>
        </w:tc>
        <w:tc>
          <w:tcPr>
            <w:tcW w:w="1120" w:type="dxa"/>
            <w:vMerge w:val="continue"/>
            <w:shd w:val="clear" w:color="auto" w:fill="D9D9D9"/>
          </w:tcPr>
          <w:p>
            <w:pPr>
              <w:jc w:val="center"/>
              <w:rPr>
                <w:rFonts w:ascii="Calibri" w:hAnsi="Calibri" w:eastAsia="宋体" w:cs="Times New Roman"/>
                <w:b/>
                <w:color w:val="000000"/>
                <w:sz w:val="18"/>
                <w:szCs w:val="18"/>
              </w:rPr>
            </w:pPr>
          </w:p>
        </w:tc>
        <w:tc>
          <w:tcPr>
            <w:tcW w:w="1000" w:type="dxa"/>
            <w:tcBorders>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40" w:type="dxa"/>
            <w:tcBorders>
              <w:left w:val="single" w:color="5B9BD5" w:sz="4" w:space="0"/>
              <w:righ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20" w:type="dxa"/>
            <w:tcBorders>
              <w:left w:val="single" w:color="5B9BD5" w:sz="4" w:space="0"/>
            </w:tcBorders>
            <w:shd w:val="clear" w:color="auto" w:fill="D9D9D9"/>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680" w:type="dxa"/>
            <w:vMerge w:val="continue"/>
            <w:shd w:val="clear" w:color="auto" w:fill="D9D9D9"/>
          </w:tcPr>
          <w:p>
            <w:pPr>
              <w:jc w:val="center"/>
              <w:rPr>
                <w:rFonts w:ascii="Calibri" w:hAnsi="Calibri" w:eastAsia="宋体" w:cs="Times New Roman"/>
                <w:b/>
                <w:color w:val="000000"/>
                <w:sz w:val="18"/>
                <w:szCs w:val="18"/>
              </w:rPr>
            </w:pPr>
          </w:p>
        </w:tc>
        <w:tc>
          <w:tcPr>
            <w:tcW w:w="820" w:type="dxa"/>
            <w:vMerge w:val="continue"/>
            <w:shd w:val="clear" w:color="auto" w:fill="D9D9D9"/>
          </w:tcPr>
          <w:p>
            <w:pPr>
              <w:jc w:val="center"/>
              <w:rPr>
                <w:rFonts w:ascii="Calibri" w:hAnsi="Calibri" w:eastAsia="宋体" w:cs="Times New Roman"/>
                <w:b/>
                <w:color w:val="000000"/>
                <w:sz w:val="18"/>
                <w:szCs w:val="18"/>
              </w:rPr>
            </w:pPr>
          </w:p>
        </w:tc>
        <w:tc>
          <w:tcPr>
            <w:tcW w:w="900"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680"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40" w:type="dxa"/>
            <w:vMerge w:val="continue"/>
            <w:shd w:val="clear" w:color="auto" w:fill="D9D9D9"/>
          </w:tcPr>
          <w:p>
            <w:pPr>
              <w:jc w:val="center"/>
              <w:rPr>
                <w:rFonts w:ascii="Calibri" w:hAnsi="Calibri" w:eastAsia="宋体" w:cs="Times New Roman"/>
                <w:b/>
                <w:color w:val="000000"/>
                <w:sz w:val="18"/>
                <w:szCs w:val="18"/>
              </w:rPr>
            </w:pPr>
          </w:p>
        </w:tc>
        <w:tc>
          <w:tcPr>
            <w:tcW w:w="860" w:type="dxa"/>
            <w:vMerge w:val="continue"/>
            <w:shd w:val="clear" w:color="auto" w:fill="D9D9D9"/>
          </w:tcPr>
          <w:p>
            <w:pPr>
              <w:jc w:val="center"/>
              <w:rPr>
                <w:rFonts w:ascii="Calibri" w:hAnsi="Calibri" w:eastAsia="宋体" w:cs="Times New Roman"/>
                <w:b/>
                <w:color w:val="000000"/>
                <w:sz w:val="18"/>
                <w:szCs w:val="18"/>
              </w:rPr>
            </w:pPr>
          </w:p>
        </w:tc>
        <w:tc>
          <w:tcPr>
            <w:tcW w:w="800" w:type="dxa"/>
            <w:vMerge w:val="continue"/>
            <w:shd w:val="clear" w:color="auto" w:fill="D9D9D9"/>
          </w:tcPr>
          <w:p>
            <w:pPr>
              <w:jc w:val="center"/>
              <w:rPr>
                <w:rFonts w:ascii="Calibri" w:hAnsi="Calibri" w:eastAsia="宋体" w:cs="Times New Roman"/>
                <w:b/>
                <w:color w:val="000000"/>
                <w:sz w:val="18"/>
                <w:szCs w:val="18"/>
              </w:rPr>
            </w:pPr>
          </w:p>
        </w:tc>
        <w:tc>
          <w:tcPr>
            <w:tcW w:w="1020" w:type="dxa"/>
            <w:vMerge w:val="continue"/>
            <w:shd w:val="clear" w:color="auto" w:fill="D9D9D9"/>
          </w:tcPr>
          <w:p>
            <w:pPr>
              <w:jc w:val="center"/>
              <w:rPr>
                <w:rFonts w:ascii="Calibri" w:hAnsi="Calibri" w:eastAsia="宋体" w:cs="Times New Roman"/>
                <w:b/>
                <w:color w:val="000000"/>
                <w:sz w:val="18"/>
                <w:szCs w:val="18"/>
              </w:rPr>
            </w:pPr>
          </w:p>
        </w:tc>
        <w:tc>
          <w:tcPr>
            <w:tcW w:w="88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trPr>
        <w:tc>
          <w:tcPr>
            <w:tcW w:w="3895" w:type="dxa"/>
            <w:shd w:val="clear" w:color="auto" w:fill="D9D9D9"/>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20" w:type="dxa"/>
            <w:shd w:val="clear" w:color="auto" w:fill="auto"/>
          </w:tcPr>
          <w:p>
            <w:pPr>
              <w:ind w:firstLine="360"/>
              <w:jc w:val="right"/>
              <w:rPr>
                <w:rFonts w:ascii="Calibri" w:hAnsi="Calibri" w:eastAsia="宋体" w:cs="Times New Roman"/>
                <w:color w:val="000000"/>
                <w:sz w:val="18"/>
                <w:szCs w:val="18"/>
              </w:rPr>
            </w:pPr>
          </w:p>
        </w:tc>
        <w:tc>
          <w:tcPr>
            <w:tcW w:w="1000" w:type="dxa"/>
            <w:tcBorders>
              <w:right w:val="single" w:color="5B9BD5" w:sz="4" w:space="0"/>
            </w:tcBorders>
          </w:tcPr>
          <w:p>
            <w:pPr>
              <w:ind w:firstLine="360"/>
              <w:jc w:val="right"/>
              <w:rPr>
                <w:rFonts w:ascii="Calibri" w:hAnsi="Calibri" w:eastAsia="宋体" w:cs="Times New Roman"/>
                <w:color w:val="000000"/>
                <w:sz w:val="18"/>
                <w:szCs w:val="18"/>
              </w:rPr>
            </w:pPr>
          </w:p>
        </w:tc>
        <w:tc>
          <w:tcPr>
            <w:tcW w:w="84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20" w:type="dxa"/>
            <w:tcBorders>
              <w:left w:val="single" w:color="5B9BD5" w:sz="4" w:space="0"/>
            </w:tcBorders>
          </w:tcPr>
          <w:p>
            <w:pPr>
              <w:ind w:firstLine="360"/>
              <w:jc w:val="right"/>
              <w:rPr>
                <w:rFonts w:ascii="Calibri" w:hAnsi="Calibri" w:eastAsia="宋体" w:cs="Times New Roman"/>
                <w:color w:val="000000"/>
                <w:sz w:val="18"/>
                <w:szCs w:val="18"/>
              </w:rPr>
            </w:pPr>
          </w:p>
        </w:tc>
        <w:tc>
          <w:tcPr>
            <w:tcW w:w="680" w:type="dxa"/>
            <w:shd w:val="clear" w:color="auto" w:fill="auto"/>
          </w:tcPr>
          <w:p>
            <w:pPr>
              <w:ind w:firstLine="360"/>
              <w:jc w:val="right"/>
              <w:rPr>
                <w:rFonts w:ascii="Calibri" w:hAnsi="Calibri" w:eastAsia="宋体" w:cs="Times New Roman"/>
                <w:color w:val="000000"/>
                <w:sz w:val="18"/>
                <w:szCs w:val="18"/>
              </w:rPr>
            </w:pPr>
          </w:p>
        </w:tc>
        <w:tc>
          <w:tcPr>
            <w:tcW w:w="820" w:type="dxa"/>
            <w:shd w:val="clear" w:color="auto" w:fill="auto"/>
          </w:tcPr>
          <w:p>
            <w:pPr>
              <w:ind w:firstLine="360"/>
              <w:jc w:val="right"/>
              <w:rPr>
                <w:rFonts w:ascii="Calibri" w:hAnsi="Calibri" w:eastAsia="宋体" w:cs="Times New Roman"/>
                <w:color w:val="000000"/>
                <w:sz w:val="18"/>
                <w:szCs w:val="18"/>
              </w:rPr>
            </w:pPr>
          </w:p>
        </w:tc>
        <w:tc>
          <w:tcPr>
            <w:tcW w:w="900"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680"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40" w:type="dxa"/>
            <w:shd w:val="clear" w:color="auto" w:fill="auto"/>
          </w:tcPr>
          <w:p>
            <w:pPr>
              <w:ind w:firstLine="360"/>
              <w:jc w:val="right"/>
              <w:rPr>
                <w:rFonts w:ascii="Calibri" w:hAnsi="Calibri" w:eastAsia="宋体" w:cs="Times New Roman"/>
                <w:color w:val="000000"/>
                <w:sz w:val="18"/>
                <w:szCs w:val="18"/>
              </w:rPr>
            </w:pPr>
          </w:p>
        </w:tc>
        <w:tc>
          <w:tcPr>
            <w:tcW w:w="860" w:type="dxa"/>
          </w:tcPr>
          <w:p>
            <w:pPr>
              <w:ind w:firstLine="360"/>
              <w:jc w:val="right"/>
              <w:rPr>
                <w:rFonts w:ascii="Calibri" w:hAnsi="Calibri" w:eastAsia="宋体" w:cs="Times New Roman"/>
                <w:color w:val="000000"/>
                <w:sz w:val="18"/>
                <w:szCs w:val="18"/>
              </w:rPr>
            </w:pPr>
          </w:p>
        </w:tc>
        <w:tc>
          <w:tcPr>
            <w:tcW w:w="800" w:type="dxa"/>
            <w:shd w:val="clear" w:color="auto" w:fill="auto"/>
          </w:tcPr>
          <w:p>
            <w:pPr>
              <w:ind w:firstLine="360"/>
              <w:jc w:val="right"/>
              <w:rPr>
                <w:rFonts w:ascii="Calibri" w:hAnsi="Calibri" w:eastAsia="宋体" w:cs="Times New Roman"/>
                <w:color w:val="000000"/>
                <w:sz w:val="18"/>
                <w:szCs w:val="18"/>
              </w:rPr>
            </w:pPr>
          </w:p>
        </w:tc>
        <w:tc>
          <w:tcPr>
            <w:tcW w:w="1020" w:type="dxa"/>
          </w:tcPr>
          <w:p>
            <w:pPr>
              <w:ind w:firstLine="360"/>
              <w:jc w:val="right"/>
              <w:rPr>
                <w:rFonts w:ascii="Calibri" w:hAnsi="Calibri" w:eastAsia="宋体" w:cs="Times New Roman"/>
                <w:color w:val="000000"/>
                <w:sz w:val="18"/>
                <w:szCs w:val="18"/>
              </w:rPr>
            </w:pPr>
          </w:p>
        </w:tc>
        <w:tc>
          <w:tcPr>
            <w:tcW w:w="88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0" w:name="_Toc17406"/>
      <w:bookmarkStart w:id="81" w:name="_Toc18508"/>
      <w:r>
        <w:rPr>
          <w:rFonts w:hint="eastAsia" w:ascii="Times New Roman" w:hAnsi="Times New Roman" w:eastAsia="宋体" w:cs="Times New Roman"/>
          <w:b/>
          <w:bCs/>
          <w:szCs w:val="32"/>
          <w:lang w:val="zh-CN"/>
        </w:rPr>
        <w:t>（八）母公司股东权益变动表</w:t>
      </w:r>
      <w:bookmarkEnd w:id="80"/>
      <w:bookmarkEnd w:id="81"/>
    </w:p>
    <w:p>
      <w:pPr>
        <w:ind w:left="12180" w:right="210" w:firstLine="420"/>
        <w:jc w:val="center"/>
        <w:rPr>
          <w:rFonts w:ascii="宋体" w:hAnsi="宋体" w:eastAsia="宋体" w:cs="宋体"/>
          <w:kern w:val="0"/>
          <w:sz w:val="18"/>
        </w:rPr>
      </w:pPr>
      <w:r>
        <w:rPr>
          <w:rFonts w:hint="eastAsia" w:ascii="Calibri" w:hAnsi="Calibri" w:eastAsia="宋体" w:cs="Times New Roman"/>
        </w:rPr>
        <w:t>单位：元</w:t>
      </w:r>
    </w:p>
    <w:tbl>
      <w:tblPr>
        <w:tblStyle w:val="46"/>
        <w:tblW w:w="15026"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118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920" w:type="dxa"/>
            <w:gridSpan w:val="14"/>
            <w:shd w:val="clear" w:color="auto" w:fill="CFCECE" w:themeFill="background2" w:themeFillShade="E5"/>
          </w:tcPr>
          <w:p>
            <w:pPr>
              <w:ind w:firstLine="440"/>
              <w:jc w:val="center"/>
              <w:rPr>
                <w:rFonts w:ascii="宋体" w:hAnsi="宋体" w:eastAsia="宋体" w:cs="Times New Roman"/>
                <w:b/>
                <w:color w:val="000000"/>
                <w:sz w:val="18"/>
                <w:szCs w:val="18"/>
              </w:rPr>
            </w:pPr>
            <w:r>
              <w:rPr>
                <w:rFonts w:hint="eastAsia" w:ascii="Times New Roman" w:hAnsi="Times New Roman" w:eastAsia="宋体" w:cs="Times New Roman"/>
                <w:b/>
                <w:color w:val="000000"/>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FCECE" w:themeFill="background2" w:themeFillShade="E5"/>
            <w:vAlign w:val="center"/>
          </w:tcPr>
          <w:p>
            <w:pPr>
              <w:ind w:firstLine="440"/>
              <w:jc w:val="center"/>
              <w:rPr>
                <w:rFonts w:ascii="宋体" w:hAnsi="宋体" w:eastAsia="宋体" w:cs="宋体"/>
                <w:b/>
                <w:color w:val="000000"/>
                <w:sz w:val="18"/>
                <w:szCs w:val="18"/>
              </w:rPr>
            </w:pPr>
          </w:p>
        </w:tc>
        <w:tc>
          <w:tcPr>
            <w:tcW w:w="921"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CFCECE" w:themeFill="background2" w:themeFillShade="E5"/>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CFCECE" w:themeFill="background2" w:themeFillShade="E5"/>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CFCECE" w:themeFill="background2" w:themeFillShade="E5"/>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1187" w:type="dxa"/>
            <w:vMerge w:val="restart"/>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FCECE" w:themeFill="background2" w:themeFillShade="E5"/>
            <w:vAlign w:val="center"/>
          </w:tcPr>
          <w:p>
            <w:pPr>
              <w:ind w:firstLine="440"/>
              <w:jc w:val="center"/>
              <w:rPr>
                <w:rFonts w:ascii="宋体" w:hAnsi="宋体" w:eastAsia="宋体" w:cs="宋体"/>
                <w:b/>
                <w:color w:val="000000"/>
                <w:sz w:val="18"/>
                <w:szCs w:val="18"/>
              </w:rPr>
            </w:pPr>
          </w:p>
        </w:tc>
        <w:tc>
          <w:tcPr>
            <w:tcW w:w="921" w:type="dxa"/>
            <w:vMerge w:val="continue"/>
            <w:shd w:val="clear" w:color="auto" w:fill="CFCECE" w:themeFill="background2" w:themeFillShade="E5"/>
            <w:vAlign w:val="center"/>
          </w:tcPr>
          <w:p>
            <w:pPr>
              <w:jc w:val="center"/>
              <w:rPr>
                <w:rFonts w:ascii="宋体" w:hAnsi="宋体" w:eastAsia="宋体" w:cs="Times New Roman"/>
                <w:b/>
                <w:color w:val="000000"/>
                <w:sz w:val="18"/>
                <w:szCs w:val="18"/>
              </w:rPr>
            </w:pPr>
          </w:p>
        </w:tc>
        <w:tc>
          <w:tcPr>
            <w:tcW w:w="833" w:type="dxa"/>
            <w:gridSpan w:val="2"/>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FCECE" w:themeFill="background2" w:themeFillShade="E5"/>
            <w:vAlign w:val="center"/>
          </w:tcPr>
          <w:p>
            <w:pPr>
              <w:jc w:val="center"/>
              <w:rPr>
                <w:rFonts w:ascii="宋体" w:hAnsi="宋体" w:eastAsia="宋体" w:cs="Times New Roman"/>
                <w:b/>
                <w:color w:val="000000"/>
                <w:sz w:val="18"/>
                <w:szCs w:val="18"/>
              </w:rPr>
            </w:pPr>
          </w:p>
        </w:tc>
        <w:tc>
          <w:tcPr>
            <w:tcW w:w="904" w:type="dxa"/>
            <w:vMerge w:val="continue"/>
            <w:shd w:val="clear" w:color="auto" w:fill="CFCECE" w:themeFill="background2" w:themeFillShade="E5"/>
            <w:vAlign w:val="center"/>
          </w:tcPr>
          <w:p>
            <w:pPr>
              <w:jc w:val="center"/>
              <w:rPr>
                <w:rFonts w:ascii="宋体" w:hAnsi="宋体" w:eastAsia="宋体" w:cs="Times New Roman"/>
                <w:b/>
                <w:color w:val="000000"/>
                <w:sz w:val="18"/>
                <w:szCs w:val="18"/>
              </w:rPr>
            </w:pPr>
          </w:p>
        </w:tc>
        <w:tc>
          <w:tcPr>
            <w:tcW w:w="904" w:type="dxa"/>
            <w:vMerge w:val="continue"/>
            <w:shd w:val="clear" w:color="auto" w:fill="CFCECE" w:themeFill="background2" w:themeFillShade="E5"/>
            <w:vAlign w:val="center"/>
          </w:tcPr>
          <w:p>
            <w:pPr>
              <w:jc w:val="center"/>
              <w:rPr>
                <w:rFonts w:ascii="Calibri" w:hAnsi="Calibri" w:eastAsia="宋体" w:cs="Times New Roman"/>
                <w:b/>
                <w:color w:val="000000"/>
                <w:sz w:val="18"/>
                <w:szCs w:val="18"/>
              </w:rPr>
            </w:pPr>
          </w:p>
        </w:tc>
        <w:tc>
          <w:tcPr>
            <w:tcW w:w="904" w:type="dxa"/>
            <w:vMerge w:val="continue"/>
            <w:shd w:val="clear" w:color="auto" w:fill="CFCECE" w:themeFill="background2" w:themeFillShade="E5"/>
            <w:vAlign w:val="center"/>
          </w:tcPr>
          <w:p>
            <w:pPr>
              <w:jc w:val="center"/>
              <w:rPr>
                <w:rFonts w:ascii="宋体" w:hAnsi="宋体" w:eastAsia="宋体" w:cs="宋体"/>
                <w:b/>
                <w:color w:val="000000"/>
                <w:sz w:val="18"/>
                <w:szCs w:val="18"/>
              </w:rPr>
            </w:pPr>
          </w:p>
        </w:tc>
        <w:tc>
          <w:tcPr>
            <w:tcW w:w="903" w:type="dxa"/>
            <w:vMerge w:val="continue"/>
            <w:shd w:val="clear" w:color="auto" w:fill="CFCECE" w:themeFill="background2" w:themeFillShade="E5"/>
            <w:vAlign w:val="center"/>
          </w:tcPr>
          <w:p>
            <w:pPr>
              <w:jc w:val="center"/>
              <w:rPr>
                <w:rFonts w:ascii="宋体" w:hAnsi="宋体" w:eastAsia="宋体" w:cs="Times New Roman"/>
                <w:b/>
                <w:color w:val="000000"/>
                <w:sz w:val="18"/>
                <w:szCs w:val="18"/>
              </w:rPr>
            </w:pPr>
          </w:p>
        </w:tc>
        <w:tc>
          <w:tcPr>
            <w:tcW w:w="904" w:type="dxa"/>
            <w:vMerge w:val="continue"/>
            <w:shd w:val="clear" w:color="auto" w:fill="CFCECE" w:themeFill="background2" w:themeFillShade="E5"/>
          </w:tcPr>
          <w:p>
            <w:pPr>
              <w:rPr>
                <w:rFonts w:ascii="宋体" w:hAnsi="宋体" w:eastAsia="宋体" w:cs="Times New Roman"/>
                <w:b/>
                <w:color w:val="000000"/>
                <w:sz w:val="18"/>
                <w:szCs w:val="18"/>
              </w:rPr>
            </w:pPr>
          </w:p>
        </w:tc>
        <w:tc>
          <w:tcPr>
            <w:tcW w:w="904" w:type="dxa"/>
            <w:vMerge w:val="continue"/>
            <w:shd w:val="clear" w:color="auto" w:fill="CFCECE" w:themeFill="background2" w:themeFillShade="E5"/>
            <w:vAlign w:val="center"/>
          </w:tcPr>
          <w:p>
            <w:pPr>
              <w:rPr>
                <w:rFonts w:ascii="宋体" w:hAnsi="宋体" w:eastAsia="宋体" w:cs="Times New Roman"/>
                <w:b/>
                <w:color w:val="000000"/>
                <w:sz w:val="18"/>
                <w:szCs w:val="18"/>
              </w:rPr>
            </w:pPr>
          </w:p>
        </w:tc>
        <w:tc>
          <w:tcPr>
            <w:tcW w:w="1187" w:type="dxa"/>
            <w:vMerge w:val="continue"/>
            <w:shd w:val="clear" w:color="auto" w:fill="CFCECE" w:themeFill="background2" w:themeFillShade="E5"/>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7" w:type="dxa"/>
            <w:shd w:val="clear" w:color="auto" w:fill="auto"/>
          </w:tcPr>
          <w:p>
            <w:pPr>
              <w:ind w:firstLine="440"/>
              <w:jc w:val="right"/>
              <w:rPr>
                <w:rFonts w:ascii="宋体" w:hAnsi="宋体" w:eastAsia="宋体" w:cs="Times New Roman"/>
                <w:color w:val="000000"/>
                <w:sz w:val="18"/>
                <w:szCs w:val="18"/>
              </w:rPr>
            </w:pPr>
          </w:p>
        </w:tc>
      </w:tr>
    </w:tbl>
    <w:tbl>
      <w:tblPr>
        <w:tblStyle w:val="46"/>
        <w:tblpPr w:leftFromText="180" w:rightFromText="180" w:vertAnchor="text" w:horzAnchor="page" w:tblpX="908" w:tblpY="595"/>
        <w:tblOverlap w:val="never"/>
        <w:tblW w:w="15021"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118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1" w:hRule="atLeast"/>
        </w:trPr>
        <w:tc>
          <w:tcPr>
            <w:tcW w:w="4106"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915" w:type="dxa"/>
            <w:gridSpan w:val="14"/>
            <w:shd w:val="clear" w:color="auto" w:fill="CFCECE" w:themeFill="background2" w:themeFillShade="E5"/>
          </w:tcPr>
          <w:p>
            <w:pPr>
              <w:ind w:firstLine="440"/>
              <w:jc w:val="center"/>
              <w:rPr>
                <w:rFonts w:ascii="宋体" w:hAnsi="宋体" w:eastAsia="宋体" w:cs="Times New Roman"/>
                <w:b/>
                <w:color w:val="000000"/>
                <w:sz w:val="18"/>
                <w:szCs w:val="18"/>
              </w:rPr>
            </w:pPr>
            <w:bookmarkStart w:id="86" w:name="_GoBack"/>
            <w:r>
              <w:rPr>
                <w:rFonts w:hint="eastAsia" w:ascii="Times New Roman" w:hAnsi="Times New Roman" w:eastAsia="宋体" w:cs="Times New Roman"/>
                <w:b/>
                <w:color w:val="000000"/>
                <w:sz w:val="18"/>
                <w:szCs w:val="18"/>
              </w:rPr>
              <w:t>2</w:t>
            </w:r>
            <w:r>
              <w:rPr>
                <w:rFonts w:hint="eastAsia" w:ascii="Times New Roman" w:hAnsi="Times New Roman" w:eastAsia="宋体" w:cs="Times New Roman"/>
                <w:b/>
                <w:color w:val="000000"/>
                <w:sz w:val="18"/>
                <w:szCs w:val="18"/>
              </w:rPr>
              <w:t>0</w:t>
            </w:r>
            <w:bookmarkEnd w:id="86"/>
            <w:r>
              <w:rPr>
                <w:rFonts w:hint="eastAsia" w:ascii="Times New Roman" w:hAnsi="Times New Roman" w:eastAsia="宋体" w:cs="Times New Roman"/>
                <w:b/>
                <w:color w:val="000000"/>
                <w:sz w:val="18"/>
                <w:szCs w:val="18"/>
              </w:rPr>
              <w:t>23</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FCECE" w:themeFill="background2" w:themeFillShade="E5"/>
            <w:vAlign w:val="center"/>
          </w:tcPr>
          <w:p>
            <w:pPr>
              <w:ind w:firstLine="440"/>
              <w:jc w:val="center"/>
              <w:rPr>
                <w:rFonts w:ascii="宋体" w:hAnsi="宋体" w:eastAsia="宋体" w:cs="宋体"/>
                <w:b/>
                <w:color w:val="000000"/>
                <w:sz w:val="18"/>
                <w:szCs w:val="18"/>
              </w:rPr>
            </w:pPr>
          </w:p>
        </w:tc>
        <w:tc>
          <w:tcPr>
            <w:tcW w:w="921"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CFCECE" w:themeFill="background2" w:themeFillShade="E5"/>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CFCECE" w:themeFill="background2" w:themeFillShade="E5"/>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CFCECE" w:themeFill="background2" w:themeFillShade="E5"/>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CFCECE" w:themeFill="background2" w:themeFillShade="E5"/>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1182" w:type="dxa"/>
            <w:vMerge w:val="restart"/>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FCECE" w:themeFill="background2" w:themeFillShade="E5"/>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CFCECE" w:themeFill="background2" w:themeFillShade="E5"/>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1182"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CFCECE" w:themeFill="background2" w:themeFillShade="E5"/>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1182"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bookmarkEnd w:id="68"/>
    <w:bookmarkEnd w:id="69"/>
    <w:bookmarkEnd w:id="70"/>
    <w:bookmarkEnd w:id="71"/>
    <w:p>
      <w:pPr>
        <w:tabs>
          <w:tab w:val="left" w:pos="5140"/>
        </w:tabs>
        <w:rPr>
          <w:rFonts w:ascii="宋体" w:hAnsi="宋体" w:eastAsia="宋体" w:cs="Times New Roman"/>
          <w:b/>
          <w:color w:val="FF0000"/>
          <w:sz w:val="24"/>
          <w:szCs w:val="21"/>
        </w:rPr>
        <w:sectPr>
          <w:pgSz w:w="16840" w:h="11907" w:orient="landscape"/>
          <w:pgMar w:top="1797" w:right="1440" w:bottom="1797" w:left="1440" w:header="851" w:footer="992" w:gutter="0"/>
          <w:cols w:space="425" w:num="1"/>
          <w:docGrid w:type="lines" w:linePitch="312" w:charSpace="0"/>
        </w:sectPr>
      </w:pPr>
      <w:bookmarkStart w:id="82" w:name="_Toc23441"/>
      <w:bookmarkStart w:id="83" w:name="_Toc10081"/>
    </w:p>
    <w:p>
      <w:pPr>
        <w:tabs>
          <w:tab w:val="left" w:pos="5140"/>
        </w:tabs>
        <w:rPr>
          <w:rFonts w:ascii="宋体" w:hAnsi="宋体" w:eastAsia="宋体" w:cs="Times New Roman"/>
          <w:b/>
          <w:color w:val="FF0000"/>
          <w:sz w:val="24"/>
          <w:szCs w:val="21"/>
        </w:rPr>
      </w:pPr>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82"/>
      <w:bookmarkEnd w:id="83"/>
    </w:p>
    <w:p>
      <w:pPr>
        <w:keepNext/>
        <w:keepLines/>
        <w:spacing w:before="100" w:after="100"/>
        <w:outlineLvl w:val="1"/>
        <w:rPr>
          <w:rFonts w:ascii="Calibri Light" w:hAnsi="Calibri Light" w:eastAsia="微软雅黑" w:cs="Times New Roman"/>
          <w:b/>
          <w:bCs/>
          <w:sz w:val="22"/>
          <w:szCs w:val="32"/>
        </w:rPr>
      </w:pPr>
      <w:bookmarkStart w:id="84" w:name="_Toc23833"/>
      <w:bookmarkStart w:id="85" w:name="_Toc3016"/>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2"/>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4"/>
      <w:bookmarkEnd w:id="85"/>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2"/>
          <w:jc w:val="center"/>
        </w:pPr>
        <w:r>
          <w:fldChar w:fldCharType="begin"/>
        </w:r>
        <w:r>
          <w:instrText xml:space="preserve">PAGE   \* MERGEFORMAT</w:instrText>
        </w:r>
        <w:r>
          <w:fldChar w:fldCharType="separate"/>
        </w:r>
        <w:r>
          <w:rPr>
            <w:lang w:val="zh-CN"/>
          </w:rPr>
          <w:t>19</w:t>
        </w:r>
        <w:r>
          <w:fldChar w:fldCharType="end"/>
        </w:r>
      </w:p>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2"/>
          <w:ind w:left="2100" w:hanging="420"/>
          <w:jc w:val="center"/>
        </w:pPr>
        <w:r>
          <w:fldChar w:fldCharType="begin"/>
        </w:r>
        <w:r>
          <w:instrText xml:space="preserve">PAGE   \* MERGEFORMAT</w:instrText>
        </w:r>
        <w:r>
          <w:fldChar w:fldCharType="separate"/>
        </w:r>
        <w:r>
          <w:rPr>
            <w:lang w:val="zh-CN"/>
          </w:rPr>
          <w:t>24</w:t>
        </w:r>
        <w:r>
          <w:fldChar w:fldCharType="end"/>
        </w:r>
      </w:p>
    </w:sdtContent>
  </w:sdt>
  <w:p>
    <w:pPr>
      <w:pStyle w:val="3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5A842"/>
    <w:multiLevelType w:val="singleLevel"/>
    <w:tmpl w:val="F465A84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mM2ODkzYTMxOWY0NzQwNWE2MTA0MDZlNTYyZDYifQ=="/>
  </w:docVars>
  <w:rsids>
    <w:rsidRoot w:val="006C1562"/>
    <w:rsid w:val="00002771"/>
    <w:rsid w:val="00005D98"/>
    <w:rsid w:val="00012FFB"/>
    <w:rsid w:val="00024C99"/>
    <w:rsid w:val="000473CC"/>
    <w:rsid w:val="000520E2"/>
    <w:rsid w:val="000569D0"/>
    <w:rsid w:val="00064DCD"/>
    <w:rsid w:val="000661B4"/>
    <w:rsid w:val="00077348"/>
    <w:rsid w:val="000907EF"/>
    <w:rsid w:val="00091D4B"/>
    <w:rsid w:val="00096D23"/>
    <w:rsid w:val="000F78A5"/>
    <w:rsid w:val="00133260"/>
    <w:rsid w:val="00194E96"/>
    <w:rsid w:val="001C3D27"/>
    <w:rsid w:val="001C6B30"/>
    <w:rsid w:val="001D457E"/>
    <w:rsid w:val="001E568E"/>
    <w:rsid w:val="00220D3C"/>
    <w:rsid w:val="00232C11"/>
    <w:rsid w:val="00233D01"/>
    <w:rsid w:val="00241328"/>
    <w:rsid w:val="00252F1E"/>
    <w:rsid w:val="00271BDC"/>
    <w:rsid w:val="00272B19"/>
    <w:rsid w:val="00296596"/>
    <w:rsid w:val="002B0B66"/>
    <w:rsid w:val="002D0FAF"/>
    <w:rsid w:val="00324172"/>
    <w:rsid w:val="003245FE"/>
    <w:rsid w:val="00346154"/>
    <w:rsid w:val="003562AB"/>
    <w:rsid w:val="0036573B"/>
    <w:rsid w:val="003661DA"/>
    <w:rsid w:val="0037123F"/>
    <w:rsid w:val="00376347"/>
    <w:rsid w:val="003A0744"/>
    <w:rsid w:val="003C500F"/>
    <w:rsid w:val="003D3FCD"/>
    <w:rsid w:val="003F234D"/>
    <w:rsid w:val="00412A75"/>
    <w:rsid w:val="00423087"/>
    <w:rsid w:val="00467963"/>
    <w:rsid w:val="004764D0"/>
    <w:rsid w:val="004B1BCE"/>
    <w:rsid w:val="004D13F1"/>
    <w:rsid w:val="004D3960"/>
    <w:rsid w:val="004F0C28"/>
    <w:rsid w:val="004F3506"/>
    <w:rsid w:val="00506480"/>
    <w:rsid w:val="00506875"/>
    <w:rsid w:val="005141A7"/>
    <w:rsid w:val="00541500"/>
    <w:rsid w:val="00583C8F"/>
    <w:rsid w:val="005A5826"/>
    <w:rsid w:val="005A6D3D"/>
    <w:rsid w:val="005C1BB7"/>
    <w:rsid w:val="005C7B21"/>
    <w:rsid w:val="005E417C"/>
    <w:rsid w:val="005F6466"/>
    <w:rsid w:val="0060663A"/>
    <w:rsid w:val="006100C1"/>
    <w:rsid w:val="0061518E"/>
    <w:rsid w:val="00645834"/>
    <w:rsid w:val="00674CBE"/>
    <w:rsid w:val="00681962"/>
    <w:rsid w:val="00685A90"/>
    <w:rsid w:val="00690756"/>
    <w:rsid w:val="006C1562"/>
    <w:rsid w:val="006C5002"/>
    <w:rsid w:val="006E7C10"/>
    <w:rsid w:val="006F0092"/>
    <w:rsid w:val="007112C2"/>
    <w:rsid w:val="007329DA"/>
    <w:rsid w:val="0075546D"/>
    <w:rsid w:val="00755BA5"/>
    <w:rsid w:val="00772967"/>
    <w:rsid w:val="00782E31"/>
    <w:rsid w:val="0079347F"/>
    <w:rsid w:val="007A44EB"/>
    <w:rsid w:val="007A505B"/>
    <w:rsid w:val="007B7D00"/>
    <w:rsid w:val="007C18F8"/>
    <w:rsid w:val="007C21F4"/>
    <w:rsid w:val="007D07A7"/>
    <w:rsid w:val="007E0DFC"/>
    <w:rsid w:val="0082424C"/>
    <w:rsid w:val="0083638B"/>
    <w:rsid w:val="00837BA9"/>
    <w:rsid w:val="00846AA5"/>
    <w:rsid w:val="0085287A"/>
    <w:rsid w:val="00896507"/>
    <w:rsid w:val="00920AFE"/>
    <w:rsid w:val="00981982"/>
    <w:rsid w:val="009A5B79"/>
    <w:rsid w:val="009C4A51"/>
    <w:rsid w:val="009E303B"/>
    <w:rsid w:val="00A14725"/>
    <w:rsid w:val="00A36191"/>
    <w:rsid w:val="00A70E43"/>
    <w:rsid w:val="00A83B1A"/>
    <w:rsid w:val="00A9135E"/>
    <w:rsid w:val="00AB3142"/>
    <w:rsid w:val="00AE1010"/>
    <w:rsid w:val="00B22DF8"/>
    <w:rsid w:val="00B30B30"/>
    <w:rsid w:val="00BA18E8"/>
    <w:rsid w:val="00BB3026"/>
    <w:rsid w:val="00BE098F"/>
    <w:rsid w:val="00BE2EB2"/>
    <w:rsid w:val="00BF544C"/>
    <w:rsid w:val="00C1203C"/>
    <w:rsid w:val="00C33168"/>
    <w:rsid w:val="00C35305"/>
    <w:rsid w:val="00C44496"/>
    <w:rsid w:val="00C47EA5"/>
    <w:rsid w:val="00C52B10"/>
    <w:rsid w:val="00C83150"/>
    <w:rsid w:val="00CA1118"/>
    <w:rsid w:val="00CA7076"/>
    <w:rsid w:val="00CB46EB"/>
    <w:rsid w:val="00D224CB"/>
    <w:rsid w:val="00D47DAB"/>
    <w:rsid w:val="00D54C2A"/>
    <w:rsid w:val="00D75D32"/>
    <w:rsid w:val="00DA2B3C"/>
    <w:rsid w:val="00DB4315"/>
    <w:rsid w:val="00DF4F5F"/>
    <w:rsid w:val="00DF6AE6"/>
    <w:rsid w:val="00E846E4"/>
    <w:rsid w:val="00E84A74"/>
    <w:rsid w:val="00E92F9A"/>
    <w:rsid w:val="00EA2B40"/>
    <w:rsid w:val="00EC48ED"/>
    <w:rsid w:val="00ED28ED"/>
    <w:rsid w:val="00EE1B8C"/>
    <w:rsid w:val="00EE7195"/>
    <w:rsid w:val="00EF1FB4"/>
    <w:rsid w:val="00F10843"/>
    <w:rsid w:val="00F55814"/>
    <w:rsid w:val="00FA41FD"/>
    <w:rsid w:val="00FC1039"/>
    <w:rsid w:val="00FF2B61"/>
    <w:rsid w:val="00FF530F"/>
    <w:rsid w:val="03F67A0B"/>
    <w:rsid w:val="05315843"/>
    <w:rsid w:val="05DD2267"/>
    <w:rsid w:val="07970677"/>
    <w:rsid w:val="0D382BCD"/>
    <w:rsid w:val="12F31C3F"/>
    <w:rsid w:val="1484324D"/>
    <w:rsid w:val="153D4EB2"/>
    <w:rsid w:val="18E020EC"/>
    <w:rsid w:val="221602E3"/>
    <w:rsid w:val="243948BB"/>
    <w:rsid w:val="28250C41"/>
    <w:rsid w:val="285800BE"/>
    <w:rsid w:val="2E032086"/>
    <w:rsid w:val="307F3E00"/>
    <w:rsid w:val="39A65D62"/>
    <w:rsid w:val="3B3001A1"/>
    <w:rsid w:val="3B880996"/>
    <w:rsid w:val="3CB30D14"/>
    <w:rsid w:val="4C700529"/>
    <w:rsid w:val="4D7F6761"/>
    <w:rsid w:val="532A0F7D"/>
    <w:rsid w:val="5B165A9D"/>
    <w:rsid w:val="5D44250A"/>
    <w:rsid w:val="60A37C4C"/>
    <w:rsid w:val="62D861E6"/>
    <w:rsid w:val="632421D0"/>
    <w:rsid w:val="65887C91"/>
    <w:rsid w:val="6AC62564"/>
    <w:rsid w:val="6AF4759F"/>
    <w:rsid w:val="6DF31A05"/>
    <w:rsid w:val="72821C8D"/>
    <w:rsid w:val="7391577B"/>
    <w:rsid w:val="77B64AA0"/>
    <w:rsid w:val="77F96D22"/>
    <w:rsid w:val="78613F13"/>
    <w:rsid w:val="796167BC"/>
    <w:rsid w:val="7EEF3065"/>
    <w:rsid w:val="EFAC88B4"/>
    <w:rsid w:val="FEC6F19A"/>
    <w:rsid w:val="FEF4F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5"/>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cs="Times New Roman"/>
      <w:b/>
      <w:bCs/>
      <w:sz w:val="28"/>
      <w:szCs w:val="28"/>
      <w:lang w:val="zh-CN"/>
    </w:rPr>
  </w:style>
  <w:style w:type="paragraph" w:styleId="6">
    <w:name w:val="heading 5"/>
    <w:basedOn w:val="1"/>
    <w:next w:val="1"/>
    <w:link w:val="197"/>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8">
    <w:name w:val="Note Heading"/>
    <w:basedOn w:val="1"/>
    <w:next w:val="1"/>
    <w:link w:val="63"/>
    <w:qFormat/>
    <w:uiPriority w:val="0"/>
    <w:pPr>
      <w:jc w:val="center"/>
    </w:pPr>
    <w:rPr>
      <w:rFonts w:ascii="Times New Roman" w:hAnsi="Times New Roman" w:eastAsia="宋体" w:cs="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10">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1">
    <w:name w:val="Normal Indent"/>
    <w:basedOn w:val="1"/>
    <w:qFormat/>
    <w:uiPriority w:val="0"/>
    <w:pPr>
      <w:ind w:firstLine="420" w:firstLineChars="200"/>
    </w:pPr>
    <w:rPr>
      <w:rFonts w:ascii="Times New Roman" w:hAnsi="Times New Roman" w:eastAsia="宋体" w:cs="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3">
    <w:name w:val="Document Map"/>
    <w:basedOn w:val="1"/>
    <w:link w:val="64"/>
    <w:qFormat/>
    <w:uiPriority w:val="0"/>
    <w:rPr>
      <w:rFonts w:ascii="宋体" w:hAnsi="Times New Roman" w:eastAsia="宋体" w:cs="Times New Roman"/>
      <w:sz w:val="18"/>
      <w:szCs w:val="18"/>
      <w:lang w:val="zh-CN"/>
    </w:rPr>
  </w:style>
  <w:style w:type="paragraph" w:styleId="14">
    <w:name w:val="toa heading"/>
    <w:basedOn w:val="1"/>
    <w:next w:val="1"/>
    <w:qFormat/>
    <w:uiPriority w:val="0"/>
    <w:pPr>
      <w:spacing w:before="120"/>
    </w:pPr>
    <w:rPr>
      <w:rFonts w:ascii="Arial" w:hAnsi="Arial" w:eastAsia="宋体" w:cs="Times New Roman"/>
      <w:b/>
      <w:bCs/>
      <w:szCs w:val="21"/>
    </w:rPr>
  </w:style>
  <w:style w:type="paragraph" w:styleId="15">
    <w:name w:val="annotation text"/>
    <w:basedOn w:val="1"/>
    <w:link w:val="65"/>
    <w:unhideWhenUsed/>
    <w:qFormat/>
    <w:uiPriority w:val="0"/>
    <w:pPr>
      <w:jc w:val="left"/>
    </w:pPr>
    <w:rPr>
      <w:rFonts w:ascii="Calibri" w:hAnsi="Calibri" w:eastAsia="宋体" w:cs="Times New Roman"/>
    </w:rPr>
  </w:style>
  <w:style w:type="paragraph" w:styleId="16">
    <w:name w:val="Salutation"/>
    <w:basedOn w:val="1"/>
    <w:next w:val="1"/>
    <w:link w:val="66"/>
    <w:qFormat/>
    <w:uiPriority w:val="0"/>
    <w:rPr>
      <w:rFonts w:ascii="Times New Roman" w:hAnsi="Times New Roman" w:eastAsia="宋体" w:cs="Times New Roman"/>
      <w:szCs w:val="21"/>
      <w:lang w:val="zh-CN"/>
    </w:rPr>
  </w:style>
  <w:style w:type="paragraph" w:styleId="17">
    <w:name w:val="Body Text 3"/>
    <w:basedOn w:val="1"/>
    <w:link w:val="67"/>
    <w:qFormat/>
    <w:uiPriority w:val="0"/>
    <w:pPr>
      <w:spacing w:before="100" w:after="20" w:line="440" w:lineRule="exact"/>
    </w:pPr>
    <w:rPr>
      <w:rFonts w:ascii="楷体_GB2312" w:hAnsi="Times New Roman" w:eastAsia="楷体_GB2312" w:cs="Times New Roman"/>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9">
    <w:name w:val="Body Text"/>
    <w:basedOn w:val="1"/>
    <w:link w:val="68"/>
    <w:qFormat/>
    <w:uiPriority w:val="0"/>
    <w:pPr>
      <w:spacing w:after="120"/>
    </w:pPr>
    <w:rPr>
      <w:rFonts w:ascii="Times New Roman" w:hAnsi="Times New Roman" w:eastAsia="宋体" w:cs="Times New Roman"/>
      <w:szCs w:val="21"/>
      <w:lang w:val="zh-CN"/>
    </w:rPr>
  </w:style>
  <w:style w:type="paragraph" w:styleId="20">
    <w:name w:val="Body Text Indent"/>
    <w:basedOn w:val="1"/>
    <w:link w:val="69"/>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2">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5">
    <w:name w:val="Plain Text"/>
    <w:basedOn w:val="1"/>
    <w:link w:val="70"/>
    <w:qFormat/>
    <w:uiPriority w:val="0"/>
    <w:rPr>
      <w:rFonts w:ascii="宋体" w:hAnsi="Courier New" w:eastAsia="宋体" w:cs="Times New Roman"/>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8">
    <w:name w:val="Date"/>
    <w:basedOn w:val="1"/>
    <w:next w:val="1"/>
    <w:link w:val="71"/>
    <w:qFormat/>
    <w:uiPriority w:val="0"/>
    <w:pPr>
      <w:ind w:left="100" w:leftChars="2500"/>
    </w:pPr>
    <w:rPr>
      <w:rFonts w:ascii="楷体_GB2312" w:hAnsi="Times New Roman" w:eastAsia="楷体_GB2312" w:cs="Times New Roman"/>
      <w:sz w:val="28"/>
      <w:szCs w:val="24"/>
      <w:lang w:val="zh-CN"/>
    </w:rPr>
  </w:style>
  <w:style w:type="paragraph" w:styleId="29">
    <w:name w:val="Body Text Indent 2"/>
    <w:basedOn w:val="1"/>
    <w:link w:val="72"/>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30">
    <w:name w:val="endnote text"/>
    <w:basedOn w:val="1"/>
    <w:link w:val="73"/>
    <w:semiHidden/>
    <w:unhideWhenUsed/>
    <w:qFormat/>
    <w:uiPriority w:val="99"/>
    <w:pPr>
      <w:snapToGrid w:val="0"/>
      <w:jc w:val="left"/>
    </w:pPr>
    <w:rPr>
      <w:rFonts w:ascii="Calibri" w:hAnsi="Calibri" w:eastAsia="宋体" w:cs="Times New Roman"/>
    </w:rPr>
  </w:style>
  <w:style w:type="paragraph" w:styleId="31">
    <w:name w:val="Balloon Text"/>
    <w:basedOn w:val="1"/>
    <w:link w:val="74"/>
    <w:unhideWhenUsed/>
    <w:qFormat/>
    <w:uiPriority w:val="0"/>
    <w:rPr>
      <w:rFonts w:ascii="Calibri" w:hAnsi="Calibri" w:eastAsia="宋体" w:cs="Times New Roman"/>
      <w:sz w:val="18"/>
      <w:szCs w:val="18"/>
    </w:rPr>
  </w:style>
  <w:style w:type="paragraph" w:styleId="32">
    <w:name w:val="footer"/>
    <w:basedOn w:val="1"/>
    <w:link w:val="58"/>
    <w:unhideWhenUsed/>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eastAsia="宋体" w:cs="Arial"/>
      <w:szCs w:val="21"/>
    </w:rPr>
  </w:style>
  <w:style w:type="paragraph" w:styleId="34">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6">
    <w:name w:val="Subtitle"/>
    <w:basedOn w:val="1"/>
    <w:next w:val="1"/>
    <w:link w:val="128"/>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7">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8">
    <w:name w:val="List"/>
    <w:basedOn w:val="1"/>
    <w:qFormat/>
    <w:uiPriority w:val="0"/>
    <w:pPr>
      <w:ind w:left="200" w:hanging="200" w:hangingChars="200"/>
    </w:pPr>
    <w:rPr>
      <w:rFonts w:ascii="Times New Roman" w:hAnsi="Times New Roman" w:eastAsia="宋体" w:cs="Times New Roman"/>
      <w:szCs w:val="21"/>
    </w:rPr>
  </w:style>
  <w:style w:type="paragraph" w:styleId="39">
    <w:name w:val="footnote text"/>
    <w:basedOn w:val="1"/>
    <w:link w:val="76"/>
    <w:qFormat/>
    <w:uiPriority w:val="0"/>
    <w:pPr>
      <w:snapToGrid w:val="0"/>
      <w:jc w:val="left"/>
    </w:pPr>
    <w:rPr>
      <w:rFonts w:ascii="Times New Roman" w:hAnsi="Times New Roman" w:eastAsia="宋体" w:cs="Times New Roman"/>
      <w:sz w:val="18"/>
      <w:szCs w:val="18"/>
      <w:lang w:val="zh-CN"/>
    </w:rPr>
  </w:style>
  <w:style w:type="paragraph" w:styleId="40">
    <w:name w:val="Body Text Indent 3"/>
    <w:basedOn w:val="1"/>
    <w:link w:val="77"/>
    <w:qFormat/>
    <w:uiPriority w:val="0"/>
    <w:pPr>
      <w:spacing w:line="180" w:lineRule="atLeast"/>
      <w:ind w:firstLine="538" w:firstLineChars="192"/>
    </w:pPr>
    <w:rPr>
      <w:rFonts w:ascii="楷体_GB2312" w:hAnsi="Times New Roman" w:eastAsia="楷体_GB2312" w:cs="Times New Roman"/>
      <w:sz w:val="28"/>
      <w:szCs w:val="20"/>
    </w:rPr>
  </w:style>
  <w:style w:type="paragraph" w:styleId="41">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2">
    <w:name w:val="Body Text 2"/>
    <w:basedOn w:val="1"/>
    <w:link w:val="78"/>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4">
    <w:name w:val="Title"/>
    <w:basedOn w:val="1"/>
    <w:next w:val="1"/>
    <w:link w:val="176"/>
    <w:qFormat/>
    <w:uiPriority w:val="0"/>
    <w:pPr>
      <w:spacing w:before="240" w:after="60"/>
      <w:jc w:val="center"/>
      <w:outlineLvl w:val="0"/>
    </w:pPr>
    <w:rPr>
      <w:rFonts w:eastAsia="宋体" w:asciiTheme="majorHAnsi" w:hAnsiTheme="majorHAnsi" w:cstheme="majorBidi"/>
      <w:b/>
      <w:bCs/>
      <w:sz w:val="32"/>
      <w:szCs w:val="32"/>
    </w:rPr>
  </w:style>
  <w:style w:type="paragraph" w:styleId="45">
    <w:name w:val="annotation subject"/>
    <w:basedOn w:val="15"/>
    <w:next w:val="15"/>
    <w:link w:val="80"/>
    <w:unhideWhenUsed/>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basedOn w:val="48"/>
    <w:semiHidden/>
    <w:unhideWhenUsed/>
    <w:qFormat/>
    <w:uiPriority w:val="99"/>
    <w:rPr>
      <w:vertAlign w:val="superscript"/>
    </w:rPr>
  </w:style>
  <w:style w:type="character" w:styleId="51">
    <w:name w:val="page number"/>
    <w:qFormat/>
    <w:uiPriority w:val="0"/>
    <w:rPr>
      <w:rFonts w:eastAsia="宋体"/>
      <w:kern w:val="2"/>
      <w:sz w:val="24"/>
      <w:szCs w:val="24"/>
      <w:lang w:val="en-US" w:eastAsia="zh-CN" w:bidi="ar-SA"/>
    </w:rPr>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basedOn w:val="48"/>
    <w:qFormat/>
    <w:uiPriority w:val="20"/>
    <w:rPr>
      <w:i/>
      <w:iCs/>
    </w:rPr>
  </w:style>
  <w:style w:type="character" w:styleId="54">
    <w:name w:val="Hyperlink"/>
    <w:qFormat/>
    <w:uiPriority w:val="0"/>
    <w:rPr>
      <w:rFonts w:eastAsia="宋体"/>
      <w:color w:val="0000FF"/>
      <w:kern w:val="2"/>
      <w:sz w:val="24"/>
      <w:szCs w:val="24"/>
      <w:u w:val="single"/>
      <w:lang w:val="en-US" w:eastAsia="zh-CN" w:bidi="ar-SA"/>
    </w:rPr>
  </w:style>
  <w:style w:type="character" w:styleId="55">
    <w:name w:val="annotation reference"/>
    <w:basedOn w:val="48"/>
    <w:unhideWhenUsed/>
    <w:qFormat/>
    <w:uiPriority w:val="99"/>
    <w:rPr>
      <w:sz w:val="21"/>
      <w:szCs w:val="21"/>
    </w:rPr>
  </w:style>
  <w:style w:type="character" w:styleId="56">
    <w:name w:val="footnote reference"/>
    <w:qFormat/>
    <w:uiPriority w:val="0"/>
    <w:rPr>
      <w:rFonts w:eastAsia="宋体"/>
      <w:kern w:val="2"/>
      <w:sz w:val="24"/>
      <w:szCs w:val="24"/>
      <w:vertAlign w:val="superscript"/>
      <w:lang w:val="en-US" w:eastAsia="zh-CN" w:bidi="ar-SA"/>
    </w:rPr>
  </w:style>
  <w:style w:type="character" w:customStyle="1" w:styleId="57">
    <w:name w:val="页眉 Char"/>
    <w:basedOn w:val="48"/>
    <w:link w:val="34"/>
    <w:qFormat/>
    <w:uiPriority w:val="0"/>
    <w:rPr>
      <w:sz w:val="18"/>
      <w:szCs w:val="18"/>
    </w:rPr>
  </w:style>
  <w:style w:type="character" w:customStyle="1" w:styleId="58">
    <w:name w:val="页脚 Char"/>
    <w:basedOn w:val="48"/>
    <w:link w:val="32"/>
    <w:qFormat/>
    <w:uiPriority w:val="99"/>
    <w:rPr>
      <w:sz w:val="18"/>
      <w:szCs w:val="18"/>
    </w:rPr>
  </w:style>
  <w:style w:type="character" w:customStyle="1" w:styleId="59">
    <w:name w:val="标题 1 Char"/>
    <w:basedOn w:val="48"/>
    <w:link w:val="2"/>
    <w:qFormat/>
    <w:uiPriority w:val="0"/>
    <w:rPr>
      <w:rFonts w:ascii="Calibri" w:hAnsi="Calibri" w:eastAsia="宋体" w:cs="Times New Roman"/>
      <w:b/>
      <w:bCs/>
      <w:kern w:val="44"/>
      <w:sz w:val="44"/>
      <w:szCs w:val="44"/>
      <w:lang w:val="zh-CN"/>
    </w:rPr>
  </w:style>
  <w:style w:type="paragraph" w:customStyle="1" w:styleId="60">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1">
    <w:name w:val="标题 3 Char"/>
    <w:basedOn w:val="48"/>
    <w:qFormat/>
    <w:uiPriority w:val="0"/>
    <w:rPr>
      <w:b/>
      <w:bCs/>
      <w:sz w:val="32"/>
      <w:szCs w:val="32"/>
    </w:rPr>
  </w:style>
  <w:style w:type="character" w:customStyle="1" w:styleId="62">
    <w:name w:val="标题 4 Char"/>
    <w:basedOn w:val="48"/>
    <w:link w:val="5"/>
    <w:qFormat/>
    <w:uiPriority w:val="0"/>
    <w:rPr>
      <w:rFonts w:ascii="Arial" w:hAnsi="Arial" w:eastAsia="黑体" w:cs="Times New Roman"/>
      <w:b/>
      <w:bCs/>
      <w:sz w:val="28"/>
      <w:szCs w:val="28"/>
      <w:lang w:val="zh-CN"/>
    </w:rPr>
  </w:style>
  <w:style w:type="character" w:customStyle="1" w:styleId="63">
    <w:name w:val="注释标题 Char"/>
    <w:basedOn w:val="48"/>
    <w:link w:val="8"/>
    <w:qFormat/>
    <w:uiPriority w:val="0"/>
    <w:rPr>
      <w:rFonts w:ascii="Times New Roman" w:hAnsi="Times New Roman" w:eastAsia="宋体" w:cs="Times New Roman"/>
      <w:szCs w:val="21"/>
      <w:lang w:val="zh-CN"/>
    </w:rPr>
  </w:style>
  <w:style w:type="character" w:customStyle="1" w:styleId="64">
    <w:name w:val="文档结构图 Char"/>
    <w:basedOn w:val="48"/>
    <w:link w:val="13"/>
    <w:qFormat/>
    <w:uiPriority w:val="0"/>
    <w:rPr>
      <w:rFonts w:ascii="宋体" w:hAnsi="Times New Roman" w:eastAsia="宋体" w:cs="Times New Roman"/>
      <w:sz w:val="18"/>
      <w:szCs w:val="18"/>
      <w:lang w:val="zh-CN"/>
    </w:rPr>
  </w:style>
  <w:style w:type="character" w:customStyle="1" w:styleId="65">
    <w:name w:val="批注文字 Char"/>
    <w:basedOn w:val="48"/>
    <w:link w:val="15"/>
    <w:qFormat/>
    <w:uiPriority w:val="0"/>
    <w:rPr>
      <w:rFonts w:ascii="Calibri" w:hAnsi="Calibri" w:eastAsia="宋体" w:cs="Times New Roman"/>
    </w:rPr>
  </w:style>
  <w:style w:type="character" w:customStyle="1" w:styleId="66">
    <w:name w:val="称呼 Char"/>
    <w:basedOn w:val="48"/>
    <w:link w:val="16"/>
    <w:qFormat/>
    <w:uiPriority w:val="0"/>
    <w:rPr>
      <w:rFonts w:ascii="Times New Roman" w:hAnsi="Times New Roman" w:eastAsia="宋体" w:cs="Times New Roman"/>
      <w:szCs w:val="21"/>
      <w:lang w:val="zh-CN"/>
    </w:rPr>
  </w:style>
  <w:style w:type="character" w:customStyle="1" w:styleId="67">
    <w:name w:val="正文文本 3 Char"/>
    <w:basedOn w:val="48"/>
    <w:link w:val="17"/>
    <w:qFormat/>
    <w:uiPriority w:val="0"/>
    <w:rPr>
      <w:rFonts w:ascii="楷体_GB2312" w:hAnsi="Times New Roman" w:eastAsia="楷体_GB2312" w:cs="Times New Roman"/>
      <w:color w:val="000000"/>
      <w:sz w:val="24"/>
    </w:rPr>
  </w:style>
  <w:style w:type="character" w:customStyle="1" w:styleId="68">
    <w:name w:val="正文文本 Char"/>
    <w:basedOn w:val="48"/>
    <w:link w:val="19"/>
    <w:qFormat/>
    <w:uiPriority w:val="0"/>
    <w:rPr>
      <w:rFonts w:ascii="Times New Roman" w:hAnsi="Times New Roman" w:eastAsia="宋体" w:cs="Times New Roman"/>
      <w:szCs w:val="21"/>
      <w:lang w:val="zh-CN"/>
    </w:rPr>
  </w:style>
  <w:style w:type="character" w:customStyle="1" w:styleId="69">
    <w:name w:val="正文文本缩进 Char"/>
    <w:basedOn w:val="48"/>
    <w:link w:val="20"/>
    <w:qFormat/>
    <w:uiPriority w:val="0"/>
    <w:rPr>
      <w:rFonts w:ascii="仿宋_GB2312" w:hAnsi="MS Sans Serif" w:eastAsia="仿宋_GB2312" w:cs="Times New Roman"/>
      <w:kern w:val="0"/>
      <w:sz w:val="28"/>
      <w:szCs w:val="20"/>
    </w:rPr>
  </w:style>
  <w:style w:type="character" w:customStyle="1" w:styleId="70">
    <w:name w:val="纯文本 Char"/>
    <w:basedOn w:val="48"/>
    <w:link w:val="25"/>
    <w:qFormat/>
    <w:uiPriority w:val="0"/>
    <w:rPr>
      <w:rFonts w:ascii="宋体" w:hAnsi="Courier New" w:eastAsia="宋体" w:cs="Times New Roman"/>
      <w:szCs w:val="21"/>
      <w:lang w:val="zh-CN"/>
    </w:rPr>
  </w:style>
  <w:style w:type="character" w:customStyle="1" w:styleId="71">
    <w:name w:val="日期 Char"/>
    <w:basedOn w:val="48"/>
    <w:link w:val="28"/>
    <w:qFormat/>
    <w:uiPriority w:val="0"/>
    <w:rPr>
      <w:rFonts w:ascii="楷体_GB2312" w:hAnsi="Times New Roman" w:eastAsia="楷体_GB2312" w:cs="Times New Roman"/>
      <w:sz w:val="28"/>
      <w:szCs w:val="24"/>
      <w:lang w:val="zh-CN"/>
    </w:rPr>
  </w:style>
  <w:style w:type="character" w:customStyle="1" w:styleId="72">
    <w:name w:val="正文文本缩进 2 Char"/>
    <w:basedOn w:val="48"/>
    <w:link w:val="29"/>
    <w:qFormat/>
    <w:uiPriority w:val="0"/>
    <w:rPr>
      <w:rFonts w:ascii="仿宋_GB2312" w:hAnsi="Times New Roman" w:eastAsia="仿宋_GB2312" w:cs="Times New Roman"/>
      <w:kern w:val="0"/>
      <w:sz w:val="24"/>
      <w:szCs w:val="20"/>
    </w:rPr>
  </w:style>
  <w:style w:type="character" w:customStyle="1" w:styleId="73">
    <w:name w:val="尾注文本 Char"/>
    <w:basedOn w:val="48"/>
    <w:link w:val="30"/>
    <w:semiHidden/>
    <w:qFormat/>
    <w:uiPriority w:val="99"/>
    <w:rPr>
      <w:rFonts w:ascii="Calibri" w:hAnsi="Calibri" w:eastAsia="宋体" w:cs="Times New Roman"/>
    </w:rPr>
  </w:style>
  <w:style w:type="character" w:customStyle="1" w:styleId="74">
    <w:name w:val="批注框文本 Char"/>
    <w:basedOn w:val="48"/>
    <w:link w:val="31"/>
    <w:qFormat/>
    <w:uiPriority w:val="0"/>
    <w:rPr>
      <w:rFonts w:ascii="Calibri" w:hAnsi="Calibri" w:eastAsia="宋体" w:cs="Times New Roman"/>
      <w:sz w:val="18"/>
      <w:szCs w:val="18"/>
    </w:rPr>
  </w:style>
  <w:style w:type="paragraph" w:customStyle="1" w:styleId="75">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6">
    <w:name w:val="脚注文本 Char"/>
    <w:basedOn w:val="48"/>
    <w:link w:val="39"/>
    <w:qFormat/>
    <w:uiPriority w:val="0"/>
    <w:rPr>
      <w:rFonts w:ascii="Times New Roman" w:hAnsi="Times New Roman" w:eastAsia="宋体" w:cs="Times New Roman"/>
      <w:sz w:val="18"/>
      <w:szCs w:val="18"/>
      <w:lang w:val="zh-CN"/>
    </w:rPr>
  </w:style>
  <w:style w:type="character" w:customStyle="1" w:styleId="77">
    <w:name w:val="正文文本缩进 3 Char"/>
    <w:basedOn w:val="48"/>
    <w:link w:val="40"/>
    <w:qFormat/>
    <w:uiPriority w:val="0"/>
    <w:rPr>
      <w:rFonts w:ascii="楷体_GB2312" w:hAnsi="Times New Roman" w:eastAsia="楷体_GB2312" w:cs="Times New Roman"/>
      <w:sz w:val="28"/>
      <w:szCs w:val="20"/>
    </w:rPr>
  </w:style>
  <w:style w:type="character" w:customStyle="1" w:styleId="78">
    <w:name w:val="正文文本 2 Char"/>
    <w:basedOn w:val="48"/>
    <w:link w:val="42"/>
    <w:qFormat/>
    <w:uiPriority w:val="0"/>
    <w:rPr>
      <w:rFonts w:ascii="楷体_GB2312" w:hAnsi="Times New Roman" w:eastAsia="楷体_GB2312" w:cs="Times New Roman"/>
      <w:sz w:val="28"/>
      <w:szCs w:val="20"/>
    </w:rPr>
  </w:style>
  <w:style w:type="paragraph" w:customStyle="1" w:styleId="79">
    <w:name w:val="标题1"/>
    <w:basedOn w:val="1"/>
    <w:next w:val="44"/>
    <w:link w:val="95"/>
    <w:qFormat/>
    <w:uiPriority w:val="0"/>
    <w:pPr>
      <w:spacing w:before="240" w:after="60"/>
      <w:jc w:val="center"/>
      <w:outlineLvl w:val="0"/>
    </w:pPr>
    <w:rPr>
      <w:rFonts w:ascii="Arial" w:hAnsi="Arial" w:cs="Arial"/>
      <w:b/>
      <w:bCs/>
      <w:sz w:val="32"/>
      <w:szCs w:val="32"/>
    </w:rPr>
  </w:style>
  <w:style w:type="character" w:customStyle="1" w:styleId="80">
    <w:name w:val="批注主题 Char"/>
    <w:basedOn w:val="65"/>
    <w:link w:val="45"/>
    <w:qFormat/>
    <w:uiPriority w:val="0"/>
    <w:rPr>
      <w:rFonts w:ascii="Calibri" w:hAnsi="Calibri" w:eastAsia="宋体" w:cs="Times New Roman"/>
      <w:b/>
      <w:bCs/>
    </w:rPr>
  </w:style>
  <w:style w:type="paragraph" w:customStyle="1" w:styleId="8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2">
    <w:name w:val="List Paragraph"/>
    <w:basedOn w:val="1"/>
    <w:qFormat/>
    <w:uiPriority w:val="34"/>
    <w:pPr>
      <w:ind w:firstLine="420" w:firstLineChars="200"/>
    </w:pPr>
    <w:rPr>
      <w:rFonts w:ascii="Calibri" w:hAnsi="Calibri" w:eastAsia="宋体" w:cs="Times New Roman"/>
    </w:rPr>
  </w:style>
  <w:style w:type="character" w:customStyle="1" w:styleId="83">
    <w:name w:val="标题 2 Char"/>
    <w:basedOn w:val="48"/>
    <w:link w:val="3"/>
    <w:qFormat/>
    <w:uiPriority w:val="0"/>
    <w:rPr>
      <w:rFonts w:ascii="Calibri Light" w:hAnsi="Calibri Light" w:eastAsia="宋体" w:cs="Times New Roman"/>
      <w:b/>
      <w:bCs/>
      <w:sz w:val="32"/>
      <w:szCs w:val="32"/>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3 Char1"/>
    <w:link w:val="4"/>
    <w:qFormat/>
    <w:uiPriority w:val="0"/>
    <w:rPr>
      <w:rFonts w:ascii="Times New Roman" w:hAnsi="Times New Roman" w:eastAsia="宋体" w:cs="Times New Roman"/>
      <w:b/>
      <w:bCs/>
      <w:sz w:val="32"/>
      <w:szCs w:val="32"/>
      <w:lang w:val="zh-CN"/>
    </w:rPr>
  </w:style>
  <w:style w:type="paragraph" w:customStyle="1" w:styleId="86">
    <w:name w:val="修订1"/>
    <w:hidden/>
    <w:qFormat/>
    <w:uiPriority w:val="99"/>
    <w:rPr>
      <w:rFonts w:ascii="Calibri" w:hAnsi="Calibri" w:eastAsia="宋体" w:cs="Times New Roman"/>
      <w:kern w:val="2"/>
      <w:sz w:val="21"/>
      <w:szCs w:val="22"/>
      <w:lang w:val="en-US" w:eastAsia="zh-CN" w:bidi="ar-SA"/>
    </w:rPr>
  </w:style>
  <w:style w:type="table" w:customStyle="1" w:styleId="87">
    <w:name w:val="无格式表格 21"/>
    <w:basedOn w:val="46"/>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8">
    <w:name w:val="无格式表格 31"/>
    <w:basedOn w:val="46"/>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9">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9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1">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2">
    <w:name w:val="cap"/>
    <w:qFormat/>
    <w:uiPriority w:val="0"/>
    <w:rPr>
      <w:rFonts w:eastAsia="宋体"/>
      <w:kern w:val="2"/>
      <w:sz w:val="24"/>
      <w:szCs w:val="24"/>
      <w:lang w:val="en-US" w:eastAsia="zh-CN" w:bidi="ar-SA"/>
    </w:rPr>
  </w:style>
  <w:style w:type="character" w:customStyle="1" w:styleId="93">
    <w:name w:val="notnullcss1"/>
    <w:qFormat/>
    <w:uiPriority w:val="0"/>
    <w:rPr>
      <w:rFonts w:eastAsia="宋体"/>
      <w:color w:val="FF0000"/>
      <w:kern w:val="2"/>
      <w:sz w:val="24"/>
      <w:szCs w:val="24"/>
      <w:lang w:val="en-US" w:eastAsia="zh-CN" w:bidi="ar-SA"/>
    </w:rPr>
  </w:style>
  <w:style w:type="paragraph" w:customStyle="1" w:styleId="94">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5">
    <w:name w:val="标题 Char"/>
    <w:link w:val="79"/>
    <w:qFormat/>
    <w:locked/>
    <w:uiPriority w:val="0"/>
    <w:rPr>
      <w:rFonts w:ascii="Arial" w:hAnsi="Arial" w:cs="Arial"/>
      <w:b/>
      <w:bCs/>
      <w:sz w:val="32"/>
      <w:szCs w:val="32"/>
    </w:rPr>
  </w:style>
  <w:style w:type="character" w:customStyle="1" w:styleId="96">
    <w:name w:val="标题 Char1"/>
    <w:basedOn w:val="48"/>
    <w:qFormat/>
    <w:uiPriority w:val="0"/>
    <w:rPr>
      <w:rFonts w:ascii="Calibri Light" w:hAnsi="Calibri Light" w:eastAsia="宋体" w:cs="Times New Roman"/>
      <w:b/>
      <w:bCs/>
      <w:sz w:val="32"/>
      <w:szCs w:val="32"/>
    </w:rPr>
  </w:style>
  <w:style w:type="paragraph" w:customStyle="1" w:styleId="97">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8">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9">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100">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1">
    <w:name w:val="span_"/>
    <w:qFormat/>
    <w:uiPriority w:val="0"/>
    <w:rPr>
      <w:rFonts w:eastAsia="宋体"/>
      <w:kern w:val="2"/>
      <w:sz w:val="24"/>
      <w:szCs w:val="24"/>
      <w:lang w:val="en-US" w:eastAsia="zh-CN" w:bidi="ar-SA"/>
    </w:rPr>
  </w:style>
  <w:style w:type="paragraph" w:customStyle="1" w:styleId="102">
    <w:name w:val="Char"/>
    <w:basedOn w:val="1"/>
    <w:qFormat/>
    <w:uiPriority w:val="0"/>
    <w:pPr>
      <w:ind w:left="765" w:hanging="360"/>
    </w:pPr>
    <w:rPr>
      <w:rFonts w:ascii="Times New Roman" w:hAnsi="Times New Roman" w:eastAsia="宋体" w:cs="Times New Roman"/>
      <w:sz w:val="24"/>
      <w:szCs w:val="24"/>
    </w:rPr>
  </w:style>
  <w:style w:type="paragraph" w:customStyle="1" w:styleId="10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4">
    <w:name w:val="标题 3 Char Char"/>
    <w:qFormat/>
    <w:uiPriority w:val="0"/>
    <w:rPr>
      <w:b/>
      <w:bCs/>
      <w:kern w:val="2"/>
      <w:sz w:val="32"/>
      <w:szCs w:val="32"/>
    </w:rPr>
  </w:style>
  <w:style w:type="paragraph" w:customStyle="1" w:styleId="10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6">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0">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1">
    <w:name w:val="font14 line-height"/>
    <w:basedOn w:val="48"/>
    <w:qFormat/>
    <w:uiPriority w:val="0"/>
  </w:style>
  <w:style w:type="character" w:customStyle="1" w:styleId="112">
    <w:name w:val="msoins"/>
    <w:basedOn w:val="48"/>
    <w:qFormat/>
    <w:uiPriority w:val="0"/>
  </w:style>
  <w:style w:type="paragraph" w:customStyle="1" w:styleId="113">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5">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7">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8">
    <w:name w:val="Char Char4"/>
    <w:qFormat/>
    <w:uiPriority w:val="0"/>
    <w:rPr>
      <w:b/>
      <w:bCs/>
      <w:sz w:val="32"/>
      <w:szCs w:val="32"/>
    </w:rPr>
  </w:style>
  <w:style w:type="paragraph" w:customStyle="1" w:styleId="119">
    <w:name w:val="默认段落字体 Para Char Char Char Char Char Char Char"/>
    <w:basedOn w:val="1"/>
    <w:qFormat/>
    <w:uiPriority w:val="0"/>
    <w:rPr>
      <w:rFonts w:ascii="Tahoma" w:hAnsi="Tahoma" w:eastAsia="宋体" w:cs="Times New Roman"/>
      <w:sz w:val="24"/>
      <w:szCs w:val="20"/>
    </w:rPr>
  </w:style>
  <w:style w:type="character" w:customStyle="1" w:styleId="120">
    <w:name w:val="Body Text Char"/>
    <w:link w:val="121"/>
    <w:qFormat/>
    <w:uiPriority w:val="0"/>
    <w:rPr>
      <w:rFonts w:ascii="Georgia"/>
    </w:rPr>
  </w:style>
  <w:style w:type="paragraph" w:customStyle="1" w:styleId="121">
    <w:name w:val="Body Text1"/>
    <w:basedOn w:val="1"/>
    <w:link w:val="120"/>
    <w:qFormat/>
    <w:uiPriority w:val="0"/>
    <w:rPr>
      <w:rFonts w:ascii="Georgia"/>
    </w:rPr>
  </w:style>
  <w:style w:type="paragraph" w:customStyle="1" w:styleId="122">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3">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4">
    <w:name w:val="Char Char42"/>
    <w:qFormat/>
    <w:uiPriority w:val="0"/>
    <w:rPr>
      <w:b/>
      <w:bCs/>
      <w:sz w:val="32"/>
      <w:szCs w:val="32"/>
    </w:rPr>
  </w:style>
  <w:style w:type="paragraph" w:customStyle="1" w:styleId="125">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6">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7">
    <w:name w:val="Char Char41"/>
    <w:qFormat/>
    <w:uiPriority w:val="0"/>
    <w:rPr>
      <w:b/>
      <w:bCs/>
      <w:sz w:val="32"/>
      <w:szCs w:val="32"/>
    </w:rPr>
  </w:style>
  <w:style w:type="character" w:customStyle="1" w:styleId="128">
    <w:name w:val="副标题 Char"/>
    <w:basedOn w:val="48"/>
    <w:link w:val="36"/>
    <w:qFormat/>
    <w:uiPriority w:val="11"/>
    <w:rPr>
      <w:rFonts w:ascii="Calibri Light" w:hAnsi="Calibri Light" w:eastAsia="宋体" w:cs="Times New Roman"/>
      <w:b/>
      <w:bCs/>
      <w:kern w:val="28"/>
      <w:sz w:val="32"/>
      <w:szCs w:val="32"/>
    </w:rPr>
  </w:style>
  <w:style w:type="table" w:customStyle="1" w:styleId="129">
    <w:name w:val="网格型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5">
    <w:name w:val="网格型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fontstyle01"/>
    <w:basedOn w:val="48"/>
    <w:qFormat/>
    <w:uiPriority w:val="0"/>
    <w:rPr>
      <w:rFonts w:hint="default" w:ascii="CIDFont+F4" w:hAnsi="CIDFont+F4"/>
      <w:color w:val="000000"/>
      <w:sz w:val="28"/>
      <w:szCs w:val="28"/>
    </w:rPr>
  </w:style>
  <w:style w:type="character" w:customStyle="1" w:styleId="163">
    <w:name w:val="fontstyle21"/>
    <w:basedOn w:val="48"/>
    <w:qFormat/>
    <w:uiPriority w:val="0"/>
    <w:rPr>
      <w:rFonts w:hint="default" w:ascii="CIDFont+F1" w:hAnsi="CIDFont+F1"/>
      <w:color w:val="000000"/>
      <w:sz w:val="28"/>
      <w:szCs w:val="28"/>
    </w:rPr>
  </w:style>
  <w:style w:type="table" w:customStyle="1" w:styleId="164">
    <w:name w:val="网格型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72"/>
    <w:basedOn w:val="4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8">
    <w:name w:val="WPSOffice手动目录 1"/>
    <w:qFormat/>
    <w:uiPriority w:val="0"/>
    <w:rPr>
      <w:rFonts w:asciiTheme="minorHAnsi" w:hAnsiTheme="minorHAnsi" w:eastAsiaTheme="minorEastAsia" w:cstheme="minorBidi"/>
      <w:lang w:val="en-US" w:eastAsia="zh-CN" w:bidi="ar-SA"/>
    </w:rPr>
  </w:style>
  <w:style w:type="paragraph" w:customStyle="1" w:styleId="16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70">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1">
    <w:name w:val="网格型34"/>
    <w:basedOn w:val="46"/>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修订2"/>
    <w:hidden/>
    <w:semiHidden/>
    <w:qFormat/>
    <w:uiPriority w:val="99"/>
    <w:rPr>
      <w:rFonts w:ascii="Calibri" w:hAnsi="Calibri" w:eastAsia="宋体" w:cs="Times New Roman"/>
      <w:kern w:val="2"/>
      <w:sz w:val="21"/>
      <w:szCs w:val="22"/>
      <w:lang w:val="en-US" w:eastAsia="zh-CN" w:bidi="ar-SA"/>
    </w:rPr>
  </w:style>
  <w:style w:type="table" w:customStyle="1" w:styleId="173">
    <w:name w:val="网格型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35"/>
    <w:basedOn w:val="4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25"/>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6">
    <w:name w:val="标题 Char2"/>
    <w:basedOn w:val="48"/>
    <w:link w:val="44"/>
    <w:qFormat/>
    <w:uiPriority w:val="10"/>
    <w:rPr>
      <w:rFonts w:eastAsia="宋体" w:asciiTheme="majorHAnsi" w:hAnsiTheme="majorHAnsi" w:cstheme="majorBidi"/>
      <w:b/>
      <w:bCs/>
      <w:sz w:val="32"/>
      <w:szCs w:val="32"/>
    </w:rPr>
  </w:style>
  <w:style w:type="character" w:customStyle="1" w:styleId="177">
    <w:name w:val="标题 2 Char1"/>
    <w:basedOn w:val="48"/>
    <w:semiHidden/>
    <w:qFormat/>
    <w:uiPriority w:val="9"/>
    <w:rPr>
      <w:rFonts w:asciiTheme="majorHAnsi" w:hAnsiTheme="majorHAnsi" w:eastAsiaTheme="majorEastAsia" w:cstheme="majorBidi"/>
      <w:b/>
      <w:bCs/>
      <w:sz w:val="32"/>
      <w:szCs w:val="32"/>
    </w:rPr>
  </w:style>
  <w:style w:type="character" w:customStyle="1" w:styleId="178">
    <w:name w:val="副标题 Char1"/>
    <w:basedOn w:val="48"/>
    <w:qFormat/>
    <w:uiPriority w:val="11"/>
    <w:rPr>
      <w:rFonts w:eastAsia="宋体" w:asciiTheme="majorHAnsi" w:hAnsiTheme="majorHAnsi" w:cstheme="majorBidi"/>
      <w:b/>
      <w:bCs/>
      <w:kern w:val="28"/>
      <w:sz w:val="32"/>
      <w:szCs w:val="32"/>
    </w:rPr>
  </w:style>
  <w:style w:type="table" w:customStyle="1" w:styleId="179">
    <w:name w:val="网格型61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6"/>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27"/>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4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29"/>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5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6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18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8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9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0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13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10"/>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36"/>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4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5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19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7">
    <w:name w:val="标题 5 Char"/>
    <w:basedOn w:val="48"/>
    <w:link w:val="6"/>
    <w:qFormat/>
    <w:uiPriority w:val="9"/>
    <w:rPr>
      <w:rFonts w:ascii="Calibri" w:hAnsi="Calibri" w:eastAsia="宋体" w:cs="Times New Roman"/>
      <w:b/>
      <w:bCs/>
      <w:kern w:val="2"/>
      <w:sz w:val="28"/>
      <w:szCs w:val="28"/>
    </w:rPr>
  </w:style>
  <w:style w:type="table" w:customStyle="1" w:styleId="198">
    <w:name w:val="网格型37"/>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1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210"/>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38"/>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61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4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5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64"/>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7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8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9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0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1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12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13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14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15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16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17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18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9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9">
    <w:name w:val="fontstyle11"/>
    <w:basedOn w:val="48"/>
    <w:qFormat/>
    <w:uiPriority w:val="0"/>
    <w:rPr>
      <w:rFonts w:hint="eastAsia" w:ascii="宋体" w:hAnsi="宋体" w:eastAsia="宋体"/>
      <w:color w:val="000000"/>
      <w:sz w:val="22"/>
      <w:szCs w:val="22"/>
    </w:rPr>
  </w:style>
  <w:style w:type="table" w:customStyle="1" w:styleId="220">
    <w:name w:val="网格型2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3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22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23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32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61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4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5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网格型62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7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网格型8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网格型9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10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11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191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20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网格型241"/>
    <w:basedOn w:val="4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网格型371"/>
    <w:basedOn w:val="46"/>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5260</Words>
  <Characters>29985</Characters>
  <Lines>249</Lines>
  <Paragraphs>70</Paragraphs>
  <TotalTime>32</TotalTime>
  <ScaleCrop>false</ScaleCrop>
  <LinksUpToDate>false</LinksUpToDate>
  <CharactersWithSpaces>35175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2023-09-27T09:46:00Z</dcterms:created>
  <dc:creator>黄伊晨hyc </dc:creator>
  <cp:lastModifiedBy>cuiyq</cp:lastModifiedBy>
  <dcterms:modified xsi:type="dcterms:W3CDTF">2024-12-24T15:20:11Z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931FA95651B74C2FA7D2D552F78E22D2_12</vt:lpwstr>
  </property>
</Properties>
</file>