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6614160" cy="1162050"/>
                        </a:xfrm>
                        <a:prstGeom prst="rect">
                          <a:avLst/>
                        </a:prstGeom>
                        <a:solidFill>
                          <a:srgbClr val="FFFFFF"/>
                        </a:solidFill>
                        <a:ln w="9525">
                          <a:solidFill>
                            <a:srgbClr val="FFFFFF"/>
                          </a:solidFill>
                          <a:miter lim="800000"/>
                        </a:ln>
                      </wps:spPr>
                      <wps:txb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创新</w:t>
                            </w:r>
                            <w:r>
                              <w:rPr>
                                <w:rFonts w:ascii="Times New Roman" w:hAnsi="Times New Roman" w:eastAsia="方正大标宋简体"/>
                                <w:color w:val="000000"/>
                                <w:sz w:val="42"/>
                                <w:szCs w:val="42"/>
                              </w:rPr>
                              <w:t>层挂牌公司年度报告内容与格式模板（</w:t>
                            </w:r>
                            <w:r>
                              <w:rPr>
                                <w:rFonts w:hint="eastAsia" w:ascii="Times New Roman" w:hAnsi="Times New Roman" w:eastAsia="方正大标宋简体"/>
                                <w:color w:val="000000"/>
                                <w:sz w:val="42"/>
                                <w:szCs w:val="42"/>
                              </w:rPr>
                              <w:t>工商企业</w:t>
                            </w:r>
                            <w:r>
                              <w:rPr>
                                <w:rFonts w:ascii="Times New Roman" w:hAnsi="Times New Roman" w:eastAsia="方正大标宋简体"/>
                                <w:color w:val="000000"/>
                                <w:sz w:val="42"/>
                                <w:szCs w:val="4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45pt;margin-top:-51.6pt;height:91.5pt;width:520.8pt;z-index:251667456;mso-width-relative:page;mso-height-relative:page;" fillcolor="#FFFFFF" filled="t" stroked="t" coordsize="21600,21600" o:gfxdata="UEsFBgAAAAAAAAAAAAAAAAAAAAAAAFBLAwQKAAAAAACHTuJAAAAAAAAAAAAAAAAABAAAAGRycy9Q&#10;SwMEFAAAAAgAh07iQGTDwAnZAAAACwEAAA8AAABkcnMvZG93bnJldi54bWxNj8FOwzAMhu9IvENk&#10;JC5oS1qkrS1NJzSBOG9w4ZY1XlvROG2TrRtPjznBzZY//f7+cnNxvTjjFDpPGpKlAoFUe9tRo+Hj&#10;/XWRgQjRkDW9J9RwxQCb6vamNIX1M+3wvI+N4BAKhdHQxjgUUoa6RWfC0g9IfDv6yZnI69RIO5mZ&#10;w10vU6VW0pmO+ENrBty2WH/tT06Dn1+uzuOo0ofPb/e2fR53x3TU+v4uUU8gIl7iHwy/+qwOFTsd&#10;/IlsEL2GxUrljPKQqMcUBCN5ptYgDhrWeQayKuX/DtUPUEsDBBQAAAAIAIdO4kCD+kxJMAIAAEsE&#10;AAAOAAAAZHJzL2Uyb0RvYy54bWytVM2O0zAQviPxDpbvNE1py27UdLV0VYS0/EgLD+A6TmPheMzY&#10;bbI8ALwBJy7cea4+B2OnWyq4IEQOlscz/mbm+8ZZXPWtYXuFXoMteT4ac6ashErbbcnfv1s/ueDM&#10;B2ErYcCqkt8rz6+Wjx8tOleoCTRgKoWMQKwvOlfyJgRXZJmXjWqFH4FTlpw1YCsCmbjNKhQdobcm&#10;m4zH86wDrByCVN7T6c3g5MuEX9dKhjd17VVgpuRUW0grpnUT12y5EMUWhWu0PJYh/qGKVmhLSU9Q&#10;NyIItkP9B1SrJYKHOowktBnUtZYq9UDd5OPfurlrhFOpFyLHuxNN/v/Bytf7t8h0VfKnc5LKipZE&#10;Onz9cvj24/D9M4uHRFHnfEGRd45iQ/8c+pIH3MXSROHdLcgPnllYNcJu1TUidI0SFVWZguh+dgYw&#10;oPkIteleQUX5xC5AwuprbCMm8cIoBwl2fxJJ9YFJOpzP82k+J5ckX57PJ+NZkjETxcN1hz68UNCy&#10;uCk50hQkeLG/9SGWI4qHkNQBGF2ttTHJwO1mZZDtBU3MOn2RAbriz8OMZV3JL2eT2UDCuc//HUSr&#10;A42+0W3JL8bxO+Yx9khY5GhgK/Sb/ijDBqp7og5hGGV6erRpAD9x1tEYl9x/3AlUnJmXlhS4zKfT&#10;OPfJmM6eTcjAc8/m3COsJCjSjbNhuwpk1cJ4Atw51NuGsp2kt3BNytU6cRolHoo7lk8Tm3g7vq74&#10;JM7tFPXrH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GTDwAnZAAAACwEAAA8AAAAAAAAAAQAg&#10;AAAAOAAAAGRycy9kb3ducmV2LnhtbFBLAQIUABQAAAAIAIdO4kCD+kxJMAIAAEsEAAAOAAAAAAAA&#10;AAEAIAAAAD4BAABkcnMvZTJvRG9jLnhtbFBLBQYAAAAABgAGAFkBAADgBQAAAAA=&#10;">
                <v:fill on="t" focussize="0,0"/>
                <v:stroke color="#FFFFFF" miterlimit="8" joinstyle="miter"/>
                <v:imagedata o:title=""/>
                <o:lock v:ext="edit" aspectratio="f"/>
                <v:textbo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创新</w:t>
                      </w:r>
                      <w:r>
                        <w:rPr>
                          <w:rFonts w:ascii="Times New Roman" w:hAnsi="Times New Roman" w:eastAsia="方正大标宋简体"/>
                          <w:color w:val="000000"/>
                          <w:sz w:val="42"/>
                          <w:szCs w:val="42"/>
                        </w:rPr>
                        <w:t>层挂牌公司年度报告内容与格式模板（</w:t>
                      </w:r>
                      <w:r>
                        <w:rPr>
                          <w:rFonts w:hint="eastAsia" w:ascii="Times New Roman" w:hAnsi="Times New Roman" w:eastAsia="方正大标宋简体"/>
                          <w:color w:val="000000"/>
                          <w:sz w:val="42"/>
                          <w:szCs w:val="42"/>
                        </w:rPr>
                        <w:t>工商企业</w:t>
                      </w:r>
                      <w:r>
                        <w:rPr>
                          <w:rFonts w:ascii="Times New Roman" w:hAnsi="Times New Roman" w:eastAsia="方正大标宋简体"/>
                          <w:color w:val="000000"/>
                          <w:sz w:val="42"/>
                          <w:szCs w:val="42"/>
                        </w:rPr>
                        <w:t>）</w:t>
                      </w:r>
                    </w:p>
                  </w:txbxContent>
                </v:textbox>
              </v:shape>
            </w:pict>
          </mc:Fallback>
        </mc:AlternateConten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1pt;margin-top:28pt;height:107.15pt;width:218.8pt;mso-position-horizontal-relative:margin;z-index:251659264;mso-width-relative:page;mso-height-relative:page;" fillcolor="#FFFFFF" filled="t" stroked="t" coordsize="21600,21600" o:gfxdata="UEsFBgAAAAAAAAAAAAAAAAAAAAAAAFBLAwQKAAAAAACHTuJAAAAAAAAAAAAAAAAABAAAAGRycy9Q&#10;SwMEFAAAAAgAh07iQH7i/cbYAAAACgEAAA8AAABkcnMvZG93bnJldi54bWxNj0FLxDAQhe+C/yGM&#10;4EV2k3a1ltp0D4IXFcFVFo/ZZmyLzaQk6Xb9944nPQ7zeO/76u3JjeKIIQ6eNGRrBQKp9XagTsP7&#10;28OqBBGTIWtGT6jhGyNsm/Oz2lTWL/SKx13qBJdQrIyGPqWpkjK2PToT135C4t+nD84kPkMnbTAL&#10;l7tR5koV0pmBeKE3E9732H7tZqcBx0dZuqvl44mCcct+Lufh5Vnry4tM3YFIeEp/YfjFZ3RomOng&#10;Z7JRjBo2xXXOUQ03BTtxoFQZuxw05LdqA7Kp5X+F5gd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uL9xt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w:rPr>
          <w:rFonts w:ascii="Calibri" w:hAnsi="Calibri" w:eastAsia="宋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25pt;margin-top:21.35pt;height:131.8pt;width:107.55pt;mso-position-horizontal-relative:margin;z-index:251660288;mso-width-relative:page;mso-height-relative:page;" fillcolor="#FFFFFF" filled="t" stroked="t" coordsize="21600,21600" o:gfxdata="UEsFBgAAAAAAAAAAAAAAAAAAAAAAAFBLAwQKAAAAAACHTuJAAAAAAAAAAAAAAAAABAAAAGRycy9Q&#10;SwMEFAAAAAgAh07iQI7tKiLYAAAACQEAAA8AAABkcnMvZG93bnJldi54bWxNj0FLxDAUhO+C/yE8&#10;wYu4yXa1LbWvexC8qAi7injMNs+22LyUJN2u/9540uMww8w39fZkR3EkHwbHCOuVAkHcOjNwh/D2&#10;+nBdgghRs9GjY0L4pgDb5vys1pVxC+/ouI+dSCUcKo3QxzhVUoa2J6vDyk3Eyft03uqYpO+k8XpJ&#10;5XaUmVK5tHrgtNDrie57ar/2s0Wg8VGW9mr5eGKv7fI+l/Pw8ox4ebFWdyAineJfGH7xEzo0ieng&#10;ZjZBjAh5dpuSCDdZASL5WVHkIA4IG5VvQDa1/P+g+QFQSwMEFAAAAAgAh07iQMaPoS5OAgAAgQQA&#10;AA4AAABkcnMvZTJvRG9jLnhtbK1US27bMBDdF+gdCO4b2bGtOELkIHGQokD6AdIegKYoiyh/HdKW&#10;0gM0N+iqm+57Lp+jQ0pxhWZXVAuC8+GbmTczurjstCJ7AV5aU9LpyYQSYbitpNmW9NPH21dLSnxg&#10;pmLKGlHSB+Hp5erli4vWFeLUNlZVAgiCGF+0rqRNCK7IMs8boZk/sU4YNNYWNAsowjargLWIrlV2&#10;OpnkWWuhcmC58B61N72RrhJ+XQse3te1F4GokmJuIZ2Qzk08s9UFK7bAXCP5kAb7hyw0kwaDHqFu&#10;WGBkB/IZlJYcrLd1OOFWZ7auJRepBqxmOvmrmvuGOZFqQXK8O9Lk/x8sf7f/AERWJZ3lOSWGaWzS&#10;4fvj4cevw89vJCqRotb5Aj3vHfqG7tp2JQ2wi6mxwrs7yz97Yuy6YWYrrgBs2whWYZbJCd9nI4Ae&#10;zUeoTfvWVhiP7YJNWF0NOmIiLwRjYMMejk0SXSAcldNZvlguF5RwtE3zs9kyT23MWPH03IEPr4XV&#10;JF5KCjgFCZ7t73yI6bDiySVVYJWsbqVSSYDtZq2A7BlOzG36IgP4xI/dlCFtSfPZYtKTMLb5McTi&#10;+vz6ZpGc1E5jvT3ydBK/fvxQj0Pa659KGTCeB9Yy4MIoqUu6PGJgdsoMNEdme45Dt+mG5m1s9YCE&#10;g+0XABcWL42Fr5S0OPwl9V92DAQl6o3Bvp1P5/O4LUmYL85OUYCxZTO2MMMRCrtNSX9dB5RqpjwC&#10;7hzIbYPRjgNj7BX2u5apE3Ew+uSG9HHOU9HDTsZFGsvJ68+f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u0qItgAAAAJAQAADwAAAAAAAAABACAAAAA4AAAAZHJzL2Rvd25yZXYueG1sUEsBAhQA&#10;FAAAAAgAh07iQMaPoS5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top:16.8pt;height:60pt;width:429.75pt;mso-position-horizontal:left;mso-position-horizontal-relative:margin;z-index:251661312;mso-width-relative:page;mso-height-relative:page;" fillcolor="#FFFFFF" filled="t" stroked="t" coordsize="21600,21600" o:gfxdata="UEsFBgAAAAAAAAAAAAAAAAAAAAAAAFBLAwQKAAAAAACHTuJAAAAAAAAAAAAAAAAABAAAAGRycy9Q&#10;SwMEFAAAAAgAh07iQBcGN43VAAAABwEAAA8AAABkcnMvZG93bnJldi54bWxNj0FLw0AQhe+C/2EZ&#10;wYvYTS0pacymB8GLimAV6XGaHZPg7mzIbpr67x1P9vjmPd77ptqevFNHGmMf2MBykYEiboLtuTXw&#10;8f54W4CKCdmiC0wGfijCtr68qLC0YeY3Ou5Sq6SEY4kGupSGUuvYdOQxLsJALN5XGD0mkWOr7Yiz&#10;lHun77JsrT32LAsdDvTQUfO9m7wBck+68Dfz/plH9PPnVEz964sx11fL7B5UolP6D8MfvqBDLUyH&#10;MLGNyhmQR5KB1WoNStwi3+SgDhLL5aLrSp/z179QSwMEFAAAAAgAh07iQGSH7rpNAgAAgAQAAA4A&#10;AABkcnMvZTJvRG9jLnhtbK1US27bMBDdF+gdCO5r2Y7tJELkIInhokD6AdIeYExRFlGSw5K0pfQA&#10;zQ266qb7nivn6IhyXKHZFdWC4HCGj2/ezOjisjWa7aUPCm3BJ6MxZ9IKLJXdFvzTx/WrM85CBFuC&#10;RisLfi8Dv1y+fHHRuFxOsUZdSs8IxIa8cQWvY3R5lgVRSwNhhE5aclboDUQy/TYrPTSEbnQ2HY8X&#10;WYO+dB6FDIFOV72TLxN+VUkR31dVkJHpghO3mFaf1k23ZssLyLceXK3EgQb8AwsDytKjR6gVRGA7&#10;r55BGSU8BqziSKDJsKqUkCkHymYy/iubuxqcTLmQOMEdZQr/D1a823/wTJUFP1nMObNgqEiP3x8e&#10;f/x6/PmNdYckUeNCTpF3jmJje41twaPfddQgD+4WxefALN7UYLfyyntsagklsUxBdD8bAPRooYPa&#10;NG+xpPdgFzFhtZU3HSbpwugNKtj9sUiyjUzQ4Xw2Pz2bEldBvtMFNUGqYgb5023nQ3wt0bBuU3BP&#10;TZDQYX8bYscG8qeQlABqVa6V1snw282N9mwP1DDr9HUC0JUwDNOWNQVfnMzHvQZDXxhCzK/Pr1fz&#10;FKR3htLtkSfEuucNOZ1Tj/bnT6kcMJ4/bFSkedHKFPzsiEHstD2o3AnbSxzbTXuo3QbLe9LbY9//&#10;NK+0qdF/5ayh3i94+LIDLznTbyyV7Xwym3XDkgySe0qGH3o2Qw9YQVBUbM767U0kqwIdCHDnvNrW&#10;9NqxXyxeUbkrlSrR9UVP7kCf2jwlfRjJbo6Gdor68+N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XBjeN1QAAAAcBAAAPAAAAAAAAAAEAIAAAADgAAABkcnMvZG93bnJldi54bWxQSwECFAAUAAAA&#10;CACHTuJAZIfuuk0CAACABAAADgAAAAAAAAABACAAAAA6AQAAZHJzL2Uyb0RvYy54bWxQSwUGAAAA&#10;AAYABgBZAQAA+QU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5pt;margin-top:15.55pt;height:207.65pt;width:493.95pt;z-index:251662336;mso-width-relative:page;mso-height-relative:page;" fillcolor="#FFFFFF" filled="t" stroked="t" coordsize="21600,21600" o:gfxdata="UEsFBgAAAAAAAAAAAAAAAAAAAAAAAFBLAwQKAAAAAACHTuJAAAAAAAAAAAAAAAAABAAAAGRycy9Q&#10;SwMEFAAAAAgAh07iQEV7UzfaAAAACgEAAA8AAABkcnMvZG93bnJldi54bWxNj8FOwzAQRO9I/IO1&#10;SFxQ66QJbQhxekDiAqgSBVUct/GSRNjrKHaa8veYExxX8zTzttqerREnGn3vWEG6TEAQN0733Cp4&#10;f3tcFCB8QNZoHJOCb/KwrS8vKiy1m/mVTvvQiljCvkQFXQhDKaVvOrLol24gjtmnGy2GeI6t1CPO&#10;sdwauUqStbTYc1zocKCHjpqv/WQVkHmShb2ZP555RDsfpmLqdy9KXV+lyT2IQOfwB8OvflSHOjod&#10;3cTaC6NgkWWbiCrI0hREBO5u8xWIo4I8X+cg60r+f6H+AVBLAwQUAAAACACHTuJAdYkV9k4CAACB&#10;BAAADgAAAGRycy9lMm9Eb2MueG1srVRLbtswEN0X6B0I7mvJ3yRC5CCJ4aJA+gHSHoCmKIsoyWFJ&#10;2pJ7gOYGXXXTfc+Vc3RIOa7Q7IpqQXA+fDPzZkaXV51WZC+cl2BKOh7llAjDoZJmW9JPH9evzinx&#10;gZmKKTCipAfh6dXy5YvL1hZiAg2oSjiCIMYXrS1pE4ItsszzRmjmR2CFQWMNTrOAottmlWMtomuV&#10;TfJ8kbXgKuuAC+9Ru+qNdJnw61rw8L6uvQhElRRzC+l06dzEM1tesmLrmG0kP6bB/iELzaTBoCeo&#10;FQuM7Jx8BqUld+ChDiMOOoO6llykGrCacf5XNfcNsyLVguR4e6LJ/z9Y/m7/wRFZlXS6mFFimMYm&#10;PX5/ePzx6/HnNxKVSFFrfYGe9xZ9Q3cDXUmD28XUWOHtHfDPnhi4bZjZimvnoG0EqzDL5ITvswFA&#10;j+Yj1KZ9CxXGY7sACaurnY6YyAvBGNiww6lJoguEo3IxOZtO8gtKONomi+ni/CzlmLHi6bl1PrwW&#10;oEm8lNThFCR4tr/zIabDiieXVAEoWa2lUklw282tcmTPcGLW6YsM4BM/dFOGtJjLdJ73JAxtfggx&#10;v7m4Wc2Tk9pprLdHHufx68cP9TikvT6pYrAe43lgLQMujJK6pOcnDHygzJHmyGzPceg23bF5G6gO&#10;SLiDfgFwYfHSgPtKSYvDX1L/ZcecoES9Mdi3i/FsFrclCbP52QQFN7RshhZmOEJhtynpr7cBpZop&#10;j4A76+S2wWingTFwjf2uZepEHIw+uWP6OOep6ONOxkUaysnrz5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Fe1M32gAAAAoBAAAPAAAAAAAAAAEAIAAAADgAAABkcnMvZG93bnJldi54bWxQSwEC&#10;FAAUAAAACACHTuJAdYkV9k4CAACBBAAADgAAAAAAAAABACAAAAA/AQAAZHJzL2Uyb0RvYy54bWxQ&#10;SwUGAAAAAAYABgBZAQAA/wU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55.75pt;margin-top:15.9pt;height:57.05pt;width:165pt;z-index:251663360;mso-width-relative:page;mso-height-relative:page;" fillcolor="#FFFFFF" filled="t" stroked="t" coordsize="21600,21600" o:gfxdata="UEsFBgAAAAAAAAAAAAAAAAAAAAAAAFBLAwQKAAAAAACHTuJAAAAAAAAAAAAAAAAABAAAAGRycy9Q&#10;SwMEFAAAAAgAh07iQLh+11DXAAAACgEAAA8AAABkcnMvZG93bnJldi54bWxNj8FKxDAQhu+C7xBG&#10;8CJuGt1KrU33IHhREVxFPGabsS0mk5Kk2/XtnT3pcWY+/vn+ZnPwTuwxpjGQBrUqQCB1wY7Ua3h/&#10;e7isQKRsyBoXCDX8YIJNe3rSmNqGhV5xv8294BBKtdEw5DzVUqZuQG/SKkxIfPsK0ZvMY+yljWbh&#10;cO/kVVHcSG9G4g+DmfB+wO57O3sN6B5l5S+WzyeKxi8fczWPL89an5+p4g5ExkP+g+Goz+rQstMu&#10;zGSTcBpKpUpGNVwrrsBAtT4udkyuy1uQbSP/V2h/AVBLAwQUAAAACACHTuJAKYfj5UwCAACABAAA&#10;DgAAAGRycy9lMm9Eb2MueG1srVRLbtswEN0X6B0I7mvJHzmJEDlIYrgokH6AtAegKcoiyl+HtKX0&#10;AM0Nuuqm+57L5+iIUly13RXVguB8+GbefHR51WpFDgK8tKag00lKiTDcltLsCvrh/ebFOSU+MFMy&#10;ZY0o6IPw9Gr1/Nll43Ixs7VVpQCCIMbnjStoHYLLk8TzWmjmJ9YJg8bKgmYBRdglJbAG0bVKZmm6&#10;TBoLpQPLhfeoXfdGuor4VSV4eFtVXgSiCoq5hXhCPLfdmawuWb4D5mrJhzTYP2ShmTQY9AS1ZoGR&#10;Pci/oLTkYL2twoRbndiqklxEDshmmv7B5r5mTkQuWBzvTmXy/w+Wvzm8AyLLgs6Xc0oM09ik49fH&#10;47cfx+9fSKfEEjXO5+h579A3tDe2LWiAfZcay727s/yjJ8be1szsxDWAbWrBSswyOuH7ZATQo/kO&#10;atu8tiXGY/tgI1Zbge4wsS4EY2DDHk5NEm0gHJWz9CLLUjRxtJ3NFtk861JMWP702oEPL4XVpLsU&#10;FHAIIjo73PnQuz65RAJWyXIjlYoC7La3CsiB4cBs4jeg+7GbMqQp6HKepX0NxjY/hshuLm7WWXRS&#10;e410e+Rp2n399KEeZ7TXRxVSGTAird8CaxlwX5TUBT0/YeADZYYqd4XtSxzabTv0bmvLB6w32H7+&#10;cV/xUlv4TEmDs19Q/2nPQFCiXhls28V0seiWJQqL7GyGAowt27GFGY5Q2GxK+uttQKliyiPg3oHc&#10;1RjtNC/GXmO7Kxk70c1Fn9yQPo55JD2sZLdHYzl6/fpx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H7XUNcAAAAKAQAADwAAAAAAAAABACAAAAA4AAAAZHJzL2Rvd25yZXYueG1sUEsBAhQAFAAA&#10;AAgAh07iQCmH4+VMAgAAgAQAAA4AAAAAAAAAAQAgAAAAPAEAAGRycy9lMm9Eb2MueG1sUEsFBgAA&#10;AAAGAAYAWQEAAPoF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v:textbox>
              </v:shape>
            </w:pict>
          </mc:Fallback>
        </mc:AlternateConten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rFonts w:ascii="Calibri" w:hAnsi="Calibri" w:eastAsia="宋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keepNext/>
        <w:keepLines/>
        <w:spacing w:before="100" w:after="100"/>
        <w:jc w:val="center"/>
        <w:outlineLvl w:val="0"/>
        <w:rPr>
          <w:rFonts w:ascii="Calibri" w:hAnsi="Calibri" w:eastAsia="黑体" w:cs="Times New Roman"/>
          <w:b/>
          <w:bCs/>
          <w:kern w:val="44"/>
          <w:sz w:val="36"/>
          <w:szCs w:val="44"/>
          <w:lang w:val="zh-CN"/>
        </w:rPr>
      </w:pPr>
      <w:bookmarkStart w:id="0" w:name="_Toc22197"/>
      <w:bookmarkStart w:id="1" w:name="_Toc2274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5"/>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5"/>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六、本年度报告已在“第二节会计数据、经营情况和管理层分析”之“九、公司面临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行业信息</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第七节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5"/>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26929"/>
      <w:bookmarkStart w:id="3" w:name="_Toc3325"/>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5"/>
        <w:tblW w:w="10338" w:type="dxa"/>
        <w:jc w:val="center"/>
        <w:tblLayout w:type="autofit"/>
        <w:tblCellMar>
          <w:top w:w="0" w:type="dxa"/>
          <w:left w:w="108" w:type="dxa"/>
          <w:bottom w:w="0" w:type="dxa"/>
          <w:right w:w="108" w:type="dxa"/>
        </w:tblCellMar>
      </w:tblPr>
      <w:tblGrid>
        <w:gridCol w:w="2400"/>
        <w:gridCol w:w="2693"/>
        <w:gridCol w:w="2127"/>
        <w:gridCol w:w="3118"/>
      </w:tblGrid>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60" w:hRule="atLeast"/>
          <w:jc w:val="center"/>
        </w:trPr>
        <w:tc>
          <w:tcPr>
            <w:tcW w:w="2400" w:type="dxa"/>
            <w:vMerge w:val="restart"/>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blPrEx>
          <w:tblCellMar>
            <w:top w:w="0" w:type="dxa"/>
            <w:left w:w="108" w:type="dxa"/>
            <w:bottom w:w="0" w:type="dxa"/>
            <w:right w:w="108" w:type="dxa"/>
          </w:tblCellMar>
        </w:tblPrEx>
        <w:trPr>
          <w:trHeight w:val="300" w:hRule="atLeast"/>
          <w:jc w:val="center"/>
        </w:trPr>
        <w:tc>
          <w:tcPr>
            <w:tcW w:w="2400" w:type="dxa"/>
            <w:vMerge w:val="continue"/>
            <w:tcBorders>
              <w:top w:val="nil"/>
              <w:left w:val="single" w:color="5B9BD5" w:sz="8" w:space="0"/>
              <w:bottom w:val="single" w:color="5B9BD5" w:sz="8" w:space="0"/>
              <w:right w:val="single" w:color="5B9BD5" w:sz="8" w:space="0"/>
            </w:tcBorders>
            <w:vAlign w:val="center"/>
          </w:tcPr>
          <w:p>
            <w:pPr>
              <w:widowControl/>
              <w:jc w:val="left"/>
              <w:rPr>
                <w:rFonts w:ascii="宋体" w:hAnsi="宋体" w:eastAsia="宋体" w:cs="宋体"/>
                <w:color w:val="000000"/>
                <w:kern w:val="0"/>
                <w:sz w:val="22"/>
              </w:rPr>
            </w:pP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blPrEx>
          <w:tblCellMar>
            <w:top w:w="0" w:type="dxa"/>
            <w:left w:w="108" w:type="dxa"/>
            <w:bottom w:w="0" w:type="dxa"/>
            <w:right w:w="108" w:type="dxa"/>
          </w:tblCellMar>
        </w:tblPrEx>
        <w:trPr>
          <w:trHeight w:val="859"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blPrEx>
          <w:tblCellMar>
            <w:top w:w="0" w:type="dxa"/>
            <w:left w:w="108" w:type="dxa"/>
            <w:bottom w:w="0" w:type="dxa"/>
            <w:right w:w="108" w:type="dxa"/>
          </w:tblCellMar>
        </w:tblPrEx>
        <w:trPr>
          <w:trHeight w:val="522"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blPrEx>
          <w:tblCellMar>
            <w:top w:w="0" w:type="dxa"/>
            <w:left w:w="108" w:type="dxa"/>
            <w:bottom w:w="0" w:type="dxa"/>
            <w:right w:w="108" w:type="dxa"/>
          </w:tblCellMar>
        </w:tblPrEx>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66"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bl>
    <w:p>
      <w:pPr>
        <w:keepNext/>
        <w:keepLines/>
        <w:spacing w:before="100" w:after="100"/>
        <w:jc w:val="center"/>
        <w:outlineLvl w:val="0"/>
        <w:rPr>
          <w:rFonts w:ascii="Calibri" w:hAnsi="Calibri" w:eastAsia="黑体" w:cs="Times New Roman"/>
          <w:b/>
          <w:bCs/>
          <w:kern w:val="44"/>
          <w:sz w:val="36"/>
          <w:szCs w:val="44"/>
          <w:lang w:val="zh-CN"/>
        </w:rPr>
      </w:pPr>
      <w:bookmarkStart w:id="4" w:name="_Toc17493"/>
      <w:bookmarkStart w:id="5" w:name="_Toc20290"/>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一、业务概要</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（一）商业模式与经营计划实现情况</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（二）行业情况</w:t>
      </w:r>
    </w:p>
    <w:tbl>
      <w:tblPr>
        <w:tblStyle w:val="174"/>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w:t>
            </w:r>
            <w:r>
              <w:rPr>
                <w:rFonts w:ascii="宋体" w:hAnsi="宋体" w:eastAsia="宋体" w:cs="Times New Roman"/>
                <w:i/>
                <w:color w:val="FF0000"/>
                <w:kern w:val="0"/>
                <w:sz w:val="20"/>
                <w:szCs w:val="44"/>
              </w:rPr>
              <w:t>应当分析</w:t>
            </w:r>
            <w:r>
              <w:rPr>
                <w:rFonts w:hint="eastAsia" w:ascii="宋体" w:hAnsi="宋体" w:eastAsia="宋体" w:cs="Times New Roman"/>
                <w:i/>
                <w:color w:val="FF0000"/>
                <w:kern w:val="0"/>
                <w:sz w:val="20"/>
                <w:szCs w:val="44"/>
              </w:rPr>
              <w:t>报告期内行业发展、周期波动等情况；应说明行业发展因素、行业法律法规等的变动及对公司经营情况的影响。</w:t>
            </w:r>
            <w:r>
              <w:rPr>
                <w:rFonts w:ascii="宋体" w:hAnsi="宋体" w:eastAsia="宋体" w:cs="Times New Roman"/>
                <w:i/>
                <w:color w:val="FF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（三）与创新属性</w:t>
      </w:r>
      <w:r>
        <w:rPr>
          <w:rFonts w:ascii="Times New Roman" w:hAnsi="Times New Roman" w:eastAsia="宋体" w:cs="Times New Roman"/>
          <w:b/>
          <w:bCs/>
          <w:szCs w:val="32"/>
          <w:lang w:val="zh-CN"/>
        </w:rPr>
        <w:t>相关</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认定</w:t>
      </w:r>
      <w:r>
        <w:rPr>
          <w:rFonts w:hint="eastAsia" w:ascii="Times New Roman" w:hAnsi="Times New Roman" w:eastAsia="宋体" w:cs="Times New Roman"/>
          <w:b/>
          <w:bCs/>
          <w:szCs w:val="32"/>
          <w:lang w:val="zh-CN"/>
        </w:rPr>
        <w:t>情况</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“专精特新”认定</w:t>
            </w:r>
          </w:p>
        </w:tc>
        <w:tc>
          <w:tcPr>
            <w:tcW w:w="6521" w:type="dxa"/>
            <w:shd w:val="clear" w:color="auto" w:fill="auto"/>
          </w:tcPr>
          <w:p>
            <w:pPr>
              <w:rPr>
                <w:rFonts w:ascii="Times New Roman" w:hAnsi="Times New Roman" w:eastAsia="宋体" w:cs="Times New Roman"/>
                <w:color w:val="000000"/>
                <w:kern w:val="0"/>
                <w:sz w:val="22"/>
              </w:rPr>
            </w:pPr>
            <w:r>
              <w:rPr>
                <w:rFonts w:hint="eastAsia" w:ascii="Times New Roman" w:hAnsi="Times New Roman" w:eastAsia="宋体" w:cs="Times New Roman"/>
                <w:color w:val="FF0000"/>
                <w:kern w:val="0"/>
                <w:sz w:val="22"/>
              </w:rPr>
              <w:t xml:space="preserve">匚国家级 </w:t>
            </w:r>
            <w:r>
              <w:rPr>
                <w:rFonts w:ascii="Times New Roman" w:hAnsi="Times New Roman" w:eastAsia="宋体" w:cs="Times New Roman"/>
                <w:color w:val="FF0000"/>
                <w:kern w:val="0"/>
                <w:sz w:val="22"/>
              </w:rPr>
              <w:t xml:space="preserve"> </w:t>
            </w:r>
            <w:r>
              <w:rPr>
                <w:rFonts w:hint="eastAsia" w:ascii="Times New Roman" w:hAnsi="Times New Roman" w:eastAsia="宋体" w:cs="Times New Roman"/>
                <w:color w:val="FF0000"/>
                <w:kern w:val="0"/>
                <w:sz w:val="22"/>
              </w:rPr>
              <w:t xml:space="preserve">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“单项冠军”认定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匚国家级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rFonts w:ascii="Times New Roman" w:hAnsi="Times New Roman" w:eastAsia="宋体" w:cs="Times New Roman"/>
                <w:color w:val="000000"/>
                <w:kern w:val="0"/>
                <w:sz w:val="22"/>
              </w:rPr>
            </w:pPr>
            <w:r>
              <w:rPr>
                <w:rFonts w:hint="eastAsia" w:ascii="Calibri" w:hAnsi="Calibri" w:eastAsia="宋体" w:cs="Times New Roman"/>
                <w:sz w:val="22"/>
              </w:rPr>
              <w:t>“高新技术企业”认定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匚是（如不适用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详细情况</w:t>
            </w:r>
          </w:p>
        </w:tc>
        <w:tc>
          <w:tcPr>
            <w:tcW w:w="6521" w:type="dxa"/>
            <w:shd w:val="clear" w:color="auto" w:fill="auto"/>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公司</w:t>
            </w:r>
            <w:r>
              <w:rPr>
                <w:rFonts w:ascii="宋体" w:hAnsi="宋体" w:eastAsia="宋体" w:cs="Times New Roman"/>
                <w:i/>
                <w:color w:val="FF0000"/>
                <w:szCs w:val="44"/>
              </w:rPr>
              <w:t>应</w:t>
            </w:r>
            <w:r>
              <w:rPr>
                <w:rFonts w:hint="eastAsia" w:ascii="宋体" w:hAnsi="宋体" w:eastAsia="宋体" w:cs="Times New Roman"/>
                <w:i/>
                <w:color w:val="FF0000"/>
                <w:szCs w:val="44"/>
              </w:rPr>
              <w:t>披露获得相关认定的类别</w:t>
            </w:r>
            <w:r>
              <w:rPr>
                <w:rFonts w:ascii="宋体" w:hAnsi="宋体" w:eastAsia="宋体" w:cs="Times New Roman"/>
                <w:i/>
                <w:color w:val="FF0000"/>
                <w:szCs w:val="44"/>
              </w:rPr>
              <w:t>、</w:t>
            </w:r>
            <w:r>
              <w:rPr>
                <w:rFonts w:hint="eastAsia" w:ascii="宋体" w:hAnsi="宋体" w:eastAsia="宋体" w:cs="Times New Roman"/>
                <w:i/>
                <w:color w:val="FF0000"/>
                <w:szCs w:val="44"/>
              </w:rPr>
              <w:t>时间</w:t>
            </w:r>
            <w:r>
              <w:rPr>
                <w:rFonts w:ascii="宋体" w:hAnsi="宋体" w:eastAsia="宋体" w:cs="Times New Roman"/>
                <w:i/>
                <w:color w:val="FF0000"/>
                <w:szCs w:val="44"/>
              </w:rPr>
              <w:t>、批次、</w:t>
            </w:r>
            <w:r>
              <w:rPr>
                <w:rFonts w:hint="eastAsia" w:ascii="宋体" w:hAnsi="宋体" w:eastAsia="宋体" w:cs="Times New Roman"/>
                <w:i/>
                <w:color w:val="FF0000"/>
                <w:szCs w:val="44"/>
              </w:rPr>
              <w:t>认定有效期等信息，</w:t>
            </w:r>
            <w:r>
              <w:rPr>
                <w:rFonts w:ascii="宋体" w:hAnsi="宋体" w:eastAsia="宋体" w:cs="Times New Roman"/>
                <w:i/>
                <w:color w:val="FF0000"/>
                <w:szCs w:val="44"/>
              </w:rPr>
              <w:t>可以</w:t>
            </w:r>
            <w:r>
              <w:rPr>
                <w:rFonts w:hint="eastAsia" w:ascii="宋体" w:hAnsi="宋体" w:eastAsia="宋体" w:cs="Times New Roman"/>
                <w:i/>
                <w:color w:val="FF0000"/>
                <w:szCs w:val="44"/>
              </w:rPr>
              <w:t>简要介绍获得相关</w:t>
            </w:r>
            <w:r>
              <w:rPr>
                <w:rFonts w:ascii="宋体" w:hAnsi="宋体" w:eastAsia="宋体" w:cs="Times New Roman"/>
                <w:i/>
                <w:color w:val="FF0000"/>
                <w:szCs w:val="44"/>
              </w:rPr>
              <w:t>认定的</w:t>
            </w:r>
            <w:r>
              <w:rPr>
                <w:rFonts w:hint="eastAsia" w:ascii="宋体" w:hAnsi="宋体" w:eastAsia="宋体" w:cs="Times New Roman"/>
                <w:i/>
                <w:color w:val="FF0000"/>
                <w:szCs w:val="44"/>
              </w:rPr>
              <w:t>主要指标依据、对公司的经营影响、</w:t>
            </w:r>
            <w:r>
              <w:rPr>
                <w:rFonts w:ascii="宋体" w:hAnsi="宋体" w:eastAsia="宋体" w:cs="Times New Roman"/>
                <w:i/>
                <w:color w:val="FF0000"/>
                <w:szCs w:val="44"/>
              </w:rPr>
              <w:t>未来发展目标或方向等。</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其中</w:t>
            </w:r>
            <w:r>
              <w:rPr>
                <w:rFonts w:ascii="宋体" w:hAnsi="宋体" w:eastAsia="宋体" w:cs="Times New Roman"/>
                <w:i/>
                <w:color w:val="FF0000"/>
                <w:szCs w:val="44"/>
              </w:rPr>
              <w:t>，国家级</w:t>
            </w:r>
            <w:r>
              <w:rPr>
                <w:rFonts w:hint="eastAsia" w:ascii="宋体" w:hAnsi="宋体" w:eastAsia="宋体" w:cs="Times New Roman"/>
                <w:i/>
                <w:color w:val="FF0000"/>
                <w:szCs w:val="44"/>
              </w:rPr>
              <w:t>专精特新“小巨人”企业认定依据应</w:t>
            </w:r>
            <w:r>
              <w:rPr>
                <w:rFonts w:ascii="宋体" w:hAnsi="宋体" w:eastAsia="宋体" w:cs="Times New Roman"/>
                <w:i/>
                <w:color w:val="FF0000"/>
                <w:szCs w:val="44"/>
              </w:rPr>
              <w:t>为</w:t>
            </w:r>
            <w:r>
              <w:rPr>
                <w:rFonts w:hint="eastAsia" w:ascii="宋体" w:hAnsi="宋体" w:eastAsia="宋体" w:cs="Times New Roman"/>
                <w:i/>
                <w:color w:val="FF0000"/>
                <w:szCs w:val="44"/>
              </w:rPr>
              <w:t>《优质中小企业梯度培育管理暂行办法》；</w:t>
            </w:r>
            <w:r>
              <w:rPr>
                <w:rFonts w:ascii="宋体" w:hAnsi="宋体" w:eastAsia="宋体" w:cs="Times New Roman"/>
                <w:i/>
                <w:color w:val="FF0000"/>
                <w:szCs w:val="44"/>
              </w:rPr>
              <w:t>国家级</w:t>
            </w:r>
            <w:r>
              <w:rPr>
                <w:rFonts w:hint="eastAsia" w:ascii="宋体" w:hAnsi="宋体" w:eastAsia="宋体" w:cs="Times New Roman"/>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宋体" w:hAnsi="宋体" w:eastAsia="宋体" w:cs="Times New Roman"/>
                <w:i/>
                <w:color w:val="FF0000"/>
                <w:szCs w:val="44"/>
              </w:rPr>
              <w:t>应为</w:t>
            </w:r>
            <w:r>
              <w:rPr>
                <w:rFonts w:hint="eastAsia" w:ascii="宋体" w:hAnsi="宋体" w:eastAsia="宋体" w:cs="Times New Roman"/>
                <w:i/>
                <w:color w:val="FF0000"/>
                <w:szCs w:val="44"/>
              </w:rPr>
              <w:t>《高新技术企业认定管理办法》(国科发火〔2016〕32号)。</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会计数据</w:t>
      </w:r>
      <w:r>
        <w:rPr>
          <w:rFonts w:hint="eastAsia" w:ascii="Calibri Light" w:hAnsi="Calibri Light" w:eastAsia="微软雅黑" w:cs="Times New Roman"/>
          <w:b/>
          <w:bCs/>
          <w:sz w:val="22"/>
          <w:szCs w:val="32"/>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860" w:type="dxa"/>
        <w:jc w:val="center"/>
        <w:tblLayout w:type="autofit"/>
        <w:tblCellMar>
          <w:top w:w="0" w:type="dxa"/>
          <w:left w:w="108" w:type="dxa"/>
          <w:bottom w:w="0" w:type="dxa"/>
          <w:right w:w="108" w:type="dxa"/>
        </w:tblCellMar>
      </w:tblPr>
      <w:tblGrid>
        <w:gridCol w:w="3544"/>
        <w:gridCol w:w="1676"/>
        <w:gridCol w:w="1820"/>
        <w:gridCol w:w="1820"/>
      </w:tblGrid>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676"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毛利率%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归属于挂牌公司股东的扣除非经常性损益后的净利润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加权平均净资产收益率%（依据归属于挂牌公司股东的净利润计算）</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876"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加权平均净资产收益率%（依归属于挂牌公司股东的扣除非经常性损益后的净利润计算）</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基本每股收益</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资产负债率%（母公司）</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资产负债率%（合并）</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流动比率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利息保障倍数</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营运情况</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经营活动产生的现金流量净额</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应收账款周转率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存货周转率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成长情况</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总资产增长率%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营业收入增长率%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净利润增长率%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货币资金</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应收票据</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应收账款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（二）经营情况分析</w:t>
      </w:r>
    </w:p>
    <w:p>
      <w:pPr>
        <w:rPr>
          <w:rFonts w:ascii="Calibri" w:hAnsi="Calibri" w:eastAsia="宋体" w:cs="Times New Roman"/>
          <w:b/>
          <w:color w:val="000000"/>
        </w:rPr>
      </w:pPr>
      <w:r>
        <w:rPr>
          <w:rFonts w:hint="eastAsia" w:ascii="Calibri" w:hAnsi="Calibri" w:eastAsia="宋体" w:cs="Times New Roman"/>
          <w:b/>
          <w:color w:val="000000"/>
        </w:rPr>
        <w:t>1、利润构成</w:t>
      </w:r>
    </w:p>
    <w:p>
      <w:pPr>
        <w:jc w:val="right"/>
        <w:rPr>
          <w:rFonts w:ascii="Calibri" w:hAnsi="Calibri" w:eastAsia="宋体" w:cs="Times New Roman"/>
          <w:b/>
          <w:color w:val="000000"/>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708"/>
        <w:gridCol w:w="2127"/>
        <w:gridCol w:w="708"/>
        <w:gridCol w:w="2127"/>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上年同期</w:t>
            </w:r>
          </w:p>
        </w:tc>
        <w:tc>
          <w:tcPr>
            <w:tcW w:w="1984"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本期与</w:t>
            </w:r>
            <w:r>
              <w:rPr>
                <w:rFonts w:ascii="宋体" w:hAnsi="宋体" w:eastAsia="宋体" w:cs="Times New Roman"/>
                <w:b/>
                <w:color w:val="000000"/>
                <w:sz w:val="22"/>
              </w:rPr>
              <w:t>上年同期金额</w:t>
            </w: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vAlign w:val="center"/>
          </w:tcPr>
          <w:p>
            <w:pPr>
              <w:tabs>
                <w:tab w:val="left" w:pos="5140"/>
              </w:tabs>
              <w:jc w:val="center"/>
              <w:rPr>
                <w:rFonts w:ascii="宋体" w:hAnsi="宋体" w:eastAsia="宋体" w:cs="Times New Roman"/>
                <w:color w:val="000000"/>
                <w:sz w:val="22"/>
              </w:rPr>
            </w:pPr>
          </w:p>
        </w:tc>
        <w:tc>
          <w:tcPr>
            <w:tcW w:w="70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12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70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12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1984"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营业收入</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198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营业成本</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198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jc w:val="left"/>
              <w:rPr>
                <w:rFonts w:ascii="宋体" w:hAnsi="宋体" w:eastAsia="宋体" w:cs="Times New Roman"/>
                <w:color w:val="000000"/>
                <w:sz w:val="22"/>
              </w:rPr>
            </w:pPr>
            <w:r>
              <w:rPr>
                <w:rFonts w:hint="eastAsia" w:ascii="宋体" w:hAnsi="宋体" w:eastAsia="宋体" w:cs="Times New Roman"/>
                <w:color w:val="000000"/>
                <w:sz w:val="22"/>
              </w:rPr>
              <w:t>毛利率%</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c>
          <w:tcPr>
            <w:tcW w:w="1984"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bl>
    <w:p>
      <w:pPr>
        <w:rPr>
          <w:rFonts w:ascii="Calibri" w:hAnsi="Calibri" w:eastAsia="宋体" w:cs="Times New Roman"/>
          <w:color w:val="000000"/>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注：若</w:t>
            </w:r>
            <w:r>
              <w:rPr>
                <w:rFonts w:ascii="宋体" w:hAnsi="宋体" w:eastAsia="宋体" w:cs="Times New Roman"/>
                <w:i/>
                <w:color w:val="FF0000"/>
                <w:kern w:val="0"/>
                <w:sz w:val="20"/>
                <w:szCs w:val="44"/>
              </w:rPr>
              <w:t>利润构成和利润来源发生重大变动，应当详细说明具体变动情况及原因。</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2、</w:t>
      </w:r>
      <w:r>
        <w:rPr>
          <w:rFonts w:ascii="宋体" w:hAnsi="宋体" w:eastAsia="宋体" w:cs="Times New Roman"/>
          <w:b/>
          <w:color w:val="000000"/>
          <w:szCs w:val="44"/>
        </w:rPr>
        <w:t>收入构成</w:t>
      </w:r>
    </w:p>
    <w:p>
      <w:pPr>
        <w:tabs>
          <w:tab w:val="left" w:pos="5140"/>
        </w:tabs>
        <w:jc w:val="right"/>
        <w:rPr>
          <w:rFonts w:ascii="Calibri" w:hAnsi="Calibri" w:eastAsia="宋体" w:cs="Times New Roman"/>
          <w:color w:val="000000"/>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232"/>
        <w:gridCol w:w="2233"/>
        <w:gridCol w:w="2233"/>
        <w:gridCol w:w="22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主营业务</w:t>
            </w:r>
            <w:r>
              <w:rPr>
                <w:rFonts w:hint="eastAsia" w:ascii="宋体" w:hAnsi="宋体" w:eastAsia="宋体" w:cs="Times New Roman"/>
                <w:color w:val="000000"/>
                <w:sz w:val="22"/>
              </w:rPr>
              <w:t>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其他业务</w:t>
            </w:r>
            <w:r>
              <w:rPr>
                <w:rFonts w:hint="eastAsia" w:ascii="宋体" w:hAnsi="宋体" w:eastAsia="宋体" w:cs="Times New Roman"/>
                <w:color w:val="000000"/>
                <w:sz w:val="22"/>
              </w:rPr>
              <w:t>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32" w:type="dxa"/>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主营</w:t>
            </w:r>
            <w:r>
              <w:rPr>
                <w:rFonts w:ascii="宋体" w:hAnsi="宋体" w:eastAsia="宋体" w:cs="Times New Roman"/>
                <w:color w:val="000000"/>
                <w:sz w:val="22"/>
              </w:rPr>
              <w:t>业务成本</w:t>
            </w: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其他</w:t>
            </w:r>
            <w:r>
              <w:rPr>
                <w:rFonts w:ascii="宋体" w:hAnsi="宋体" w:eastAsia="宋体" w:cs="Times New Roman"/>
                <w:color w:val="000000"/>
                <w:sz w:val="22"/>
              </w:rPr>
              <w:t>业务成本</w:t>
            </w: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r>
    </w:tbl>
    <w:p>
      <w:pPr>
        <w:tabs>
          <w:tab w:val="left" w:pos="5140"/>
        </w:tabs>
        <w:rPr>
          <w:rFonts w:ascii="宋体" w:hAnsi="宋体" w:eastAsia="宋体" w:cs="Times New Roman"/>
          <w:color w:val="000000"/>
          <w:szCs w:val="44"/>
        </w:rPr>
      </w:pPr>
      <w:r>
        <w:rPr>
          <w:rFonts w:ascii="宋体" w:hAnsi="宋体" w:eastAsia="宋体" w:cs="Times New Roman"/>
          <w:b/>
          <w:color w:val="000000"/>
          <w:szCs w:val="44"/>
        </w:rPr>
        <w:t>按产品分类分析</w:t>
      </w:r>
      <w:r>
        <w:rPr>
          <w:rFonts w:ascii="宋体" w:hAnsi="宋体" w:eastAsia="宋体" w:cs="Times New Roman"/>
          <w:color w:val="000000"/>
          <w:szCs w:val="44"/>
        </w:rPr>
        <w:t xml:space="preserve"> </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p>
      <w:pPr>
        <w:tabs>
          <w:tab w:val="left" w:pos="5140"/>
        </w:tabs>
        <w:jc w:val="right"/>
        <w:rPr>
          <w:rFonts w:ascii="宋体" w:hAnsi="宋体" w:eastAsia="宋体" w:cs="Times New Roman"/>
          <w:color w:val="000000"/>
          <w:szCs w:val="44"/>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1134"/>
        <w:gridCol w:w="1134"/>
        <w:gridCol w:w="992"/>
        <w:gridCol w:w="1417"/>
        <w:gridCol w:w="1418"/>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类别</w:t>
            </w:r>
            <w:r>
              <w:rPr>
                <w:rFonts w:ascii="宋体" w:hAnsi="宋体" w:eastAsia="宋体" w:cs="Times New Roman"/>
                <w:b/>
                <w:color w:val="000000"/>
                <w:sz w:val="22"/>
              </w:rPr>
              <w:t>/项目</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w:t>
            </w: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营业收入比上年同期增减%</w:t>
            </w:r>
          </w:p>
        </w:tc>
        <w:tc>
          <w:tcPr>
            <w:tcW w:w="141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营业成本比上年同期增减%</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毛利率比上年同期增减百分比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3" w:hRule="atLeast"/>
        </w:trPr>
        <w:tc>
          <w:tcPr>
            <w:tcW w:w="1277"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vAlign w:val="center"/>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bl>
    <w:p>
      <w:pPr>
        <w:tabs>
          <w:tab w:val="left" w:pos="5140"/>
        </w:tabs>
        <w:rPr>
          <w:rFonts w:ascii="Calibri" w:hAnsi="Calibri" w:eastAsia="宋体" w:cs="Times New Roman"/>
          <w:color w:val="000000"/>
        </w:rPr>
      </w:pPr>
      <w:r>
        <w:rPr>
          <w:rFonts w:ascii="宋体" w:hAnsi="宋体" w:eastAsia="宋体" w:cs="Times New Roman"/>
          <w:b/>
          <w:color w:val="000000"/>
          <w:szCs w:val="44"/>
        </w:rPr>
        <w:t>按</w:t>
      </w:r>
      <w:r>
        <w:rPr>
          <w:rFonts w:hint="eastAsia" w:ascii="宋体" w:hAnsi="宋体" w:eastAsia="宋体" w:cs="Times New Roman"/>
          <w:b/>
          <w:color w:val="000000"/>
          <w:szCs w:val="44"/>
        </w:rPr>
        <w:t>地区</w:t>
      </w:r>
      <w:r>
        <w:rPr>
          <w:rFonts w:ascii="宋体" w:hAnsi="宋体" w:eastAsia="宋体" w:cs="Times New Roman"/>
          <w:b/>
          <w:color w:val="000000"/>
          <w:szCs w:val="44"/>
        </w:rPr>
        <w:t>分类分析</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p>
      <w:pPr>
        <w:tabs>
          <w:tab w:val="left" w:pos="5140"/>
        </w:tabs>
        <w:jc w:val="right"/>
        <w:rPr>
          <w:rFonts w:ascii="Calibri" w:hAnsi="Calibri" w:eastAsia="宋体" w:cs="Times New Roman"/>
          <w:color w:val="000000"/>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1164"/>
        <w:gridCol w:w="1104"/>
        <w:gridCol w:w="992"/>
        <w:gridCol w:w="1417"/>
        <w:gridCol w:w="1418"/>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类别</w:t>
            </w:r>
            <w:r>
              <w:rPr>
                <w:rFonts w:ascii="宋体" w:hAnsi="宋体" w:eastAsia="宋体" w:cs="Times New Roman"/>
                <w:b/>
                <w:color w:val="000000"/>
                <w:sz w:val="22"/>
              </w:rPr>
              <w:t>/项目</w:t>
            </w:r>
          </w:p>
        </w:tc>
        <w:tc>
          <w:tcPr>
            <w:tcW w:w="116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w:t>
            </w:r>
          </w:p>
        </w:tc>
        <w:tc>
          <w:tcPr>
            <w:tcW w:w="11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w:t>
            </w: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营业收入比上年同期增减%</w:t>
            </w:r>
          </w:p>
        </w:tc>
        <w:tc>
          <w:tcPr>
            <w:tcW w:w="1418"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营业成本比上年同期增减%</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毛利率比上年同期增减百分比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3" w:hRule="atLeast"/>
        </w:trPr>
        <w:tc>
          <w:tcPr>
            <w:tcW w:w="1277" w:type="dxa"/>
          </w:tcPr>
          <w:p>
            <w:pPr>
              <w:tabs>
                <w:tab w:val="left" w:pos="5140"/>
              </w:tabs>
              <w:rPr>
                <w:rFonts w:ascii="宋体" w:hAnsi="宋体" w:eastAsia="宋体" w:cs="Times New Roman"/>
                <w:color w:val="000000"/>
                <w:sz w:val="22"/>
              </w:rPr>
            </w:pP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tcPr>
          <w:p>
            <w:pPr>
              <w:tabs>
                <w:tab w:val="left" w:pos="5140"/>
              </w:tabs>
              <w:rPr>
                <w:rFonts w:ascii="宋体" w:hAnsi="宋体" w:eastAsia="宋体" w:cs="Times New Roman"/>
                <w:color w:val="000000"/>
                <w:sz w:val="22"/>
              </w:rPr>
            </w:pP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tcPr>
          <w:p>
            <w:pPr>
              <w:tabs>
                <w:tab w:val="left" w:pos="5140"/>
              </w:tabs>
              <w:rPr>
                <w:rFonts w:ascii="宋体" w:hAnsi="宋体" w:eastAsia="宋体" w:cs="Times New Roman"/>
                <w:color w:val="000000"/>
                <w:sz w:val="22"/>
              </w:rPr>
            </w:pP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收入构成变动的原因</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注：若</w:t>
            </w:r>
            <w:r>
              <w:rPr>
                <w:rFonts w:ascii="宋体" w:hAnsi="宋体" w:eastAsia="宋体" w:cs="Times New Roman"/>
                <w:i/>
                <w:color w:val="FF0000"/>
                <w:szCs w:val="44"/>
              </w:rPr>
              <w:t>收入构成发生重大变</w:t>
            </w:r>
            <w:r>
              <w:rPr>
                <w:rFonts w:hint="eastAsia" w:ascii="宋体" w:hAnsi="宋体" w:eastAsia="宋体" w:cs="Times New Roman"/>
                <w:i/>
                <w:color w:val="FF0000"/>
                <w:szCs w:val="44"/>
              </w:rPr>
              <w:t>动</w:t>
            </w:r>
            <w:r>
              <w:rPr>
                <w:rFonts w:ascii="宋体" w:hAnsi="宋体" w:eastAsia="宋体" w:cs="Times New Roman"/>
                <w:i/>
                <w:color w:val="FF0000"/>
                <w:szCs w:val="44"/>
              </w:rPr>
              <w:t>，应当详细说明具体变动情况及原因。</w:t>
            </w:r>
            <w:r>
              <w:rPr>
                <w:rFonts w:hint="eastAsia" w:ascii="宋体" w:hAnsi="宋体" w:eastAsia="宋体" w:cs="Times New Roman"/>
                <w:i/>
                <w:color w:val="FF0000"/>
                <w:szCs w:val="44"/>
              </w:rPr>
              <w:t>对与上年同期相比变动达到或超过</w:t>
            </w:r>
            <w:r>
              <w:rPr>
                <w:rFonts w:ascii="宋体" w:hAnsi="宋体" w:eastAsia="宋体" w:cs="Times New Roman"/>
                <w:i/>
                <w:color w:val="FF0000"/>
                <w:szCs w:val="44"/>
              </w:rPr>
              <w:t>30%的项目，应充分解释导致变动的原因。</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主要客户情况</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0"/>
        <w:gridCol w:w="2693"/>
        <w:gridCol w:w="1843"/>
        <w:gridCol w:w="170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序号</w:t>
            </w:r>
          </w:p>
        </w:tc>
        <w:tc>
          <w:tcPr>
            <w:tcW w:w="269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客户</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销售金额</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年度销售</w:t>
            </w:r>
            <w:r>
              <w:rPr>
                <w:rFonts w:ascii="宋体" w:hAnsi="宋体" w:eastAsia="宋体" w:cs="Times New Roman"/>
                <w:b/>
                <w:color w:val="000000"/>
                <w:kern w:val="0"/>
                <w:sz w:val="22"/>
                <w:szCs w:val="20"/>
              </w:rPr>
              <w:t>占比%</w:t>
            </w:r>
          </w:p>
        </w:tc>
        <w:tc>
          <w:tcPr>
            <w:tcW w:w="198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是否存在关联关系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1</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2</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3</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4</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5</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gridSpan w:val="2"/>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w:t>
            </w:r>
          </w:p>
        </w:tc>
      </w:tr>
    </w:tbl>
    <w:p>
      <w:pPr>
        <w:rPr>
          <w:rFonts w:ascii="Calibri" w:hAnsi="Calibri" w:eastAsia="宋体" w:cs="Times New Roman"/>
          <w:b/>
          <w:color w:val="000000"/>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属于同一控制人控制的客户视为同一客户合并列示，受同一国有资产管理机构实际控制的除外。</w:t>
      </w:r>
    </w:p>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主要供应商情况</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0"/>
        <w:gridCol w:w="2693"/>
        <w:gridCol w:w="1843"/>
        <w:gridCol w:w="170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序号</w:t>
            </w:r>
          </w:p>
        </w:tc>
        <w:tc>
          <w:tcPr>
            <w:tcW w:w="269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供应商</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采购金额</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年度</w:t>
            </w:r>
            <w:r>
              <w:rPr>
                <w:rFonts w:ascii="宋体" w:hAnsi="宋体" w:eastAsia="宋体" w:cs="Times New Roman"/>
                <w:b/>
                <w:color w:val="000000"/>
                <w:kern w:val="0"/>
                <w:sz w:val="22"/>
                <w:szCs w:val="20"/>
              </w:rPr>
              <w:t>采购占比%</w:t>
            </w:r>
          </w:p>
        </w:tc>
        <w:tc>
          <w:tcPr>
            <w:tcW w:w="198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是否存在关联关系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1</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2</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3</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4</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5</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gridSpan w:val="2"/>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属于同一控制人控制的供应商视为同一供应商合并列示，受同一国有资产管理机构实际控制的除外。</w:t>
      </w:r>
      <w:r>
        <w:rPr>
          <w:rFonts w:ascii="宋体" w:hAnsi="宋体" w:eastAsia="宋体" w:cs="Times New Roman"/>
          <w:i/>
          <w:color w:val="FF0000"/>
          <w:szCs w:val="44"/>
        </w:rPr>
        <w:t xml:space="preserve"> </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5"/>
        <w:tblW w:w="5838" w:type="pct"/>
        <w:tblInd w:w="-714" w:type="dxa"/>
        <w:tblLayout w:type="autofit"/>
        <w:tblCellMar>
          <w:top w:w="0" w:type="dxa"/>
          <w:left w:w="108" w:type="dxa"/>
          <w:bottom w:w="0" w:type="dxa"/>
          <w:right w:w="108" w:type="dxa"/>
        </w:tblCellMar>
      </w:tblPr>
      <w:tblGrid>
        <w:gridCol w:w="1165"/>
        <w:gridCol w:w="1604"/>
        <w:gridCol w:w="1197"/>
        <w:gridCol w:w="1199"/>
        <w:gridCol w:w="1197"/>
        <w:gridCol w:w="1199"/>
        <w:gridCol w:w="1197"/>
        <w:gridCol w:w="1200"/>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r>
              <w:rPr>
                <w:rFonts w:hint="eastAsia" w:ascii="宋体" w:hAnsi="宋体" w:eastAsia="宋体" w:cs="Times New Roman"/>
                <w:color w:val="FF0000"/>
                <w:sz w:val="22"/>
                <w:szCs w:val="22"/>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r>
              <w:rPr>
                <w:rFonts w:hint="eastAsia" w:ascii="Calibri" w:hAnsi="Calibri" w:eastAsia="宋体" w:cs="Times New Roman"/>
                <w:sz w:val="22"/>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szCs w:val="22"/>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5"/>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lang w:val="zh-CN"/>
              </w:rPr>
            </w:pPr>
            <w:r>
              <w:rPr>
                <w:rFonts w:hint="eastAsia" w:ascii="Calibri" w:hAnsi="Calibri" w:eastAsia="宋体" w:cs="Times New Roman"/>
                <w:b/>
                <w:sz w:val="22"/>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lang w:val="zh-CN"/>
              </w:rPr>
            </w:pPr>
            <w:r>
              <w:rPr>
                <w:rFonts w:hint="eastAsia" w:ascii="Calibri" w:hAnsi="Calibri" w:eastAsia="宋体" w:cs="Times New Roman"/>
                <w:b/>
                <w:sz w:val="22"/>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lang w:val="zh-CN"/>
              </w:rPr>
            </w:pPr>
            <w:r>
              <w:rPr>
                <w:rFonts w:hint="eastAsia" w:ascii="Calibri" w:hAnsi="Calibri" w:eastAsia="宋体" w:cs="Times New Roman"/>
                <w:b/>
                <w:sz w:val="22"/>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lang w:val="zh-CN"/>
              </w:rPr>
            </w:pPr>
            <w:r>
              <w:rPr>
                <w:rFonts w:hint="eastAsia" w:ascii="Calibri" w:hAnsi="Calibri" w:eastAsia="宋体" w:cs="Times New Roman"/>
                <w:color w:val="FF0000"/>
                <w:sz w:val="22"/>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lang w:val="zh-CN"/>
              </w:rPr>
            </w:pPr>
            <w:r>
              <w:rPr>
                <w:rFonts w:hint="eastAsia" w:ascii="Calibri" w:hAnsi="Calibri" w:eastAsia="宋体" w:cs="Times New Roman"/>
                <w:color w:val="FF0000"/>
                <w:sz w:val="22"/>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lang w:val="zh-CN"/>
              </w:rPr>
            </w:pPr>
            <w:r>
              <w:rPr>
                <w:rFonts w:hint="eastAsia" w:ascii="Calibri" w:hAnsi="Calibri" w:eastAsia="宋体" w:cs="Times New Roman"/>
                <w:sz w:val="22"/>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lang w:val="zh-CN"/>
              </w:rPr>
            </w:pPr>
          </w:p>
        </w:tc>
      </w:tr>
    </w:tbl>
    <w:p>
      <w:pPr>
        <w:rPr>
          <w:rFonts w:ascii="Calibri" w:hAnsi="Calibri" w:eastAsia="宋体" w:cs="Times New Roman"/>
          <w:b/>
        </w:rPr>
      </w:pPr>
      <w:r>
        <w:rPr>
          <w:rFonts w:hint="eastAsia" w:ascii="Calibri" w:hAnsi="Calibri" w:eastAsia="宋体" w:cs="Times New Roman"/>
          <w:b/>
        </w:rPr>
        <w:t>报告期内取得和处置子公司的情况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pPr w:leftFromText="180" w:rightFromText="180" w:vertAnchor="text" w:horzAnchor="margin" w:tblpXSpec="center" w:tblpY="96"/>
        <w:tblW w:w="9640" w:type="dxa"/>
        <w:tblInd w:w="0" w:type="dxa"/>
        <w:tblLayout w:type="autofit"/>
        <w:tblCellMar>
          <w:top w:w="0" w:type="dxa"/>
          <w:left w:w="108" w:type="dxa"/>
          <w:bottom w:w="0" w:type="dxa"/>
          <w:right w:w="108" w:type="dxa"/>
        </w:tblCellMar>
      </w:tblPr>
      <w:tblGrid>
        <w:gridCol w:w="2878"/>
        <w:gridCol w:w="3548"/>
        <w:gridCol w:w="3214"/>
      </w:tblGrid>
      <w:tr>
        <w:tblPrEx>
          <w:tblCellMar>
            <w:top w:w="0" w:type="dxa"/>
            <w:left w:w="108" w:type="dxa"/>
            <w:bottom w:w="0" w:type="dxa"/>
            <w:right w:w="108" w:type="dxa"/>
          </w:tblCellMar>
        </w:tblPrEx>
        <w:tc>
          <w:tcPr>
            <w:tcW w:w="2878"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公司名称</w:t>
            </w:r>
          </w:p>
        </w:tc>
        <w:tc>
          <w:tcPr>
            <w:tcW w:w="3548"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报告期内取得和处置子公司方式</w:t>
            </w:r>
          </w:p>
        </w:tc>
        <w:tc>
          <w:tcPr>
            <w:tcW w:w="3214"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lang w:val="zh-CN"/>
              </w:rPr>
            </w:pPr>
            <w:r>
              <w:rPr>
                <w:rFonts w:hint="eastAsia" w:ascii="Calibri" w:hAnsi="Calibri" w:eastAsia="宋体" w:cs="Times New Roman"/>
                <w:b/>
                <w:sz w:val="22"/>
                <w:lang w:val="zh-CN"/>
              </w:rPr>
              <w:t>对整体生产经营和业绩的影响</w:t>
            </w:r>
          </w:p>
        </w:tc>
      </w:tr>
      <w:tr>
        <w:tblPrEx>
          <w:tblCellMar>
            <w:top w:w="0" w:type="dxa"/>
            <w:left w:w="108" w:type="dxa"/>
            <w:bottom w:w="0" w:type="dxa"/>
            <w:right w:w="108" w:type="dxa"/>
          </w:tblCellMar>
        </w:tblPrEx>
        <w:tc>
          <w:tcPr>
            <w:tcW w:w="2878"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3548"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3214"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r>
      <w:tr>
        <w:tblPrEx>
          <w:tblCellMar>
            <w:top w:w="0" w:type="dxa"/>
            <w:left w:w="108" w:type="dxa"/>
            <w:bottom w:w="0" w:type="dxa"/>
            <w:right w:w="108" w:type="dxa"/>
          </w:tblCellMar>
        </w:tblPrEx>
        <w:tc>
          <w:tcPr>
            <w:tcW w:w="2878"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r>
              <w:rPr>
                <w:rFonts w:hint="eastAsia" w:ascii="Calibri" w:hAnsi="Calibri" w:eastAsia="宋体" w:cs="Times New Roman"/>
                <w:sz w:val="22"/>
                <w:lang w:val="zh-CN"/>
              </w:rPr>
              <w:t>（自动添行）</w:t>
            </w:r>
          </w:p>
        </w:tc>
        <w:tc>
          <w:tcPr>
            <w:tcW w:w="3548"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c>
          <w:tcPr>
            <w:tcW w:w="3214" w:type="dxa"/>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2"/>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jc w:val="right"/>
        <w:rPr>
          <w:rFonts w:ascii="Calibri" w:hAnsi="Calibri" w:eastAsia="宋体" w:cs="Times New Roman"/>
        </w:rPr>
      </w:pPr>
    </w:p>
    <w:p>
      <w:pPr>
        <w:rPr>
          <w:rFonts w:ascii="Calibri" w:hAnsi="Calibri" w:eastAsia="宋体" w:cs="Times New Roman"/>
          <w:b/>
        </w:rPr>
      </w:pPr>
      <w:r>
        <w:rPr>
          <w:rFonts w:hint="eastAsia" w:ascii="Calibri" w:hAnsi="Calibri" w:eastAsia="宋体" w:cs="Times New Roman"/>
          <w:b/>
        </w:rPr>
        <w:t>非金融机构委托理财、高风险委托理财或单项金额重大的委托理财</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Pr>
                <w:rFonts w:ascii="宋体" w:hAnsi="宋体" w:eastAsia="宋体" w:cs="Times New Roman"/>
                <w:i/>
                <w:color w:val="FF0000"/>
                <w:kern w:val="0"/>
                <w:sz w:val="20"/>
                <w:szCs w:val="44"/>
              </w:rPr>
              <w:t>形式</w:t>
            </w:r>
            <w:r>
              <w:rPr>
                <w:rFonts w:hint="eastAsia" w:ascii="宋体" w:hAnsi="宋体" w:eastAsia="宋体" w:cs="Times New Roman"/>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hint="eastAsia" w:ascii="宋体" w:hAnsi="宋体" w:eastAsia="宋体" w:cs="Times New Roman"/>
                <w:i/>
                <w:color w:val="FF0000"/>
                <w:kern w:val="0"/>
                <w:sz w:val="20"/>
                <w:szCs w:val="44"/>
                <w:lang w:eastAsia="zh-CN"/>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r>
              <w:rPr>
                <w:rFonts w:hint="eastAsia" w:ascii="宋体" w:hAnsi="宋体" w:eastAsia="宋体" w:cs="Times New Roman"/>
                <w:i/>
                <w:color w:val="FF0000"/>
                <w:kern w:val="0"/>
                <w:sz w:val="20"/>
                <w:szCs w:val="44"/>
                <w:lang w:eastAsia="zh-CN"/>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1"/>
        <w:rPr>
          <w:rFonts w:ascii="Calibri" w:hAnsi="Calibri" w:eastAsia="宋体" w:cs="Times New Roman"/>
          <w:b/>
          <w:color w:val="000000"/>
        </w:rPr>
      </w:pPr>
      <w:bookmarkStart w:id="6" w:name="_Toc18909"/>
      <w:bookmarkStart w:id="7" w:name="_Toc18103"/>
      <w:r>
        <w:rPr>
          <w:rFonts w:hint="eastAsia" w:ascii="Calibri Light" w:hAnsi="Calibri Light" w:eastAsia="微软雅黑" w:cs="Times New Roman"/>
          <w:b/>
          <w:bCs/>
          <w:sz w:val="22"/>
          <w:szCs w:val="32"/>
        </w:rPr>
        <w:t>五、研发情况</w:t>
      </w:r>
      <w:bookmarkEnd w:id="6"/>
      <w:bookmarkEnd w:id="7"/>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（一）研发支出情况</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297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r>
              <w:rPr>
                <w:rFonts w:ascii="宋体" w:hAnsi="宋体" w:eastAsia="宋体" w:cs="Times New Roman"/>
                <w:b/>
                <w:color w:val="000000"/>
                <w:kern w:val="0"/>
                <w:sz w:val="22"/>
                <w:szCs w:val="20"/>
              </w:rPr>
              <w:t>/比例</w:t>
            </w:r>
          </w:p>
        </w:tc>
        <w:tc>
          <w:tcPr>
            <w:tcW w:w="297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r>
              <w:rPr>
                <w:rFonts w:ascii="宋体" w:hAnsi="宋体" w:eastAsia="宋体" w:cs="Times New Roman"/>
                <w:b/>
                <w:color w:val="000000"/>
                <w:kern w:val="0"/>
                <w:sz w:val="22"/>
                <w:szCs w:val="20"/>
              </w:rPr>
              <w:t>/比例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研发</w:t>
            </w:r>
            <w:r>
              <w:rPr>
                <w:rFonts w:hint="eastAsia" w:ascii="宋体" w:hAnsi="宋体" w:eastAsia="宋体" w:cs="Times New Roman"/>
                <w:color w:val="000000"/>
                <w:kern w:val="0"/>
                <w:sz w:val="22"/>
                <w:szCs w:val="20"/>
              </w:rPr>
              <w:t>支出</w:t>
            </w:r>
            <w:r>
              <w:rPr>
                <w:rFonts w:ascii="宋体" w:hAnsi="宋体" w:eastAsia="宋体" w:cs="Times New Roman"/>
                <w:color w:val="000000"/>
                <w:kern w:val="0"/>
                <w:sz w:val="22"/>
                <w:szCs w:val="20"/>
              </w:rPr>
              <w:t>金额</w:t>
            </w:r>
          </w:p>
        </w:tc>
        <w:tc>
          <w:tcPr>
            <w:tcW w:w="2976" w:type="dxa"/>
          </w:tcPr>
          <w:p>
            <w:pPr>
              <w:tabs>
                <w:tab w:val="left" w:pos="5140"/>
              </w:tabs>
              <w:rPr>
                <w:rFonts w:ascii="宋体" w:hAnsi="宋体" w:eastAsia="宋体" w:cs="Times New Roman"/>
                <w:color w:val="000000"/>
                <w:kern w:val="0"/>
                <w:sz w:val="22"/>
                <w:szCs w:val="20"/>
              </w:rPr>
            </w:pPr>
          </w:p>
        </w:tc>
        <w:tc>
          <w:tcPr>
            <w:tcW w:w="2977"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ascii="宋体" w:hAnsi="宋体" w:eastAsia="宋体" w:cs="Times New Roman"/>
                <w:color w:val="000000"/>
                <w:kern w:val="0"/>
                <w:sz w:val="22"/>
                <w:szCs w:val="20"/>
              </w:rPr>
              <w:t>研发</w:t>
            </w:r>
            <w:r>
              <w:rPr>
                <w:rFonts w:hint="eastAsia" w:ascii="宋体" w:hAnsi="宋体" w:eastAsia="宋体" w:cs="Times New Roman"/>
                <w:color w:val="000000"/>
                <w:kern w:val="0"/>
                <w:sz w:val="22"/>
                <w:szCs w:val="20"/>
              </w:rPr>
              <w:t>支出</w:t>
            </w:r>
            <w:r>
              <w:rPr>
                <w:rFonts w:ascii="宋体" w:hAnsi="宋体" w:eastAsia="宋体" w:cs="Times New Roman"/>
                <w:color w:val="000000"/>
                <w:kern w:val="0"/>
                <w:sz w:val="22"/>
                <w:szCs w:val="20"/>
              </w:rPr>
              <w:t>占营业收入的比例</w:t>
            </w:r>
            <w:r>
              <w:rPr>
                <w:rFonts w:hint="eastAsia" w:ascii="宋体" w:hAnsi="宋体" w:eastAsia="宋体" w:cs="Times New Roman"/>
                <w:color w:val="000000"/>
                <w:kern w:val="0"/>
                <w:sz w:val="22"/>
                <w:szCs w:val="20"/>
              </w:rPr>
              <w:t>%</w:t>
            </w:r>
          </w:p>
        </w:tc>
        <w:tc>
          <w:tcPr>
            <w:tcW w:w="2976" w:type="dxa"/>
          </w:tcPr>
          <w:p>
            <w:pPr>
              <w:tabs>
                <w:tab w:val="left" w:pos="5140"/>
              </w:tabs>
              <w:rPr>
                <w:rFonts w:ascii="宋体" w:hAnsi="宋体" w:eastAsia="宋体" w:cs="Times New Roman"/>
                <w:color w:val="000000"/>
                <w:kern w:val="0"/>
                <w:sz w:val="22"/>
                <w:szCs w:val="20"/>
              </w:rPr>
            </w:pPr>
          </w:p>
        </w:tc>
        <w:tc>
          <w:tcPr>
            <w:tcW w:w="2977"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研发支出中</w:t>
            </w:r>
            <w:r>
              <w:rPr>
                <w:rFonts w:ascii="宋体" w:hAnsi="宋体" w:eastAsia="宋体" w:cs="Times New Roman"/>
                <w:color w:val="000000"/>
                <w:kern w:val="0"/>
                <w:sz w:val="22"/>
                <w:szCs w:val="20"/>
              </w:rPr>
              <w:t>资本化</w:t>
            </w:r>
            <w:r>
              <w:rPr>
                <w:rFonts w:hint="eastAsia" w:ascii="宋体" w:hAnsi="宋体" w:eastAsia="宋体" w:cs="Times New Roman"/>
                <w:color w:val="000000"/>
                <w:kern w:val="0"/>
                <w:sz w:val="22"/>
                <w:szCs w:val="20"/>
              </w:rPr>
              <w:t>的</w:t>
            </w:r>
            <w:r>
              <w:rPr>
                <w:rFonts w:ascii="宋体" w:hAnsi="宋体" w:eastAsia="宋体" w:cs="Times New Roman"/>
                <w:color w:val="000000"/>
                <w:kern w:val="0"/>
                <w:sz w:val="22"/>
                <w:szCs w:val="20"/>
              </w:rPr>
              <w:t>比例</w:t>
            </w:r>
            <w:r>
              <w:rPr>
                <w:rFonts w:hint="eastAsia" w:ascii="宋体" w:hAnsi="宋体" w:eastAsia="宋体" w:cs="Times New Roman"/>
                <w:color w:val="000000"/>
                <w:kern w:val="0"/>
                <w:sz w:val="22"/>
                <w:szCs w:val="20"/>
              </w:rPr>
              <w:t>%</w:t>
            </w:r>
          </w:p>
        </w:tc>
        <w:tc>
          <w:tcPr>
            <w:tcW w:w="2976" w:type="dxa"/>
          </w:tcPr>
          <w:p>
            <w:pPr>
              <w:tabs>
                <w:tab w:val="left" w:pos="5140"/>
              </w:tabs>
              <w:rPr>
                <w:rFonts w:ascii="宋体" w:hAnsi="宋体" w:eastAsia="宋体" w:cs="Times New Roman"/>
                <w:color w:val="000000"/>
                <w:kern w:val="0"/>
                <w:sz w:val="22"/>
                <w:szCs w:val="20"/>
              </w:rPr>
            </w:pPr>
          </w:p>
        </w:tc>
        <w:tc>
          <w:tcPr>
            <w:tcW w:w="297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（二）研发人员情况</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2976"/>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教育程度</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本科以下</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研发人员合计</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研发</w:t>
            </w:r>
            <w:r>
              <w:rPr>
                <w:rFonts w:ascii="宋体" w:hAnsi="宋体" w:eastAsia="宋体" w:cs="Times New Roman"/>
                <w:color w:val="000000"/>
                <w:kern w:val="0"/>
                <w:sz w:val="22"/>
                <w:szCs w:val="20"/>
              </w:rPr>
              <w:t>人员占</w:t>
            </w:r>
            <w:r>
              <w:rPr>
                <w:rFonts w:hint="eastAsia" w:ascii="宋体" w:hAnsi="宋体" w:eastAsia="宋体" w:cs="Times New Roman"/>
                <w:color w:val="000000"/>
                <w:kern w:val="0"/>
                <w:sz w:val="22"/>
                <w:szCs w:val="20"/>
              </w:rPr>
              <w:t>员工</w:t>
            </w:r>
            <w:r>
              <w:rPr>
                <w:rFonts w:ascii="宋体" w:hAnsi="宋体" w:eastAsia="宋体" w:cs="Times New Roman"/>
                <w:color w:val="000000"/>
                <w:kern w:val="0"/>
                <w:sz w:val="22"/>
                <w:szCs w:val="20"/>
              </w:rPr>
              <w:t>总</w:t>
            </w:r>
            <w:r>
              <w:rPr>
                <w:rFonts w:hint="eastAsia" w:ascii="宋体" w:hAnsi="宋体" w:eastAsia="宋体" w:cs="Times New Roman"/>
                <w:color w:val="000000"/>
                <w:kern w:val="0"/>
                <w:sz w:val="22"/>
                <w:szCs w:val="20"/>
              </w:rPr>
              <w:t>量</w:t>
            </w:r>
            <w:r>
              <w:rPr>
                <w:rFonts w:ascii="宋体" w:hAnsi="宋体" w:eastAsia="宋体" w:cs="Times New Roman"/>
                <w:color w:val="000000"/>
                <w:kern w:val="0"/>
                <w:sz w:val="22"/>
                <w:szCs w:val="20"/>
              </w:rPr>
              <w:t>的比例</w:t>
            </w:r>
            <w:r>
              <w:rPr>
                <w:rFonts w:hint="eastAsia" w:ascii="宋体" w:hAnsi="宋体" w:eastAsia="宋体" w:cs="Times New Roman"/>
                <w:color w:val="000000"/>
                <w:kern w:val="0"/>
                <w:sz w:val="22"/>
                <w:szCs w:val="20"/>
              </w:rPr>
              <w:t>%</w:t>
            </w:r>
          </w:p>
        </w:tc>
        <w:tc>
          <w:tcPr>
            <w:tcW w:w="2976"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（三）专利情况</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297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本期数量</w:t>
            </w:r>
          </w:p>
        </w:tc>
        <w:tc>
          <w:tcPr>
            <w:tcW w:w="297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w:t>
            </w:r>
            <w:r>
              <w:rPr>
                <w:rFonts w:ascii="宋体" w:hAnsi="宋体" w:eastAsia="宋体" w:cs="Times New Roman"/>
                <w:b/>
                <w:color w:val="000000"/>
                <w:kern w:val="0"/>
                <w:sz w:val="22"/>
                <w:szCs w:val="20"/>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clear" w:color="auto" w:fill="auto"/>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公司拥有的专利数量</w:t>
            </w:r>
          </w:p>
        </w:tc>
        <w:tc>
          <w:tcPr>
            <w:tcW w:w="2976" w:type="dxa"/>
            <w:shd w:val="clear" w:color="auto" w:fill="auto"/>
          </w:tcPr>
          <w:p>
            <w:pPr>
              <w:tabs>
                <w:tab w:val="left" w:pos="5140"/>
              </w:tabs>
              <w:rPr>
                <w:rFonts w:ascii="宋体" w:hAnsi="宋体" w:eastAsia="宋体" w:cs="Times New Roman"/>
                <w:color w:val="000000"/>
                <w:kern w:val="0"/>
                <w:sz w:val="22"/>
                <w:szCs w:val="20"/>
              </w:rPr>
            </w:pPr>
          </w:p>
        </w:tc>
        <w:tc>
          <w:tcPr>
            <w:tcW w:w="2977" w:type="dxa"/>
            <w:shd w:val="clear" w:color="auto" w:fill="auto"/>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clear" w:color="auto" w:fill="auto"/>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公司拥有的发明专利数量</w:t>
            </w:r>
          </w:p>
        </w:tc>
        <w:tc>
          <w:tcPr>
            <w:tcW w:w="2976" w:type="dxa"/>
            <w:shd w:val="clear" w:color="auto" w:fill="auto"/>
          </w:tcPr>
          <w:p>
            <w:pPr>
              <w:tabs>
                <w:tab w:val="left" w:pos="5140"/>
              </w:tabs>
              <w:rPr>
                <w:rFonts w:ascii="宋体" w:hAnsi="宋体" w:eastAsia="宋体" w:cs="Times New Roman"/>
                <w:color w:val="000000"/>
                <w:kern w:val="0"/>
                <w:sz w:val="22"/>
                <w:szCs w:val="20"/>
              </w:rPr>
            </w:pPr>
          </w:p>
        </w:tc>
        <w:tc>
          <w:tcPr>
            <w:tcW w:w="2977" w:type="dxa"/>
            <w:shd w:val="clear" w:color="auto" w:fill="auto"/>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（四）研发项目情况</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注：描述企业研发项目的目的</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所处阶段和</w:t>
            </w:r>
            <w:r>
              <w:rPr>
                <w:rFonts w:ascii="宋体" w:hAnsi="宋体" w:eastAsia="宋体" w:cs="Times New Roman"/>
                <w:i/>
                <w:color w:val="FF0000"/>
                <w:kern w:val="0"/>
                <w:sz w:val="20"/>
                <w:szCs w:val="44"/>
              </w:rPr>
              <w:t>拟达到的目标</w:t>
            </w:r>
            <w:r>
              <w:rPr>
                <w:rFonts w:hint="eastAsia" w:ascii="宋体" w:hAnsi="宋体" w:eastAsia="宋体" w:cs="Times New Roman"/>
                <w:i/>
                <w:color w:val="FF0000"/>
                <w:kern w:val="0"/>
                <w:sz w:val="20"/>
                <w:szCs w:val="44"/>
              </w:rPr>
              <w:t>，并预计对公司未来发展的影响，同时结合行业技术发展趋势，分析相关科研项目与行业技术水平的比较。若本年度研发投入总额占营业收入的比重较上年发生显著变化的，应当解释变化的原因；若研发投入资本化的比重发生重大变化的，应对其合理性进行分析。与其他单位合作研发的，还应披露合作协议的主要内容，权利义务划分约定及采取的保密措施等。</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rPr>
        <w:t>对</w:t>
      </w:r>
      <w:r>
        <w:rPr>
          <w:rFonts w:hint="eastAsia" w:ascii="Calibri Light" w:hAnsi="Calibri Light" w:eastAsia="微软雅黑" w:cs="Times New Roman"/>
          <w:b/>
          <w:bCs/>
          <w:sz w:val="22"/>
          <w:szCs w:val="32"/>
        </w:rPr>
        <w:t>关键审计事项的</w:t>
      </w:r>
      <w:r>
        <w:rPr>
          <w:rFonts w:ascii="Calibri Light" w:hAnsi="Calibri Light" w:eastAsia="微软雅黑" w:cs="Times New Roman"/>
          <w:b/>
          <w:bCs/>
          <w:sz w:val="22"/>
          <w:szCs w:val="32"/>
        </w:rPr>
        <w:t>说明</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注：如执行《中国注册会计师审计准则第</w:t>
            </w:r>
            <w:r>
              <w:rPr>
                <w:rFonts w:ascii="宋体" w:hAnsi="宋体" w:eastAsia="宋体" w:cs="Times New Roman"/>
                <w:i/>
                <w:color w:val="FF0000"/>
                <w:kern w:val="0"/>
                <w:sz w:val="20"/>
                <w:szCs w:val="44"/>
              </w:rPr>
              <w:t>1504号——在审计报告中沟通关键审计事项》的，应披露关键审计事项的具体内容，并分析对公司的影响。</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七</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企业社会责任</w:t>
      </w:r>
    </w:p>
    <w:p>
      <w:pPr>
        <w:rPr>
          <w:rFonts w:ascii="Calibri" w:hAnsi="Calibri" w:eastAsia="宋体" w:cs="Times New Roman"/>
          <w:b/>
        </w:rPr>
      </w:pPr>
      <w:r>
        <w:rPr>
          <w:rFonts w:hint="eastAsia" w:ascii="Calibri" w:hAnsi="Calibri" w:eastAsia="宋体" w:cs="Times New Roman"/>
        </w:rPr>
        <w:t>□  适用  □  不适用</w:t>
      </w:r>
    </w:p>
    <w:tbl>
      <w:tblPr>
        <w:tblStyle w:val="17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：公司应披露承担社会责任的工作情况，包括公司在保护债权人、职工、消费者、供应商、社区等利益相关者合法权益方面所承担的社会责任；</w:t>
            </w:r>
            <w:r>
              <w:rPr>
                <w:rFonts w:hint="eastAsia" w:cs="Times New Roman" w:asciiTheme="minorEastAsia" w:hAnsiTheme="minorEastAsia" w:eastAsiaTheme="minorEastAsia"/>
                <w:i/>
                <w:color w:val="FF0000"/>
                <w:kern w:val="0"/>
                <w:sz w:val="20"/>
                <w:szCs w:val="44"/>
              </w:rPr>
              <w:t>鼓励公司结合自身生产经营情况、战略发展规划、人才与资源优势等积极披露报告期内巩固拓展脱贫攻坚成果、乡村振兴等工作的具体情况</w:t>
            </w:r>
            <w:r>
              <w:rPr>
                <w:rFonts w:hint="eastAsia" w:ascii="宋体" w:hAnsi="宋体" w:eastAsia="宋体" w:cs="Times New Roman"/>
                <w:i/>
                <w:color w:val="FF0000"/>
                <w:kern w:val="0"/>
                <w:sz w:val="20"/>
                <w:szCs w:val="44"/>
              </w:rPr>
              <w:t>。</w:t>
            </w:r>
          </w:p>
        </w:tc>
      </w:tr>
    </w:tbl>
    <w:p>
      <w:pPr>
        <w:keepNext/>
        <w:keepLines/>
        <w:spacing w:before="100" w:after="100"/>
        <w:outlineLvl w:val="1"/>
        <w:rPr>
          <w:rFonts w:ascii="Calibri Light" w:hAnsi="Calibri Light" w:eastAsia="微软雅黑" w:cs="Times New Roman"/>
          <w:b/>
          <w:bCs/>
          <w:sz w:val="22"/>
          <w:szCs w:val="32"/>
        </w:rPr>
      </w:pPr>
      <w:bookmarkStart w:id="8" w:name="_Toc5435"/>
      <w:bookmarkStart w:id="9" w:name="_Toc12648"/>
      <w:r>
        <w:rPr>
          <w:rFonts w:hint="eastAsia" w:ascii="Calibri Light" w:hAnsi="Calibri Light" w:eastAsia="微软雅黑" w:cs="Times New Roman"/>
          <w:b/>
          <w:bCs/>
          <w:sz w:val="22"/>
          <w:szCs w:val="32"/>
        </w:rPr>
        <w:t>八</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未来展望</w:t>
      </w:r>
      <w:bookmarkEnd w:id="8"/>
      <w:bookmarkEnd w:id="9"/>
    </w:p>
    <w:p>
      <w:pPr>
        <w:rPr>
          <w:rFonts w:ascii="Calibri" w:hAnsi="Calibri" w:eastAsia="宋体" w:cs="Times New Roman"/>
          <w:b/>
        </w:rPr>
      </w:pPr>
      <w:r>
        <w:rPr>
          <w:rFonts w:hint="eastAsia" w:ascii="Calibri" w:hAnsi="Calibri" w:eastAsia="宋体" w:cs="Times New Roman"/>
          <w:b/>
        </w:rPr>
        <w:t>是否自愿</w:t>
      </w:r>
      <w:r>
        <w:rPr>
          <w:rFonts w:ascii="Calibri" w:hAnsi="Calibri" w:eastAsia="宋体" w:cs="Times New Roman"/>
          <w:b/>
        </w:rPr>
        <w:t>披露</w:t>
      </w:r>
    </w:p>
    <w:p>
      <w:pPr>
        <w:rPr>
          <w:rFonts w:ascii="Calibri" w:hAnsi="Calibri" w:eastAsia="宋体" w:cs="Times New Roman"/>
        </w:rPr>
      </w:pPr>
      <w:r>
        <w:rPr>
          <w:rFonts w:hint="eastAsia" w:ascii="Calibri" w:hAnsi="Calibri" w:eastAsia="宋体" w:cs="Times New Roman"/>
        </w:rPr>
        <w:t>□  是  □  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公司可对下一年度经营计划或目标进行说明。说明可以结合行业发展趋势、公司发展战略及其他可能影响经营计划或目标实现的不确定性因素展开。说明包括但不限于：</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（一）行业发展趋势。公司可介绍与公司业务关联的宏观经济层面或行业环境层面的发展趋势、公司的行业地位或区域市场地位的变动趋势，并说明上述发展趋势对公司未来经营业绩和盈利能力的影响。</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（二）公司发展战略。公司应披露公司发展战略或规划，以及拟开展的新业务、拟开发的新产品、拟投资的新项目等。若公司存在多种业务的，还应当说明各项业务的发展战略或规划。</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（三）经营计划或目标。披露经营计划或目标的，公司应同时简要披露公司经营计划涉及的投资资金的来源、成本及使用情况。</w:t>
            </w:r>
          </w:p>
          <w:p>
            <w:pPr>
              <w:tabs>
                <w:tab w:val="left" w:pos="5140"/>
              </w:tabs>
              <w:rPr>
                <w:rFonts w:hint="eastAsia" w:ascii="宋体" w:hAnsi="宋体" w:eastAsia="宋体" w:cs="Times New Roman"/>
                <w:i/>
                <w:color w:val="FF0000"/>
                <w:kern w:val="0"/>
                <w:sz w:val="20"/>
                <w:szCs w:val="44"/>
                <w:lang w:eastAsia="zh-CN"/>
              </w:rPr>
            </w:pPr>
            <w:r>
              <w:rPr>
                <w:rFonts w:hint="eastAsia" w:ascii="宋体" w:hAnsi="宋体" w:eastAsia="宋体" w:cs="Times New Roman"/>
                <w:i/>
                <w:color w:val="FF0000"/>
                <w:kern w:val="0"/>
                <w:sz w:val="20"/>
                <w:szCs w:val="44"/>
              </w:rPr>
              <w:t>（四）不确定性因素。公司应遵循关联性原则和重要性原则披露对未来发展战略或经营计划有重大影响的不确定性因素并进行说明与分析</w:t>
            </w:r>
            <w:r>
              <w:rPr>
                <w:rFonts w:hint="eastAsia" w:ascii="宋体" w:hAnsi="宋体" w:eastAsia="宋体" w:cs="Times New Roman"/>
                <w:i/>
                <w:color w:val="FF0000"/>
                <w:kern w:val="0"/>
                <w:sz w:val="20"/>
                <w:szCs w:val="44"/>
                <w:lang w:eastAsia="zh-CN"/>
              </w:rPr>
              <w:t>。</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九、公司面临的重大风险分析</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color w:val="000000"/>
                <w:kern w:val="0"/>
                <w:sz w:val="22"/>
              </w:rPr>
            </w:pPr>
            <w:r>
              <w:rPr>
                <w:rFonts w:hint="eastAsia" w:ascii="宋体" w:hAnsi="宋体" w:eastAsia="宋体" w:cs="Times New Roman"/>
                <w:i/>
                <w:color w:val="FF0000"/>
                <w:szCs w:val="44"/>
              </w:rPr>
              <w:t>注3：公司应分类列示公司相关及行业相关风险，精准、清晰、充分、具体地披露风险信息。</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rPr>
          <w:rFonts w:ascii="Calibri" w:hAnsi="Calibri" w:eastAsia="宋体" w:cs="Times New Roman"/>
          <w:b/>
        </w:rPr>
      </w:pPr>
      <w:r>
        <w:rPr>
          <w:rFonts w:hint="eastAsia" w:ascii="Calibri" w:hAnsi="Calibri" w:eastAsia="宋体" w:cs="Times New Roman"/>
          <w:b/>
        </w:rPr>
        <w:t>是否存在</w:t>
      </w:r>
      <w:r>
        <w:rPr>
          <w:rFonts w:ascii="Calibri" w:hAnsi="Calibri" w:eastAsia="宋体" w:cs="Times New Roman"/>
          <w:b/>
        </w:rPr>
        <w:t>被</w:t>
      </w:r>
      <w:r>
        <w:rPr>
          <w:rFonts w:hint="eastAsia" w:ascii="Calibri" w:hAnsi="Calibri" w:eastAsia="宋体" w:cs="Times New Roman"/>
          <w:b/>
        </w:rPr>
        <w:t>调出创新层的风险</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注：第二节第一到第九项披露的部分内容如与财务报表附注相同的，公司可以建立相关查询索引，避免重复。</w:t>
      </w:r>
    </w:p>
    <w:p>
      <w:pPr>
        <w:widowControl/>
        <w:rPr>
          <w:rFonts w:ascii="黑体" w:hAnsi="黑体" w:eastAsia="黑体" w:cs="Times New Roman"/>
          <w:color w:val="000000"/>
          <w:sz w:val="36"/>
          <w:szCs w:val="28"/>
        </w:rPr>
        <w:sectPr>
          <w:footerReference r:id="rId3" w:type="default"/>
          <w:pgSz w:w="11907" w:h="16840"/>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2"/>
        <w:spacing w:before="100" w:after="100" w:line="240" w:lineRule="auto"/>
        <w:jc w:val="center"/>
        <w:rPr>
          <w:rFonts w:eastAsia="黑体"/>
          <w:sz w:val="36"/>
        </w:rPr>
      </w:pPr>
      <w:bookmarkStart w:id="10" w:name="_Toc9124"/>
      <w:bookmarkStart w:id="11" w:name="_Toc23678"/>
      <w:r>
        <w:rPr>
          <w:rFonts w:hint="eastAsia" w:eastAsia="黑体"/>
          <w:sz w:val="36"/>
        </w:rPr>
        <w:t>第三节</w:t>
      </w:r>
      <w:r>
        <w:rPr>
          <w:rFonts w:eastAsia="黑体"/>
          <w:sz w:val="36"/>
        </w:rPr>
        <w:t xml:space="preserve"> </w:t>
      </w:r>
      <w:r>
        <w:rPr>
          <w:rFonts w:hint="eastAsia" w:eastAsia="黑体"/>
          <w:sz w:val="36"/>
        </w:rPr>
        <w:t>重大事件</w:t>
      </w:r>
      <w:bookmarkEnd w:id="10"/>
      <w:bookmarkEnd w:id="11"/>
    </w:p>
    <w:p>
      <w:pPr>
        <w:keepNext/>
        <w:keepLines/>
        <w:spacing w:before="100" w:after="100"/>
        <w:outlineLvl w:val="1"/>
        <w:rPr>
          <w:rFonts w:ascii="Calibri Light" w:hAnsi="Calibri Light" w:eastAsia="微软雅黑" w:cs="Times New Roman"/>
          <w:b/>
          <w:bCs/>
          <w:sz w:val="22"/>
          <w:szCs w:val="32"/>
        </w:rPr>
      </w:pPr>
      <w:bookmarkStart w:id="12" w:name="_Toc25807"/>
      <w:bookmarkStart w:id="13" w:name="_Toc21538"/>
      <w:r>
        <w:rPr>
          <w:rFonts w:hint="eastAsia" w:ascii="Calibri Light" w:hAnsi="Calibri Light" w:eastAsia="微软雅黑" w:cs="Times New Roman"/>
          <w:b/>
          <w:bCs/>
          <w:sz w:val="22"/>
          <w:szCs w:val="32"/>
        </w:rPr>
        <w:t>一、重大事件索引</w:t>
      </w:r>
      <w:bookmarkEnd w:id="12"/>
      <w:bookmarkEnd w:id="13"/>
    </w:p>
    <w:tbl>
      <w:tblPr>
        <w:tblStyle w:val="45"/>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是否存在提供担保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对外提供借款</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经股东会审议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是否存在应当披露的其他重大事项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bookmarkStart w:id="14" w:name="_Toc24892"/>
      <w:bookmarkStart w:id="15" w:name="_Toc3806"/>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rPr>
          <w:rFonts w:ascii="Calibri" w:hAnsi="Calibri" w:eastAsia="宋体" w:cs="Times New Roman"/>
        </w:rPr>
      </w:pPr>
      <w:r>
        <w:rPr>
          <w:rFonts w:ascii="宋体" w:hAnsi="宋体" w:eastAsia="宋体" w:cs="宋体"/>
          <w:i/>
          <w:iCs/>
          <w:color w:val="FF0000"/>
          <w:szCs w:val="21"/>
        </w:rPr>
        <w:t>2、涉及金额按原告或申请人的金额计算；涉及反诉或反请求的，涉及金额以双方主张金额的较高者计算。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ind w:left="181" w:leftChars="86"/>
        <w:rPr>
          <w:rFonts w:ascii="Calibri" w:hAnsi="Calibri" w:eastAsia="宋体" w:cs="Times New Roman"/>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5"/>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5"/>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highlight w:val="yellow"/>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8"/>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（二）公司发生的提供担保事项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rFonts w:ascii="Calibri" w:hAnsi="Calibri" w:eastAsia="宋体" w:cs="Times New Roman"/>
          <w:b/>
        </w:rPr>
      </w:pPr>
      <w:r>
        <w:rPr>
          <w:rFonts w:hint="eastAsia" w:ascii="Calibri" w:hAnsi="Calibri" w:eastAsia="宋体" w:cs="Times New Roman"/>
          <w:b/>
        </w:rPr>
        <w:t>挂牌公司及合并报表范围内子公司存在提供担保</w:t>
      </w:r>
    </w:p>
    <w:p>
      <w:pPr>
        <w:rPr>
          <w:rFonts w:ascii="Calibri" w:hAnsi="Calibri" w:eastAsia="宋体" w:cs="Times New Roman"/>
        </w:rPr>
      </w:pPr>
      <w:r>
        <w:rPr>
          <w:rFonts w:hint="eastAsia" w:ascii="Calibri" w:hAnsi="Calibri" w:eastAsia="宋体" w:cs="Times New Roman"/>
        </w:rPr>
        <w:t>□  是  □  否</w:t>
      </w:r>
    </w:p>
    <w:p>
      <w:pPr>
        <w:jc w:val="right"/>
        <w:rPr>
          <w:rFonts w:ascii="Calibri" w:hAnsi="Calibri" w:eastAsia="宋体" w:cs="Times New Roman"/>
        </w:rPr>
      </w:pPr>
      <w:r>
        <w:rPr>
          <w:rFonts w:hint="eastAsia" w:ascii="Calibri" w:hAnsi="Calibri" w:eastAsia="宋体" w:cs="Times New Roman"/>
        </w:rPr>
        <w:t>单位：元</w:t>
      </w:r>
    </w:p>
    <w:tbl>
      <w:tblPr>
        <w:tblStyle w:val="45"/>
        <w:tblW w:w="1090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c>
          <w:tcPr>
            <w:tcW w:w="1275" w:type="dxa"/>
            <w:vMerge w:val="restart"/>
            <w:tcBorders>
              <w:top w:val="single" w:color="5B9BD5" w:sz="4" w:space="0"/>
              <w:left w:val="single" w:color="5B9BD5" w:sz="4" w:space="0"/>
              <w:right w:val="single" w:color="5B9BD5" w:sz="4" w:space="0"/>
            </w:tcBorders>
            <w:shd w:val="clear" w:color="auto" w:fill="E7E6E6"/>
            <w:vAlign w:val="center"/>
          </w:tcPr>
          <w:p>
            <w:pPr>
              <w:jc w:val="center"/>
              <w:rPr>
                <w:rFonts w:hint="eastAsia"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left w:val="single" w:color="5B9BD5" w:sz="4" w:space="0"/>
              <w:bottom w:val="single" w:color="5B9BD5" w:sz="4" w:space="0"/>
              <w:right w:val="single" w:color="5B9BD5" w:sz="4" w:space="0"/>
            </w:tcBorders>
            <w:shd w:val="clear" w:color="auto" w:fill="E7E6E6"/>
            <w:vAlign w:val="center"/>
          </w:tcPr>
          <w:p>
            <w:pPr>
              <w:widowControl w:val="0"/>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hint="eastAsia" w:ascii="宋体" w:hAnsi="宋体" w:eastAsia="宋体" w:cs="Times New Roman"/>
                <w:color w:val="FF0000"/>
                <w:sz w:val="22"/>
              </w:rPr>
            </w:pPr>
            <w:r>
              <w:rPr>
                <w:rFonts w:hint="eastAsia" w:ascii="宋体" w:hAnsi="宋体" w:eastAsia="宋体" w:cs="Times New Roman"/>
                <w:color w:val="FF0000"/>
                <w:sz w:val="22"/>
              </w:rPr>
              <w:t>（不涉及/是/否）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14:textFill>
                  <w14:solidFill>
                    <w14:schemeClr w14:val="tx1"/>
                  </w14:solidFill>
                </w14:textFill>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tcPr>
          <w:p>
            <w:pPr>
              <w:jc w:val="center"/>
              <w:rPr>
                <w:rFonts w:hint="eastAsia"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0"/>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5"/>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w:t>
            </w:r>
            <w:r>
              <w:rPr>
                <w:rFonts w:hint="eastAsia" w:ascii="宋体" w:hAnsi="宋体" w:eastAsia="宋体" w:cs="Times New Roman"/>
                <w:b/>
                <w:color w:val="000000"/>
                <w:szCs w:val="21"/>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公司直接或间接为资产负债率超过</w:t>
            </w:r>
            <w:r>
              <w:rPr>
                <w:rFonts w:ascii="宋体" w:hAnsi="宋体" w:eastAsia="宋体" w:cs="Times New Roman"/>
                <w:color w:val="000000"/>
                <w:szCs w:val="21"/>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公司担保总额超过净资产</w:t>
            </w:r>
            <w:r>
              <w:rPr>
                <w:rFonts w:ascii="宋体" w:hAnsi="宋体" w:eastAsia="宋体" w:cs="Times New Roman"/>
                <w:color w:val="000000"/>
                <w:szCs w:val="21"/>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4"/>
      <w:bookmarkEnd w:id="15"/>
    </w:tbl>
    <w:p>
      <w:pPr>
        <w:jc w:val="left"/>
        <w:rPr>
          <w:rFonts w:ascii="宋体" w:hAnsi="宋体" w:eastAsia="宋体" w:cs="Times New Roman"/>
          <w:b/>
          <w:color w:val="000000"/>
          <w:szCs w:val="24"/>
        </w:rPr>
      </w:pPr>
      <w:bookmarkStart w:id="16" w:name="_Toc24864"/>
      <w:bookmarkStart w:id="17" w:name="_Toc1024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（三）对外提供借款情况</w:t>
      </w:r>
    </w:p>
    <w:p>
      <w:pPr>
        <w:rPr>
          <w:rFonts w:ascii="宋体" w:hAnsi="宋体" w:eastAsia="宋体" w:cs="Times New Roman"/>
          <w:b/>
          <w:color w:val="000000"/>
          <w:szCs w:val="44"/>
        </w:rPr>
      </w:pPr>
      <w:r>
        <w:rPr>
          <w:rFonts w:hint="eastAsia" w:ascii="Calibri" w:hAnsi="Calibri" w:eastAsia="宋体" w:cs="Times New Roman"/>
          <w:i/>
          <w:color w:val="FF0000"/>
        </w:rPr>
        <w:t>注：可</w:t>
      </w:r>
      <w:r>
        <w:rPr>
          <w:rFonts w:ascii="Calibri" w:hAnsi="Calibri" w:eastAsia="宋体" w:cs="Times New Roman"/>
          <w:i/>
          <w:color w:val="FF0000"/>
        </w:rPr>
        <w:t>免于披露已在</w:t>
      </w:r>
      <w:r>
        <w:rPr>
          <w:rFonts w:hint="eastAsia" w:ascii="Calibri" w:hAnsi="Calibri" w:eastAsia="宋体" w:cs="Times New Roman"/>
          <w:i/>
          <w:color w:val="FF0000"/>
        </w:rPr>
        <w:t>“（四）股东及其关联方占用或转移公司资金、资产及其他资源的情况”中</w:t>
      </w:r>
      <w:r>
        <w:rPr>
          <w:rFonts w:ascii="Calibri" w:hAnsi="Calibri" w:eastAsia="宋体" w:cs="Times New Roman"/>
          <w:i/>
          <w:color w:val="FF0000"/>
        </w:rPr>
        <w:t>披露的事项。</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1006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002"/>
        <w:gridCol w:w="978"/>
        <w:gridCol w:w="1149"/>
        <w:gridCol w:w="840"/>
        <w:gridCol w:w="851"/>
        <w:gridCol w:w="850"/>
        <w:gridCol w:w="709"/>
        <w:gridCol w:w="851"/>
        <w:gridCol w:w="708"/>
        <w:gridCol w:w="1377"/>
        <w:gridCol w:w="7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78" w:hRule="atLeast"/>
          <w:jc w:val="center"/>
        </w:trPr>
        <w:tc>
          <w:tcPr>
            <w:tcW w:w="1002"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w:t>
            </w:r>
          </w:p>
        </w:tc>
        <w:tc>
          <w:tcPr>
            <w:tcW w:w="97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债务人与公司</w:t>
            </w:r>
            <w:r>
              <w:rPr>
                <w:rFonts w:ascii="宋体" w:hAnsi="宋体" w:eastAsia="宋体" w:cs="Times New Roman"/>
                <w:b/>
                <w:color w:val="000000"/>
                <w:sz w:val="22"/>
              </w:rPr>
              <w:t>的关联关系</w:t>
            </w:r>
          </w:p>
        </w:tc>
        <w:tc>
          <w:tcPr>
            <w:tcW w:w="1149" w:type="dxa"/>
            <w:vMerge w:val="restar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债务人是否为</w:t>
            </w:r>
            <w:r>
              <w:rPr>
                <w:rFonts w:ascii="宋体" w:hAnsi="宋体" w:eastAsia="宋体" w:cs="Times New Roman"/>
                <w:b/>
                <w:color w:val="000000"/>
                <w:sz w:val="22"/>
              </w:rPr>
              <w:t>公司董事、监事及高级管理人员</w:t>
            </w:r>
          </w:p>
        </w:tc>
        <w:tc>
          <w:tcPr>
            <w:tcW w:w="1691"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借款期间</w:t>
            </w:r>
          </w:p>
        </w:tc>
        <w:tc>
          <w:tcPr>
            <w:tcW w:w="8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期初余额</w:t>
            </w:r>
          </w:p>
        </w:tc>
        <w:tc>
          <w:tcPr>
            <w:tcW w:w="709"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本期新增</w:t>
            </w:r>
          </w:p>
        </w:tc>
        <w:tc>
          <w:tcPr>
            <w:tcW w:w="851"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本期减少</w:t>
            </w:r>
          </w:p>
        </w:tc>
        <w:tc>
          <w:tcPr>
            <w:tcW w:w="70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期末余额</w:t>
            </w:r>
          </w:p>
        </w:tc>
        <w:tc>
          <w:tcPr>
            <w:tcW w:w="1377"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是否履行</w:t>
            </w:r>
            <w:r>
              <w:rPr>
                <w:rFonts w:ascii="宋体" w:hAnsi="宋体" w:eastAsia="宋体" w:cs="Times New Roman"/>
                <w:b/>
                <w:color w:val="000000"/>
                <w:sz w:val="22"/>
              </w:rPr>
              <w:t>审议程序</w:t>
            </w:r>
          </w:p>
        </w:tc>
        <w:tc>
          <w:tcPr>
            <w:tcW w:w="750" w:type="dxa"/>
            <w:vMerge w:val="restart"/>
            <w:shd w:val="pct10" w:color="auto" w:fill="auto"/>
            <w:vAlign w:val="center"/>
          </w:tcPr>
          <w:p>
            <w:pPr>
              <w:jc w:val="both"/>
              <w:rPr>
                <w:rFonts w:ascii="宋体" w:hAnsi="宋体" w:eastAsia="宋体" w:cs="Times New Roman"/>
                <w:b/>
                <w:color w:val="000000"/>
                <w:sz w:val="22"/>
              </w:rPr>
            </w:pPr>
            <w:r>
              <w:rPr>
                <w:rFonts w:hint="eastAsia" w:ascii="宋体" w:hAnsi="宋体" w:eastAsia="宋体" w:cs="Times New Roman"/>
                <w:b/>
                <w:color w:val="000000"/>
                <w:sz w:val="22"/>
              </w:rPr>
              <w:t>是否存在</w:t>
            </w:r>
            <w:r>
              <w:rPr>
                <w:rFonts w:ascii="宋体" w:hAnsi="宋体" w:eastAsia="宋体" w:cs="Times New Roman"/>
                <w:b/>
                <w:color w:val="000000"/>
                <w:sz w:val="22"/>
              </w:rPr>
              <w:t>抵质</w:t>
            </w:r>
          </w:p>
          <w:p>
            <w:pPr>
              <w:jc w:val="center"/>
              <w:rPr>
                <w:rFonts w:ascii="宋体" w:hAnsi="宋体" w:eastAsia="宋体" w:cs="Times New Roman"/>
                <w:b/>
                <w:color w:val="000000"/>
                <w:sz w:val="22"/>
              </w:rPr>
            </w:pPr>
            <w:r>
              <w:rPr>
                <w:rFonts w:ascii="宋体" w:hAnsi="宋体" w:eastAsia="宋体" w:cs="Times New Roman"/>
                <w:b/>
                <w:color w:val="000000"/>
                <w:sz w:val="22"/>
              </w:rPr>
              <w:t>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24" w:hRule="atLeast"/>
          <w:jc w:val="center"/>
        </w:trPr>
        <w:tc>
          <w:tcPr>
            <w:tcW w:w="1002" w:type="dxa"/>
            <w:vMerge w:val="continue"/>
            <w:shd w:val="pct10" w:color="auto" w:fill="auto"/>
            <w:vAlign w:val="center"/>
          </w:tcPr>
          <w:p>
            <w:pPr>
              <w:ind w:left="181" w:leftChars="86"/>
              <w:jc w:val="center"/>
              <w:rPr>
                <w:rFonts w:ascii="宋体" w:hAnsi="宋体" w:eastAsia="宋体" w:cs="Times New Roman"/>
                <w:b/>
                <w:color w:val="000000"/>
                <w:sz w:val="20"/>
              </w:rPr>
            </w:pPr>
          </w:p>
        </w:tc>
        <w:tc>
          <w:tcPr>
            <w:tcW w:w="978" w:type="dxa"/>
            <w:vMerge w:val="continue"/>
            <w:shd w:val="pct10" w:color="auto" w:fill="auto"/>
            <w:vAlign w:val="center"/>
          </w:tcPr>
          <w:p>
            <w:pPr>
              <w:jc w:val="center"/>
              <w:rPr>
                <w:rFonts w:ascii="宋体" w:hAnsi="宋体" w:eastAsia="宋体" w:cs="Times New Roman"/>
                <w:b/>
                <w:color w:val="000000"/>
                <w:sz w:val="20"/>
              </w:rPr>
            </w:pPr>
          </w:p>
        </w:tc>
        <w:tc>
          <w:tcPr>
            <w:tcW w:w="1149" w:type="dxa"/>
            <w:vMerge w:val="continue"/>
            <w:shd w:val="pct10" w:color="auto" w:fill="auto"/>
          </w:tcPr>
          <w:p>
            <w:pPr>
              <w:jc w:val="center"/>
              <w:rPr>
                <w:rFonts w:ascii="宋体" w:hAnsi="宋体" w:eastAsia="宋体" w:cs="Times New Roman"/>
                <w:b/>
                <w:color w:val="000000"/>
                <w:sz w:val="20"/>
              </w:rPr>
            </w:pPr>
          </w:p>
        </w:tc>
        <w:tc>
          <w:tcPr>
            <w:tcW w:w="84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起始日期</w:t>
            </w:r>
          </w:p>
        </w:tc>
        <w:tc>
          <w:tcPr>
            <w:tcW w:w="85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终止日期</w:t>
            </w:r>
          </w:p>
        </w:tc>
        <w:tc>
          <w:tcPr>
            <w:tcW w:w="850" w:type="dxa"/>
            <w:vMerge w:val="continue"/>
            <w:shd w:val="pct10" w:color="auto" w:fill="auto"/>
            <w:vAlign w:val="center"/>
          </w:tcPr>
          <w:p>
            <w:pPr>
              <w:jc w:val="center"/>
              <w:rPr>
                <w:rFonts w:ascii="宋体" w:hAnsi="宋体" w:eastAsia="宋体" w:cs="Times New Roman"/>
                <w:b/>
                <w:color w:val="000000"/>
                <w:sz w:val="20"/>
              </w:rPr>
            </w:pPr>
          </w:p>
        </w:tc>
        <w:tc>
          <w:tcPr>
            <w:tcW w:w="709" w:type="dxa"/>
            <w:vMerge w:val="continue"/>
            <w:shd w:val="pct10" w:color="auto" w:fill="auto"/>
            <w:vAlign w:val="center"/>
          </w:tcPr>
          <w:p>
            <w:pPr>
              <w:jc w:val="center"/>
              <w:rPr>
                <w:rFonts w:ascii="宋体" w:hAnsi="宋体" w:eastAsia="宋体" w:cs="Times New Roman"/>
                <w:b/>
                <w:color w:val="000000"/>
                <w:sz w:val="20"/>
              </w:rPr>
            </w:pPr>
          </w:p>
        </w:tc>
        <w:tc>
          <w:tcPr>
            <w:tcW w:w="851" w:type="dxa"/>
            <w:vMerge w:val="continue"/>
            <w:shd w:val="pct10" w:color="auto" w:fill="auto"/>
            <w:vAlign w:val="center"/>
          </w:tcPr>
          <w:p>
            <w:pPr>
              <w:jc w:val="center"/>
              <w:rPr>
                <w:rFonts w:ascii="宋体" w:hAnsi="宋体" w:eastAsia="宋体" w:cs="Times New Roman"/>
                <w:b/>
                <w:color w:val="000000"/>
                <w:sz w:val="20"/>
              </w:rPr>
            </w:pPr>
          </w:p>
        </w:tc>
        <w:tc>
          <w:tcPr>
            <w:tcW w:w="708" w:type="dxa"/>
            <w:vMerge w:val="continue"/>
            <w:shd w:val="pct10" w:color="auto" w:fill="auto"/>
            <w:vAlign w:val="center"/>
          </w:tcPr>
          <w:p>
            <w:pPr>
              <w:jc w:val="center"/>
              <w:rPr>
                <w:rFonts w:ascii="宋体" w:hAnsi="宋体" w:eastAsia="宋体" w:cs="Times New Roman"/>
                <w:b/>
                <w:color w:val="000000"/>
                <w:sz w:val="20"/>
              </w:rPr>
            </w:pPr>
          </w:p>
        </w:tc>
        <w:tc>
          <w:tcPr>
            <w:tcW w:w="1377" w:type="dxa"/>
            <w:vMerge w:val="continue"/>
            <w:shd w:val="pct10" w:color="auto" w:fill="auto"/>
          </w:tcPr>
          <w:p>
            <w:pPr>
              <w:rPr>
                <w:rFonts w:ascii="宋体" w:hAnsi="宋体" w:eastAsia="宋体" w:cs="Times New Roman"/>
                <w:b/>
                <w:color w:val="FF0000"/>
                <w:sz w:val="20"/>
              </w:rPr>
            </w:pPr>
          </w:p>
        </w:tc>
        <w:tc>
          <w:tcPr>
            <w:tcW w:w="750" w:type="dxa"/>
            <w:vMerge w:val="continue"/>
            <w:shd w:val="pct10" w:color="auto" w:fill="auto"/>
          </w:tcPr>
          <w:p>
            <w:pPr>
              <w:rPr>
                <w:rFonts w:ascii="宋体" w:hAnsi="宋体" w:eastAsia="宋体" w:cs="Times New Roman"/>
                <w:b/>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p>
        </w:tc>
        <w:tc>
          <w:tcPr>
            <w:tcW w:w="978" w:type="dxa"/>
            <w:vAlign w:val="center"/>
          </w:tcPr>
          <w:p>
            <w:pPr>
              <w:ind w:left="181" w:leftChars="86"/>
              <w:jc w:val="center"/>
              <w:rPr>
                <w:rFonts w:ascii="宋体" w:hAnsi="宋体" w:eastAsia="宋体" w:cs="Times New Roman"/>
                <w:color w:val="FF0000"/>
                <w:sz w:val="20"/>
              </w:rPr>
            </w:pPr>
          </w:p>
        </w:tc>
        <w:tc>
          <w:tcPr>
            <w:tcW w:w="1149" w:type="dxa"/>
          </w:tcPr>
          <w:p>
            <w:pPr>
              <w:ind w:left="181" w:leftChars="86"/>
              <w:jc w:val="center"/>
              <w:rPr>
                <w:rFonts w:ascii="宋体" w:hAnsi="宋体" w:eastAsia="宋体" w:cs="Times New Roman"/>
                <w:color w:val="FF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c>
          <w:tcPr>
            <w:tcW w:w="84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日历控件</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w:t>
            </w:r>
            <w:r>
              <w:rPr>
                <w:rFonts w:ascii="宋体" w:hAnsi="宋体" w:eastAsia="宋体" w:cs="Times New Roman"/>
                <w:color w:val="FF0000"/>
                <w:sz w:val="20"/>
              </w:rPr>
              <w:t>控件</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（已事前及时履行</w:t>
            </w:r>
            <w:r>
              <w:rPr>
                <w:rFonts w:ascii="宋体" w:hAnsi="宋体" w:eastAsia="宋体" w:cs="Times New Roman"/>
                <w:color w:val="FF0000"/>
                <w:sz w:val="20"/>
              </w:rPr>
              <w:t>/</w:t>
            </w:r>
            <w:r>
              <w:rPr>
                <w:rFonts w:hint="eastAsia" w:ascii="宋体" w:hAnsi="宋体" w:eastAsia="宋体" w:cs="Times New Roman"/>
                <w:color w:val="FF0000"/>
                <w:sz w:val="20"/>
              </w:rPr>
              <w:t>已</w:t>
            </w:r>
            <w:r>
              <w:rPr>
                <w:rFonts w:ascii="宋体" w:hAnsi="宋体" w:eastAsia="宋体" w:cs="Times New Roman"/>
                <w:color w:val="FF0000"/>
                <w:sz w:val="20"/>
              </w:rPr>
              <w:t>事后补充履行/尚未履行</w:t>
            </w:r>
            <w:r>
              <w:rPr>
                <w:rFonts w:hint="eastAsia" w:ascii="宋体" w:hAnsi="宋体" w:eastAsia="宋体" w:cs="Times New Roman"/>
                <w:color w:val="FF0000"/>
                <w:sz w:val="20"/>
              </w:rPr>
              <w:t>）</w:t>
            </w:r>
          </w:p>
        </w:tc>
        <w:tc>
          <w:tcPr>
            <w:tcW w:w="75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r>
              <w:rPr>
                <w:rFonts w:hint="eastAsia" w:ascii="宋体" w:hAnsi="宋体" w:eastAsia="宋体" w:cs="Times New Roman"/>
                <w:color w:val="000000"/>
                <w:kern w:val="0"/>
                <w:sz w:val="20"/>
              </w:rPr>
              <w:t>（自动</w:t>
            </w:r>
            <w:r>
              <w:rPr>
                <w:rFonts w:ascii="宋体" w:hAnsi="宋体" w:eastAsia="宋体" w:cs="Times New Roman"/>
                <w:color w:val="000000"/>
                <w:kern w:val="0"/>
                <w:sz w:val="20"/>
              </w:rPr>
              <w:t>添行）</w:t>
            </w:r>
          </w:p>
        </w:tc>
        <w:tc>
          <w:tcPr>
            <w:tcW w:w="978" w:type="dxa"/>
            <w:vAlign w:val="center"/>
          </w:tcPr>
          <w:p>
            <w:pPr>
              <w:ind w:left="181" w:leftChars="86"/>
              <w:jc w:val="center"/>
              <w:rPr>
                <w:rFonts w:ascii="宋体" w:hAnsi="宋体" w:eastAsia="宋体" w:cs="Times New Roman"/>
                <w:color w:val="000000"/>
                <w:sz w:val="20"/>
              </w:rPr>
            </w:pP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p>
        </w:tc>
        <w:tc>
          <w:tcPr>
            <w:tcW w:w="851" w:type="dxa"/>
          </w:tcPr>
          <w:p>
            <w:pPr>
              <w:ind w:left="181" w:leftChars="86"/>
              <w:jc w:val="center"/>
              <w:rPr>
                <w:rFonts w:ascii="宋体" w:hAnsi="宋体" w:eastAsia="宋体" w:cs="Times New Roman"/>
                <w:color w:val="000000"/>
                <w:sz w:val="20"/>
              </w:rPr>
            </w:pP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合计</w:t>
            </w:r>
          </w:p>
        </w:tc>
        <w:tc>
          <w:tcPr>
            <w:tcW w:w="978" w:type="dxa"/>
            <w:vAlign w:val="center"/>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r>
              <w:rPr>
                <w:rFonts w:ascii="宋体" w:hAnsi="宋体" w:eastAsia="宋体" w:cs="Times New Roman"/>
                <w:color w:val="000000"/>
                <w:sz w:val="20"/>
              </w:rPr>
              <w:t>-</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对外提供借款</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归还</w:t>
      </w:r>
      <w:r>
        <w:rPr>
          <w:rFonts w:hint="eastAsia" w:ascii="宋体" w:hAnsi="宋体" w:eastAsia="宋体" w:cs="Times New Roman"/>
          <w:b/>
          <w:color w:val="000000"/>
          <w:szCs w:val="24"/>
        </w:rPr>
        <w:t>情况及</w:t>
      </w:r>
      <w:r>
        <w:rPr>
          <w:rFonts w:ascii="宋体" w:hAnsi="宋体" w:eastAsia="宋体" w:cs="Times New Roman"/>
          <w:b/>
          <w:color w:val="000000"/>
          <w:szCs w:val="24"/>
        </w:rPr>
        <w:t>对公司的影响</w:t>
      </w:r>
    </w:p>
    <w:tbl>
      <w:tblPr>
        <w:tblStyle w:val="181"/>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情况</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pPr w:leftFromText="180" w:rightFromText="180" w:vertAnchor="text" w:tblpXSpec="center" w:tblpY="1"/>
        <w:tblOverlap w:val="never"/>
        <w:tblW w:w="5717"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19"/>
        <w:gridCol w:w="1219"/>
        <w:gridCol w:w="1219"/>
        <w:gridCol w:w="1219"/>
        <w:gridCol w:w="1219"/>
        <w:gridCol w:w="1219"/>
        <w:gridCol w:w="1219"/>
        <w:gridCol w:w="121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625"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c>
          <w:tcPr>
            <w:tcW w:w="625" w:type="pct"/>
            <w:shd w:val="pct10" w:color="auto" w:fill="auto"/>
          </w:tcPr>
          <w:p>
            <w:pPr>
              <w:jc w:val="center"/>
              <w:rPr>
                <w:rFonts w:hint="eastAsia" w:ascii="宋体" w:hAnsi="宋体" w:eastAsia="宋体" w:cs="Times New Roman"/>
                <w:b/>
                <w:color w:val="000000"/>
                <w:sz w:val="22"/>
              </w:rPr>
            </w:pPr>
            <w:r>
              <w:rPr>
                <w:rFonts w:hint="eastAsia" w:ascii="宋体" w:hAnsi="宋体" w:eastAsia="宋体" w:cs="Times New Roman"/>
                <w:b/>
                <w:color w:val="00000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625"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hint="eastAsia" w:ascii="宋体" w:hAnsi="宋体" w:eastAsia="宋体" w:cs="Times New Roman"/>
                <w:color w:val="FF0000"/>
                <w:sz w:val="22"/>
              </w:rPr>
            </w:pPr>
          </w:p>
        </w:tc>
        <w:tc>
          <w:tcPr>
            <w:tcW w:w="625" w:type="pct"/>
          </w:tcPr>
          <w:p>
            <w:pPr>
              <w:rPr>
                <w:rFonts w:hint="eastAsia"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625" w:type="pct"/>
            <w:shd w:val="clear" w:color="auto" w:fill="auto"/>
          </w:tcPr>
          <w:p>
            <w:pPr>
              <w:rPr>
                <w:rFonts w:ascii="宋体" w:hAnsi="宋体" w:eastAsia="宋体" w:cs="Times New Roman"/>
                <w:color w:val="FF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625" w:type="pct"/>
            <w:shd w:val="clear" w:color="auto" w:fill="auto"/>
          </w:tcPr>
          <w:p>
            <w:pPr>
              <w:rPr>
                <w:rFonts w:ascii="宋体" w:hAnsi="宋体" w:eastAsia="宋体" w:cs="Times New Roman"/>
                <w:color w:val="00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625"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7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购买原材料、燃料、动力,</w:t>
            </w:r>
            <w:r>
              <w:rPr>
                <w:rFonts w:ascii="宋体" w:hAnsi="宋体" w:eastAsia="宋体" w:cs="Times New Roman"/>
                <w:color w:val="000000"/>
                <w:sz w:val="22"/>
              </w:rPr>
              <w:t>接</w:t>
            </w:r>
            <w:r>
              <w:rPr>
                <w:rFonts w:hint="eastAsia" w:ascii="宋体" w:hAnsi="宋体" w:eastAsia="宋体" w:cs="Times New Roman"/>
                <w:color w:val="000000"/>
                <w:sz w:val="22"/>
              </w:rPr>
              <w:t>受</w:t>
            </w:r>
            <w:r>
              <w:rPr>
                <w:rFonts w:ascii="宋体" w:hAnsi="宋体" w:eastAsia="宋体" w:cs="Times New Roman"/>
                <w:color w:val="000000"/>
                <w:sz w:val="22"/>
              </w:rPr>
              <w:t>劳务</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销售产品</w:t>
            </w:r>
            <w:r>
              <w:rPr>
                <w:rFonts w:ascii="宋体" w:hAnsi="宋体" w:eastAsia="宋体" w:cs="Times New Roman"/>
                <w:color w:val="000000"/>
                <w:sz w:val="22"/>
              </w:rPr>
              <w:t>、商品</w:t>
            </w:r>
            <w:r>
              <w:rPr>
                <w:rFonts w:hint="eastAsia" w:ascii="宋体" w:hAnsi="宋体" w:eastAsia="宋体" w:cs="Times New Roman"/>
                <w:color w:val="000000"/>
                <w:sz w:val="22"/>
              </w:rPr>
              <w:t>，</w:t>
            </w:r>
            <w:r>
              <w:rPr>
                <w:rFonts w:ascii="宋体" w:hAnsi="宋体" w:eastAsia="宋体" w:cs="Times New Roman"/>
                <w:color w:val="000000"/>
                <w:sz w:val="22"/>
              </w:rPr>
              <w:t>提供劳务</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公司章程中</w:t>
            </w:r>
            <w:r>
              <w:rPr>
                <w:rFonts w:ascii="宋体" w:hAnsi="宋体" w:eastAsia="宋体" w:cs="Times New Roman"/>
                <w:color w:val="000000"/>
                <w:sz w:val="22"/>
              </w:rPr>
              <w:t>约定适用于本公司的日常关联交易类型</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其他</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841" w:type="pct"/>
            <w:vAlign w:val="center"/>
          </w:tcPr>
          <w:p>
            <w:pPr>
              <w:ind w:left="181" w:leftChars="86"/>
              <w:rPr>
                <w:rFonts w:hint="eastAsia" w:ascii="宋体" w:hAnsi="宋体" w:eastAsia="宋体" w:cs="Times New Roman"/>
                <w:color w:val="000000" w:themeColor="text1"/>
                <w:sz w:val="22"/>
                <w14:textFill>
                  <w14:solidFill>
                    <w14:schemeClr w14:val="tx1"/>
                  </w14:solidFill>
                </w14:textFill>
              </w:rPr>
            </w:pP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（六）经股东会审议通过的收购、出售资产、对外投资事项以及报告期内发生的企业合并事项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ind w:left="181" w:leftChars="86"/>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ind w:left="181" w:leftChars="86"/>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rPr>
                <w:rFonts w:ascii="宋体" w:hAnsi="宋体" w:eastAsia="宋体" w:cs="Times New Roman"/>
                <w:color w:val="000000"/>
                <w:sz w:val="22"/>
              </w:rPr>
            </w:pPr>
          </w:p>
        </w:tc>
        <w:tc>
          <w:tcPr>
            <w:tcW w:w="854"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835" w:type="pct"/>
            <w:vAlign w:val="center"/>
          </w:tcPr>
          <w:p>
            <w:pPr>
              <w:ind w:left="181" w:leftChars="86"/>
              <w:rPr>
                <w:rFonts w:ascii="宋体" w:hAnsi="宋体" w:eastAsia="宋体" w:cs="Times New Roman"/>
                <w:color w:val="000000"/>
                <w:kern w:val="0"/>
                <w:sz w:val="22"/>
              </w:rPr>
            </w:pPr>
          </w:p>
        </w:tc>
        <w:tc>
          <w:tcPr>
            <w:tcW w:w="958" w:type="pct"/>
            <w:vAlign w:val="center"/>
          </w:tcPr>
          <w:p>
            <w:pPr>
              <w:ind w:left="181" w:leftChars="86"/>
              <w:rPr>
                <w:rFonts w:ascii="宋体" w:hAnsi="宋体" w:eastAsia="宋体" w:cs="Times New Roman"/>
                <w:color w:val="000000"/>
                <w:kern w:val="0"/>
                <w:sz w:val="22"/>
              </w:rPr>
            </w:pPr>
          </w:p>
        </w:tc>
        <w:tc>
          <w:tcPr>
            <w:tcW w:w="735" w:type="pct"/>
            <w:vAlign w:val="center"/>
          </w:tcPr>
          <w:p>
            <w:pPr>
              <w:ind w:left="181" w:leftChars="86"/>
              <w:rPr>
                <w:rFonts w:ascii="宋体" w:hAnsi="宋体" w:eastAsia="宋体" w:cs="Times New Roman"/>
                <w:color w:val="000000"/>
                <w:kern w:val="0"/>
                <w:sz w:val="22"/>
              </w:rPr>
            </w:pPr>
          </w:p>
        </w:tc>
        <w:tc>
          <w:tcPr>
            <w:tcW w:w="808" w:type="pct"/>
            <w:vAlign w:val="center"/>
          </w:tcPr>
          <w:p>
            <w:pPr>
              <w:ind w:left="181" w:leftChars="86"/>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（七）</w:t>
      </w:r>
      <w:r>
        <w:rPr>
          <w:rFonts w:hint="eastAsia" w:ascii="Times New Roman" w:hAnsi="Times New Roman" w:eastAsia="宋体" w:cs="Times New Roman"/>
          <w:b/>
          <w:bCs/>
          <w:szCs w:val="32"/>
          <w:lang w:val="zh-CN"/>
        </w:rPr>
        <w:t>股权激励计划、员工持股计划或其他员工激励措施</w:t>
      </w:r>
      <w:bookmarkEnd w:id="16"/>
      <w:bookmarkEnd w:id="17"/>
    </w:p>
    <w:tbl>
      <w:tblPr>
        <w:tblStyle w:val="4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8" w:name="_Toc7804"/>
      <w:bookmarkStart w:id="19" w:name="_Toc31983"/>
      <w:r>
        <w:rPr>
          <w:rFonts w:hint="eastAsia" w:ascii="Times New Roman" w:hAnsi="Times New Roman" w:eastAsia="宋体" w:cs="Times New Roman"/>
          <w:b/>
          <w:bCs/>
          <w:szCs w:val="32"/>
          <w:lang w:val="zh-CN"/>
        </w:rPr>
        <w:t>（八）股份回购情况</w:t>
      </w:r>
    </w:p>
    <w:tbl>
      <w:tblPr>
        <w:tblStyle w:val="18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（九）承诺事项的履行情况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5"/>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资产1</w:t>
            </w:r>
          </w:p>
        </w:tc>
        <w:tc>
          <w:tcPr>
            <w:tcW w:w="1631" w:type="dxa"/>
          </w:tcPr>
          <w:p>
            <w:pPr>
              <w:ind w:left="181" w:leftChars="86"/>
              <w:rPr>
                <w:rFonts w:ascii="宋体" w:hAnsi="宋体" w:eastAsia="宋体" w:cs="Times New Roman"/>
                <w:color w:val="000000"/>
                <w:sz w:val="22"/>
              </w:rPr>
            </w:pPr>
          </w:p>
        </w:tc>
        <w:tc>
          <w:tcPr>
            <w:tcW w:w="1631" w:type="dxa"/>
            <w:vAlign w:val="center"/>
          </w:tcPr>
          <w:p>
            <w:pPr>
              <w:tabs>
                <w:tab w:val="left" w:pos="5140"/>
              </w:tabs>
              <w:ind w:left="181" w:leftChars="86"/>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（十一）调查</w:t>
      </w:r>
      <w:r>
        <w:rPr>
          <w:rFonts w:ascii="Times New Roman" w:hAnsi="Times New Roman" w:eastAsia="宋体" w:cs="Times New Roman"/>
          <w:b/>
          <w:bCs/>
          <w:lang w:val="zh-CN"/>
        </w:rPr>
        <w:t>处罚事项</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w:t>
      </w:r>
      <w:r>
        <w:rPr>
          <w:rFonts w:hint="eastAsia" w:ascii="Times New Roman" w:hAnsi="Times New Roman" w:eastAsia="宋体" w:cs="Times New Roman"/>
          <w:szCs w:val="32"/>
          <w:lang w:val="zh-CN"/>
        </w:rPr>
        <w:t>十二</w:t>
      </w:r>
      <w:r>
        <w:rPr>
          <w:rFonts w:hint="eastAsia" w:ascii="Times New Roman" w:hAnsi="Times New Roman" w:eastAsia="宋体" w:cs="Times New Roman"/>
          <w:b/>
          <w:bCs/>
          <w:lang w:val="zh-CN"/>
        </w:rPr>
        <w:t>）失信情况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（十三）应当披露的其他重大</w:t>
      </w:r>
      <w:r>
        <w:rPr>
          <w:rFonts w:ascii="Times New Roman" w:hAnsi="Times New Roman" w:eastAsia="宋体" w:cs="Times New Roman"/>
          <w:b/>
          <w:bCs/>
          <w:lang w:val="zh-CN"/>
        </w:rPr>
        <w:t>事项</w:t>
      </w:r>
    </w:p>
    <w:tbl>
      <w:tblPr>
        <w:tblStyle w:val="18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注：（1）公司应当披露报告期内其他发生可能对挂牌公司股票及其他证券品种交易价格产生较大影响，或者对投资者作出投资决策有较大影响的重大事件，以及公司董事会判断为重大事件的事项。</w:t>
            </w:r>
          </w:p>
          <w:p>
            <w:pPr>
              <w:tabs>
                <w:tab w:val="left" w:pos="5140"/>
              </w:tabs>
              <w:ind w:firstLine="200" w:firstLineChars="100"/>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（2）公司的控股子公司发生的本节所列重大事项，可能对投资者决策或者公司股票及其他证券品种交易价格产生较大影响的，公司应当视同公司的重大事项予以披露。</w:t>
            </w:r>
          </w:p>
        </w:tc>
      </w:tr>
      <w:bookmarkEnd w:id="18"/>
      <w:bookmarkEnd w:id="19"/>
    </w:tbl>
    <w:p>
      <w:pPr>
        <w:tabs>
          <w:tab w:val="left" w:pos="5140"/>
        </w:tabs>
        <w:jc w:val="center"/>
        <w:outlineLvl w:val="9"/>
        <w:rPr>
          <w:rFonts w:ascii="黑体" w:hAnsi="黑体" w:eastAsia="黑体" w:cs="Times New Roman"/>
          <w:color w:val="000000"/>
          <w:sz w:val="36"/>
          <w:szCs w:val="28"/>
        </w:rPr>
      </w:pPr>
      <w:bookmarkStart w:id="20" w:name="_Toc27292"/>
      <w:bookmarkStart w:id="21" w:name="_Toc16352"/>
      <w:r>
        <w:rPr>
          <w:rFonts w:ascii="黑体" w:hAnsi="黑体" w:eastAsia="黑体" w:cs="Times New Roman"/>
          <w:color w:val="000000"/>
          <w:sz w:val="36"/>
          <w:szCs w:val="28"/>
        </w:rPr>
        <w:br w:type="page"/>
      </w:r>
    </w:p>
    <w:p>
      <w:pPr>
        <w:pStyle w:val="2"/>
        <w:spacing w:before="100" w:after="100" w:line="240" w:lineRule="auto"/>
        <w:jc w:val="center"/>
        <w:rPr>
          <w:rFonts w:eastAsia="黑体"/>
          <w:sz w:val="36"/>
        </w:rPr>
      </w:pPr>
      <w:r>
        <w:rPr>
          <w:rFonts w:hint="eastAsia" w:eastAsia="黑体"/>
          <w:sz w:val="36"/>
        </w:rPr>
        <w:t>第四节 股份变动、融资和利润分配</w:t>
      </w:r>
      <w:bookmarkEnd w:id="20"/>
      <w:bookmarkEnd w:id="21"/>
    </w:p>
    <w:p>
      <w:pPr>
        <w:pStyle w:val="3"/>
        <w:spacing w:before="100" w:after="100" w:line="240" w:lineRule="auto"/>
        <w:rPr>
          <w:rFonts w:eastAsia="微软雅黑" w:asciiTheme="majorHAnsi" w:hAnsiTheme="majorHAnsi" w:cstheme="majorBidi"/>
          <w:sz w:val="22"/>
          <w:lang w:val="zh-CN"/>
        </w:rPr>
      </w:pPr>
      <w:bookmarkStart w:id="22" w:name="_Toc32232"/>
      <w:bookmarkStart w:id="23" w:name="_Toc28326"/>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22"/>
      <w:bookmarkEnd w:id="23"/>
    </w:p>
    <w:p>
      <w:pPr>
        <w:keepNext/>
        <w:keepLines/>
        <w:spacing w:before="100" w:after="100"/>
        <w:outlineLvl w:val="2"/>
        <w:rPr>
          <w:rFonts w:ascii="Times New Roman" w:hAnsi="Times New Roman" w:eastAsia="宋体" w:cs="Times New Roman"/>
          <w:b/>
          <w:bCs/>
          <w:szCs w:val="32"/>
          <w:lang w:val="zh-CN"/>
        </w:rPr>
      </w:pPr>
      <w:bookmarkStart w:id="24" w:name="_Toc20566"/>
      <w:bookmarkStart w:id="25" w:name="_Toc5389"/>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4"/>
      <w:bookmarkEnd w:id="25"/>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29"/>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6" w:name="_Toc16120"/>
      <w:bookmarkStart w:id="27" w:name="_Toc389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6"/>
      <w:bookmarkEnd w:id="27"/>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5"/>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5"/>
        <w:gridCol w:w="1174"/>
        <w:gridCol w:w="872"/>
        <w:gridCol w:w="727"/>
        <w:gridCol w:w="874"/>
        <w:gridCol w:w="872"/>
        <w:gridCol w:w="1310"/>
        <w:gridCol w:w="1312"/>
        <w:gridCol w:w="1166"/>
        <w:gridCol w:w="116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1"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5"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9"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7"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bl>
    <w:p>
      <w:pPr>
        <w:ind w:left="181" w:leftChars="86"/>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普通股前十名股东情况说明</w:t>
      </w:r>
    </w:p>
    <w:p>
      <w:pPr>
        <w:ind w:left="181" w:leftChars="86"/>
        <w:rPr>
          <w:b/>
        </w:rPr>
      </w:pPr>
      <w:r>
        <w:rPr>
          <w:rFonts w:hint="eastAsia"/>
        </w:rPr>
        <w:t>□  适用  □  不适用</w:t>
      </w:r>
    </w:p>
    <w:tbl>
      <w:tblPr>
        <w:tblStyle w:val="45"/>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i/>
                <w:color w:val="FF0000"/>
                <w:szCs w:val="44"/>
              </w:rPr>
            </w:pPr>
            <w:r>
              <w:rPr>
                <w:rFonts w:hint="eastAsia" w:asciiTheme="minorEastAsia" w:hAnsiTheme="minorEastAsia"/>
                <w:i/>
                <w:color w:val="FF0000"/>
                <w:szCs w:val="44"/>
              </w:rPr>
              <w:t>如普通股前十名股东之间存在关联关系或属于《上市公司收购管理办法》规定的一致行动人，应当予以说明。</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p>
            <w:pPr>
              <w:ind w:right="420" w:firstLine="420"/>
              <w:rPr>
                <w:rFonts w:ascii="Calibri" w:hAnsi="Calibri" w:eastAsia="宋体" w:cs="Times New Roman"/>
                <w:i/>
                <w:color w:val="FF0000"/>
              </w:rPr>
            </w:pPr>
            <w:r>
              <w:rPr>
                <w:rFonts w:hint="eastAsia"/>
                <w:i/>
                <w:color w:val="FF0000"/>
              </w:rPr>
              <w:t>（如控股股东与实际控制人一致，合并披露）</w:t>
            </w:r>
          </w:p>
        </w:tc>
      </w:tr>
    </w:tbl>
    <w:p>
      <w:pPr>
        <w:rPr>
          <w:rFonts w:ascii="Calibri" w:hAnsi="Calibri" w:eastAsia="宋体" w:cs="Times New Roman"/>
          <w:b/>
        </w:rPr>
      </w:pPr>
      <w:bookmarkStart w:id="28" w:name="_Toc21810"/>
      <w:bookmarkStart w:id="29" w:name="_Toc18570"/>
      <w:r>
        <w:rPr>
          <w:rFonts w:hint="eastAsia" w:ascii="Calibri" w:hAnsi="Calibri" w:eastAsia="宋体" w:cs="Times New Roman"/>
          <w:b/>
        </w:rPr>
        <w:t>是否</w:t>
      </w:r>
      <w:r>
        <w:rPr>
          <w:rFonts w:ascii="Calibri" w:hAnsi="Calibri" w:eastAsia="宋体" w:cs="Times New Roman"/>
          <w:b/>
        </w:rPr>
        <w:t>存在</w:t>
      </w:r>
      <w:r>
        <w:rPr>
          <w:rFonts w:hint="eastAsia" w:ascii="Calibri" w:hAnsi="Calibri" w:eastAsia="宋体" w:cs="Times New Roman"/>
          <w:b/>
        </w:rPr>
        <w:t>尚未</w:t>
      </w:r>
      <w:r>
        <w:rPr>
          <w:rFonts w:ascii="Calibri" w:hAnsi="Calibri" w:eastAsia="宋体" w:cs="Times New Roman"/>
          <w:b/>
        </w:rPr>
        <w:t>履行完毕的</w:t>
      </w:r>
      <w:r>
        <w:rPr>
          <w:rFonts w:hint="eastAsia" w:ascii="Calibri" w:hAnsi="Calibri" w:eastAsia="宋体" w:cs="Times New Roman"/>
          <w:b/>
        </w:rPr>
        <w:t>特殊投资条款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rPr>
          <w:rFonts w:ascii="Calibri" w:hAnsi="Calibri" w:eastAsia="宋体" w:cs="Times New Roman"/>
          <w:b/>
        </w:rPr>
      </w:pPr>
      <w:r>
        <w:rPr>
          <w:rFonts w:ascii="Calibri" w:hAnsi="Calibri" w:eastAsia="宋体" w:cs="Times New Roman"/>
          <w:b/>
        </w:rPr>
        <w:t>是否</w:t>
      </w:r>
      <w:r>
        <w:rPr>
          <w:rFonts w:hint="eastAsia" w:ascii="Calibri" w:hAnsi="Calibri" w:eastAsia="宋体" w:cs="Times New Roman"/>
          <w:b/>
        </w:rPr>
        <w:t>涉及发行上市、财务业绩等</w:t>
      </w:r>
      <w:r>
        <w:rPr>
          <w:rFonts w:ascii="Calibri" w:hAnsi="Calibri" w:eastAsia="宋体" w:cs="Times New Roman"/>
          <w:b/>
        </w:rPr>
        <w:t>对赌</w:t>
      </w:r>
      <w:r>
        <w:rPr>
          <w:rFonts w:hint="eastAsia" w:ascii="Calibri" w:hAnsi="Calibri" w:eastAsia="宋体" w:cs="Times New Roman"/>
          <w:b/>
        </w:rPr>
        <w:t>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tbl>
      <w:tblPr>
        <w:tblStyle w:val="45"/>
        <w:tblW w:w="583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9"/>
        <w:gridCol w:w="4225"/>
        <w:gridCol w:w="2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2" w:hRule="atLeast"/>
        </w:trPr>
        <w:tc>
          <w:tcPr>
            <w:tcW w:w="1392"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对赌目标</w:t>
            </w:r>
          </w:p>
        </w:tc>
        <w:tc>
          <w:tcPr>
            <w:tcW w:w="212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对赌期间</w:t>
            </w:r>
          </w:p>
        </w:tc>
        <w:tc>
          <w:tcPr>
            <w:tcW w:w="148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补偿方式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7" w:hRule="atLeast"/>
        </w:trPr>
        <w:tc>
          <w:tcPr>
            <w:tcW w:w="1392" w:type="pct"/>
            <w:tcBorders>
              <w:top w:val="single" w:color="5B9BD5" w:sz="4" w:space="0"/>
              <w:left w:val="single" w:color="5B9BD5" w:sz="4" w:space="0"/>
              <w:bottom w:val="single" w:color="5B9BD5" w:sz="4" w:space="0"/>
              <w:right w:val="single" w:color="5B9BD5" w:sz="4" w:space="0"/>
            </w:tcBorders>
            <w:vAlign w:val="center"/>
          </w:tcPr>
          <w:p>
            <w:pPr>
              <w:tabs>
                <w:tab w:val="left" w:pos="5140"/>
              </w:tabs>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发行上市/财务业绩/其他</w:t>
            </w:r>
          </w:p>
        </w:tc>
        <w:tc>
          <w:tcPr>
            <w:tcW w:w="2124" w:type="pct"/>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（对赌目标所涉期间，如X年X月X日之前，或X年X月X日-X年X月X日等）</w:t>
            </w:r>
          </w:p>
        </w:tc>
        <w:tc>
          <w:tcPr>
            <w:tcW w:w="1484"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股份回购/现金补偿/股权补偿/其他</w:t>
            </w:r>
          </w:p>
        </w:tc>
      </w:tr>
    </w:tbl>
    <w:p>
      <w:pPr>
        <w:rPr>
          <w:rFonts w:ascii="Calibri" w:hAnsi="Calibri" w:eastAsia="宋体" w:cs="Times New Roman"/>
          <w:b/>
        </w:rPr>
      </w:pPr>
      <w:r>
        <w:rPr>
          <w:rFonts w:hint="eastAsia" w:ascii="Calibri" w:hAnsi="Calibri" w:eastAsia="宋体" w:cs="Times New Roman"/>
          <w:b/>
        </w:rPr>
        <w:t>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报告期内公司、控股股东、实际控制人等存在尚未履行完毕的对赌等特殊投资条款，应当简要披露具体情况,包括但不限于签署方、触发条件、内部审议程序、相关条款的修改情况（如有）、履行进展或终止情况、履行或终止解除过程中是否存在纠纷、对公司控制权及生产经营等其他方面可能产生的影响、是否存在损害公司及其他股东利益的情形等。</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2"/>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73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2"/>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30" w:name="_Toc25205"/>
      <w:bookmarkStart w:id="31" w:name="_Toc18252"/>
      <w:r>
        <w:rPr>
          <w:rFonts w:hint="eastAsia" w:ascii="宋体" w:hAnsi="宋体" w:eastAsia="宋体" w:cs="Times New Roman"/>
          <w:b/>
          <w:color w:val="000000"/>
          <w:szCs w:val="44"/>
        </w:rPr>
        <w:t>（一）基本情况</w:t>
      </w:r>
      <w:bookmarkEnd w:id="30"/>
      <w:bookmarkEnd w:id="31"/>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8802"/>
      <w:bookmarkStart w:id="33" w:name="_Toc20245"/>
      <w:r>
        <w:rPr>
          <w:rFonts w:hint="eastAsia" w:ascii="宋体" w:hAnsi="宋体" w:eastAsia="宋体" w:cs="Times New Roman"/>
          <w:b/>
          <w:color w:val="000000"/>
          <w:szCs w:val="44"/>
        </w:rPr>
        <w:t>（二）股东情况</w:t>
      </w:r>
      <w:bookmarkEnd w:id="32"/>
      <w:bookmarkEnd w:id="33"/>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67"/>
        <w:gridCol w:w="567"/>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gridSpan w:val="2"/>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56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23805"/>
      <w:bookmarkStart w:id="35" w:name="_Toc4858"/>
      <w:r>
        <w:rPr>
          <w:rFonts w:hint="eastAsia" w:ascii="宋体" w:hAnsi="宋体" w:eastAsia="宋体" w:cs="Times New Roman"/>
          <w:b/>
          <w:color w:val="000000"/>
          <w:szCs w:val="44"/>
        </w:rPr>
        <w:t>（三）利润分配情况</w:t>
      </w:r>
      <w:bookmarkEnd w:id="34"/>
      <w:bookmarkEnd w:id="35"/>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7866"/>
      <w:bookmarkStart w:id="37" w:name="_Toc24383"/>
      <w:r>
        <w:rPr>
          <w:rFonts w:hint="eastAsia" w:ascii="宋体" w:hAnsi="宋体" w:eastAsia="宋体" w:cs="Times New Roman"/>
          <w:b/>
          <w:color w:val="000000"/>
          <w:szCs w:val="44"/>
        </w:rPr>
        <w:t>（四）回购情况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8" w:name="_Toc30085"/>
      <w:bookmarkStart w:id="39" w:name="_Toc8903"/>
      <w:r>
        <w:rPr>
          <w:rFonts w:hint="eastAsia" w:ascii="宋体" w:hAnsi="宋体" w:eastAsia="宋体" w:cs="Times New Roman"/>
          <w:b/>
          <w:color w:val="000000"/>
          <w:szCs w:val="44"/>
        </w:rPr>
        <w:t>（五）转换情况</w:t>
      </w:r>
      <w:bookmarkEnd w:id="38"/>
      <w:bookmarkEnd w:id="39"/>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40" w:name="_Toc14503"/>
      <w:bookmarkStart w:id="41" w:name="_Toc8453"/>
      <w:r>
        <w:rPr>
          <w:rFonts w:hint="eastAsia" w:ascii="宋体" w:hAnsi="宋体" w:eastAsia="宋体" w:cs="Times New Roman"/>
          <w:b/>
          <w:color w:val="000000"/>
          <w:szCs w:val="44"/>
        </w:rPr>
        <w:t>（六）表决权恢复情况</w:t>
      </w:r>
      <w:bookmarkEnd w:id="40"/>
      <w:bookmarkEnd w:id="41"/>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10" w:type="dxa"/>
          </w:tcPr>
          <w:p>
            <w:pPr>
              <w:ind w:right="42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债券</w:t>
            </w:r>
            <w:r>
              <w:rPr>
                <w:rFonts w:ascii="宋体" w:hAnsi="宋体" w:eastAsia="宋体" w:cs="Times New Roman"/>
                <w:b/>
                <w:color w:val="000000"/>
                <w:sz w:val="22"/>
                <w:szCs w:val="22"/>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融资金额</w:t>
            </w:r>
          </w:p>
        </w:tc>
        <w:tc>
          <w:tcPr>
            <w:tcW w:w="1206" w:type="dxa"/>
            <w:vMerge w:val="restart"/>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票面利率</w:t>
            </w:r>
            <w:r>
              <w:rPr>
                <w:rFonts w:hint="eastAsia" w:ascii="宋体" w:hAnsi="宋体" w:eastAsia="宋体" w:cs="Times New Roman"/>
                <w:b/>
                <w:color w:val="000000"/>
                <w:sz w:val="22"/>
                <w:szCs w:val="22"/>
              </w:rPr>
              <w:t>%</w:t>
            </w:r>
          </w:p>
        </w:tc>
        <w:tc>
          <w:tcPr>
            <w:tcW w:w="2410" w:type="dxa"/>
            <w:gridSpan w:val="2"/>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Cs w:val="21"/>
              </w:rPr>
            </w:pPr>
          </w:p>
        </w:tc>
        <w:tc>
          <w:tcPr>
            <w:tcW w:w="1010" w:type="dxa"/>
            <w:vMerge w:val="continue"/>
          </w:tcPr>
          <w:p>
            <w:pPr>
              <w:tabs>
                <w:tab w:val="left" w:pos="5140"/>
              </w:tabs>
              <w:rPr>
                <w:rFonts w:ascii="宋体" w:hAnsi="宋体" w:eastAsia="宋体" w:cs="Times New Roman"/>
                <w:color w:val="000000"/>
                <w:szCs w:val="21"/>
              </w:rPr>
            </w:pPr>
          </w:p>
        </w:tc>
        <w:tc>
          <w:tcPr>
            <w:tcW w:w="1485" w:type="dxa"/>
            <w:vMerge w:val="continue"/>
          </w:tcPr>
          <w:p>
            <w:pPr>
              <w:tabs>
                <w:tab w:val="left" w:pos="5140"/>
              </w:tabs>
              <w:rPr>
                <w:rFonts w:ascii="宋体" w:hAnsi="宋体" w:eastAsia="宋体" w:cs="Times New Roman"/>
                <w:color w:val="000000"/>
                <w:szCs w:val="21"/>
              </w:rPr>
            </w:pPr>
          </w:p>
        </w:tc>
        <w:tc>
          <w:tcPr>
            <w:tcW w:w="1545" w:type="dxa"/>
            <w:vMerge w:val="continue"/>
          </w:tcPr>
          <w:p>
            <w:pPr>
              <w:tabs>
                <w:tab w:val="left" w:pos="5140"/>
              </w:tabs>
              <w:rPr>
                <w:rFonts w:ascii="宋体" w:hAnsi="宋体" w:eastAsia="宋体" w:cs="Times New Roman"/>
                <w:color w:val="000000"/>
                <w:szCs w:val="21"/>
              </w:rPr>
            </w:pPr>
          </w:p>
        </w:tc>
        <w:tc>
          <w:tcPr>
            <w:tcW w:w="1206" w:type="dxa"/>
            <w:vMerge w:val="continue"/>
            <w:shd w:val="clear" w:color="auto" w:fill="E7E6E6" w:themeFill="background2"/>
          </w:tcPr>
          <w:p>
            <w:pPr>
              <w:tabs>
                <w:tab w:val="left" w:pos="5140"/>
              </w:tabs>
              <w:rPr>
                <w:rFonts w:ascii="宋体" w:hAnsi="宋体" w:eastAsia="宋体" w:cs="Times New Roman"/>
                <w:color w:val="000000"/>
                <w:szCs w:val="21"/>
              </w:rPr>
            </w:pPr>
          </w:p>
        </w:tc>
        <w:tc>
          <w:tcPr>
            <w:tcW w:w="1276" w:type="dxa"/>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起始日期</w:t>
            </w:r>
          </w:p>
        </w:tc>
        <w:tc>
          <w:tcPr>
            <w:tcW w:w="1134" w:type="dxa"/>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终止日期</w:t>
            </w:r>
          </w:p>
        </w:tc>
        <w:tc>
          <w:tcPr>
            <w:tcW w:w="850" w:type="dxa"/>
            <w:vMerge w:val="continue"/>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日历控件</w:t>
            </w:r>
          </w:p>
        </w:tc>
        <w:tc>
          <w:tcPr>
            <w:tcW w:w="1134"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w:t>
            </w:r>
            <w:r>
              <w:rPr>
                <w:rFonts w:ascii="宋体" w:hAnsi="宋体" w:eastAsia="宋体" w:cs="Times New Roman"/>
                <w:color w:val="FF0000"/>
                <w:sz w:val="22"/>
                <w:szCs w:val="22"/>
              </w:rPr>
              <w:t>控件</w:t>
            </w: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3" w:type="dxa"/>
          </w:tcPr>
          <w:p>
            <w:pPr>
              <w:tabs>
                <w:tab w:val="left" w:pos="5140"/>
              </w:tabs>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p>
        </w:tc>
        <w:tc>
          <w:tcPr>
            <w:tcW w:w="1134" w:type="dxa"/>
          </w:tcPr>
          <w:p>
            <w:pPr>
              <w:tabs>
                <w:tab w:val="left" w:pos="5140"/>
              </w:tabs>
              <w:rPr>
                <w:rFonts w:ascii="宋体" w:hAnsi="宋体" w:eastAsia="宋体" w:cs="Times New Roman"/>
                <w:color w:val="000000"/>
                <w:sz w:val="22"/>
                <w:szCs w:val="22"/>
              </w:rPr>
            </w:pP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合计</w:t>
            </w:r>
          </w:p>
        </w:tc>
        <w:tc>
          <w:tcPr>
            <w:tcW w:w="101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485"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545" w:type="dxa"/>
          </w:tcPr>
          <w:p>
            <w:pPr>
              <w:tabs>
                <w:tab w:val="left" w:pos="5140"/>
              </w:tabs>
              <w:jc w:val="center"/>
              <w:rPr>
                <w:rFonts w:ascii="宋体" w:hAnsi="宋体" w:eastAsia="宋体" w:cs="Times New Roman"/>
                <w:b/>
                <w:color w:val="000000"/>
                <w:sz w:val="22"/>
                <w:szCs w:val="22"/>
              </w:rPr>
            </w:pPr>
          </w:p>
        </w:tc>
        <w:tc>
          <w:tcPr>
            <w:tcW w:w="120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27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134"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85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60"/>
        <w:gridCol w:w="61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gridSpan w:val="2"/>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66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977"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42" w:name="_Toc18418"/>
      <w:bookmarkStart w:id="43" w:name="_Toc8826"/>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42"/>
      <w:bookmarkEnd w:id="43"/>
    </w:p>
    <w:p>
      <w:pPr>
        <w:keepNext/>
        <w:keepLines/>
        <w:spacing w:before="100" w:after="100"/>
        <w:outlineLvl w:val="2"/>
        <w:rPr>
          <w:rFonts w:ascii="Times New Roman" w:hAnsi="Times New Roman" w:eastAsia="宋体" w:cs="Times New Roman"/>
          <w:b/>
          <w:bCs/>
          <w:szCs w:val="32"/>
          <w:lang w:val="zh-CN"/>
        </w:rPr>
      </w:pPr>
      <w:bookmarkStart w:id="44" w:name="_Toc27262"/>
      <w:bookmarkStart w:id="45" w:name="_Toc22605"/>
      <w:r>
        <w:rPr>
          <w:rFonts w:hint="eastAsia" w:ascii="Times New Roman" w:hAnsi="Times New Roman" w:eastAsia="宋体" w:cs="Times New Roman"/>
          <w:b/>
          <w:bCs/>
          <w:szCs w:val="32"/>
          <w:lang w:val="zh-CN"/>
        </w:rPr>
        <w:t>（一）报告期内的利润分配与公积金转增股本情况</w:t>
      </w:r>
      <w:bookmarkEnd w:id="44"/>
      <w:bookmarkEnd w:id="4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股东会</w:t>
            </w:r>
            <w:r>
              <w:rPr>
                <w:rFonts w:ascii="宋体" w:hAnsi="宋体"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10股派现数</w:t>
            </w:r>
          </w:p>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（含税</w:t>
            </w:r>
            <w:r>
              <w:rPr>
                <w:rFonts w:ascii="Times New Roman" w:hAnsi="Times New Roman"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10股送股数</w:t>
            </w:r>
          </w:p>
        </w:tc>
        <w:tc>
          <w:tcPr>
            <w:tcW w:w="2339"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10股转</w:t>
            </w:r>
            <w:r>
              <w:rPr>
                <w:rFonts w:hint="eastAsia" w:ascii="Times New Roman" w:hAnsi="Times New Roman" w:eastAsia="宋体" w:cs="Times New Roman"/>
                <w:b/>
                <w:color w:val="000000"/>
                <w:kern w:val="0"/>
                <w:sz w:val="22"/>
                <w:szCs w:val="20"/>
              </w:rPr>
              <w:t>增</w:t>
            </w:r>
            <w:r>
              <w:rPr>
                <w:rFonts w:ascii="Times New Roman" w:hAnsi="Times New Roman"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（自行</w:t>
            </w:r>
            <w:r>
              <w:rPr>
                <w:rFonts w:ascii="宋体" w:hAnsi="宋体" w:eastAsia="宋体" w:cs="Times New Roman"/>
                <w:color w:val="000000"/>
                <w:kern w:val="0"/>
                <w:sz w:val="22"/>
                <w:szCs w:val="20"/>
              </w:rPr>
              <w:t>添行）</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624" w:type="dxa"/>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利润分配与公积金转增股本的执行情况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ascii="宋体" w:hAnsi="宋体" w:eastAsia="宋体" w:cs="Times New Roman"/>
                <w:i/>
                <w:color w:val="FF0000"/>
                <w:szCs w:val="44"/>
              </w:rPr>
              <w:t>注</w:t>
            </w:r>
            <w:r>
              <w:rPr>
                <w:rFonts w:hint="eastAsia" w:ascii="宋体" w:hAnsi="宋体" w:eastAsia="宋体" w:cs="Times New Roman"/>
                <w:i/>
                <w:color w:val="FF0000"/>
                <w:szCs w:val="44"/>
              </w:rPr>
              <w:t>：</w:t>
            </w:r>
            <w:r>
              <w:rPr>
                <w:rFonts w:ascii="宋体" w:hAnsi="宋体" w:eastAsia="宋体" w:cs="Times New Roman"/>
                <w:i/>
                <w:color w:val="FF0000"/>
                <w:szCs w:val="44"/>
              </w:rPr>
              <w:t>披露</w:t>
            </w:r>
            <w:r>
              <w:rPr>
                <w:rFonts w:hint="eastAsia" w:ascii="宋体" w:hAnsi="宋体" w:eastAsia="宋体" w:cs="Times New Roman"/>
                <w:i/>
                <w:color w:val="FF0000"/>
                <w:szCs w:val="44"/>
              </w:rPr>
              <w:t>利润分配与公积金转增股本</w:t>
            </w:r>
            <w:r>
              <w:rPr>
                <w:rFonts w:ascii="宋体" w:hAnsi="宋体" w:eastAsia="宋体" w:cs="Times New Roman"/>
                <w:i/>
                <w:color w:val="FF0000"/>
                <w:szCs w:val="44"/>
              </w:rPr>
              <w:t>相关议案审议情况</w:t>
            </w:r>
            <w:r>
              <w:rPr>
                <w:rFonts w:hint="eastAsia" w:ascii="宋体" w:hAnsi="宋体" w:eastAsia="宋体" w:cs="Times New Roman"/>
                <w:i/>
                <w:color w:val="FF0000"/>
                <w:szCs w:val="44"/>
              </w:rPr>
              <w:t>、</w:t>
            </w:r>
            <w:r>
              <w:rPr>
                <w:rFonts w:ascii="宋体" w:hAnsi="宋体" w:eastAsia="宋体" w:cs="Times New Roman"/>
                <w:i/>
                <w:color w:val="FF0000"/>
                <w:szCs w:val="44"/>
              </w:rPr>
              <w:t>执行情况</w:t>
            </w:r>
            <w:r>
              <w:rPr>
                <w:rFonts w:hint="eastAsia" w:ascii="宋体" w:hAnsi="宋体" w:eastAsia="宋体" w:cs="Times New Roman"/>
                <w:i/>
                <w:color w:val="FF0000"/>
                <w:szCs w:val="44"/>
              </w:rPr>
              <w:t>；</w:t>
            </w:r>
            <w:r>
              <w:rPr>
                <w:rFonts w:ascii="宋体" w:hAnsi="宋体" w:eastAsia="宋体" w:cs="Times New Roman"/>
                <w:i/>
                <w:color w:val="FF0000"/>
                <w:szCs w:val="44"/>
              </w:rPr>
              <w:t>对于</w:t>
            </w:r>
            <w:r>
              <w:rPr>
                <w:rFonts w:hint="eastAsia" w:ascii="宋体" w:hAnsi="宋体"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6" w:name="_Toc4775"/>
      <w:bookmarkStart w:id="47" w:name="_Toc30584"/>
      <w:r>
        <w:rPr>
          <w:rFonts w:hint="eastAsia" w:ascii="Times New Roman" w:hAnsi="Times New Roman" w:eastAsia="宋体" w:cs="Times New Roman"/>
          <w:b/>
          <w:bCs/>
          <w:szCs w:val="32"/>
          <w:lang w:val="zh-CN"/>
        </w:rPr>
        <w:t>（二）权益分派预案</w:t>
      </w:r>
      <w:bookmarkEnd w:id="46"/>
      <w:bookmarkEnd w:id="4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项目</w:t>
            </w:r>
          </w:p>
        </w:tc>
        <w:tc>
          <w:tcPr>
            <w:tcW w:w="2977"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10股派现数</w:t>
            </w:r>
            <w:r>
              <w:rPr>
                <w:rFonts w:hint="eastAsia" w:ascii="Times New Roman" w:hAnsi="Times New Roman" w:eastAsia="宋体" w:cs="Times New Roman"/>
                <w:b/>
                <w:color w:val="000000"/>
                <w:kern w:val="0"/>
                <w:sz w:val="22"/>
                <w:szCs w:val="20"/>
              </w:rPr>
              <w:t>（含税</w:t>
            </w:r>
            <w:r>
              <w:rPr>
                <w:rFonts w:ascii="Times New Roman" w:hAnsi="Times New Roman" w:eastAsia="宋体" w:cs="Times New Roman"/>
                <w:b/>
                <w:color w:val="000000"/>
                <w:kern w:val="0"/>
                <w:sz w:val="22"/>
                <w:szCs w:val="20"/>
              </w:rPr>
              <w:t>）</w:t>
            </w:r>
          </w:p>
        </w:tc>
        <w:tc>
          <w:tcPr>
            <w:tcW w:w="2268"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10股送股数</w:t>
            </w:r>
          </w:p>
        </w:tc>
        <w:tc>
          <w:tcPr>
            <w:tcW w:w="1770"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10股转</w:t>
            </w:r>
            <w:r>
              <w:rPr>
                <w:rFonts w:hint="eastAsia" w:ascii="Times New Roman" w:hAnsi="Times New Roman" w:eastAsia="宋体" w:cs="Times New Roman"/>
                <w:b/>
                <w:color w:val="000000"/>
                <w:kern w:val="0"/>
                <w:sz w:val="22"/>
                <w:szCs w:val="20"/>
              </w:rPr>
              <w:t>增</w:t>
            </w:r>
            <w:r>
              <w:rPr>
                <w:rFonts w:ascii="Times New Roman" w:hAnsi="Times New Roman"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年度分配预案</w:t>
            </w:r>
          </w:p>
        </w:tc>
        <w:tc>
          <w:tcPr>
            <w:tcW w:w="2977" w:type="dxa"/>
          </w:tcPr>
          <w:p>
            <w:pPr>
              <w:tabs>
                <w:tab w:val="left" w:pos="5140"/>
              </w:tabs>
              <w:rPr>
                <w:rFonts w:ascii="宋体" w:hAnsi="宋体" w:eastAsia="宋体" w:cs="Times New Roman"/>
                <w:color w:val="000000"/>
                <w:kern w:val="0"/>
                <w:sz w:val="22"/>
                <w:szCs w:val="20"/>
              </w:rPr>
            </w:pPr>
          </w:p>
        </w:tc>
        <w:tc>
          <w:tcPr>
            <w:tcW w:w="2268" w:type="dxa"/>
          </w:tcPr>
          <w:p>
            <w:pPr>
              <w:tabs>
                <w:tab w:val="left" w:pos="5140"/>
              </w:tabs>
              <w:rPr>
                <w:rFonts w:ascii="宋体" w:hAnsi="宋体" w:eastAsia="宋体" w:cs="Times New Roman"/>
                <w:color w:val="000000"/>
                <w:kern w:val="0"/>
                <w:sz w:val="22"/>
                <w:szCs w:val="20"/>
              </w:rPr>
            </w:pPr>
          </w:p>
        </w:tc>
        <w:tc>
          <w:tcPr>
            <w:tcW w:w="1770" w:type="dxa"/>
          </w:tcPr>
          <w:p>
            <w:pPr>
              <w:tabs>
                <w:tab w:val="left" w:pos="5140"/>
              </w:tabs>
              <w:rPr>
                <w:rFonts w:ascii="宋体" w:hAnsi="宋体" w:eastAsia="宋体" w:cs="Times New Roman"/>
                <w:color w:val="000000"/>
                <w:kern w:val="0"/>
                <w:sz w:val="22"/>
                <w:szCs w:val="20"/>
              </w:rPr>
            </w:pP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第五节 行业信息</w:t>
      </w:r>
    </w:p>
    <w:p>
      <w:pPr>
        <w:rPr>
          <w:rFonts w:ascii="Calibri" w:hAnsi="Calibri" w:eastAsia="宋体" w:cs="Times New Roman"/>
          <w:i/>
          <w:color w:val="FF0000"/>
        </w:rPr>
      </w:pPr>
      <w:r>
        <w:rPr>
          <w:rFonts w:hint="eastAsia" w:ascii="Calibri" w:hAnsi="Calibri" w:eastAsia="宋体" w:cs="Times New Roman"/>
          <w:i/>
          <w:color w:val="FF0000"/>
        </w:rPr>
        <w:t>注：根据全国股转公司制定并发布的《挂牌公司管理型行业分类指引》，属于环境治理业等行业的创新层挂牌公司应按照《全国中小企业股份转让系统挂牌公司信息披露指引</w:t>
      </w:r>
      <w:r>
        <w:rPr>
          <w:rFonts w:ascii="Calibri" w:hAnsi="Calibri" w:eastAsia="宋体" w:cs="Times New Roman"/>
          <w:i/>
          <w:color w:val="FF0000"/>
        </w:rPr>
        <w:t>——</w:t>
      </w:r>
      <w:r>
        <w:rPr>
          <w:rFonts w:hint="eastAsia" w:ascii="Calibri" w:hAnsi="Calibri" w:eastAsia="宋体" w:cs="Times New Roman"/>
          <w:i/>
          <w:color w:val="FF0000"/>
        </w:rPr>
        <w:t>环境治理公司》等相关规定在本节披露行业经营信息。</w:t>
      </w:r>
    </w:p>
    <w:p>
      <w:pPr>
        <w:rPr>
          <w:rFonts w:ascii="Calibri" w:hAnsi="Calibri" w:eastAsia="宋体" w:cs="Times New Roman"/>
          <w:i/>
          <w:color w:val="FF0000"/>
        </w:rPr>
      </w:pPr>
      <w:r>
        <w:rPr>
          <w:rFonts w:hint="eastAsia" w:ascii="Calibri" w:hAnsi="Calibri" w:eastAsia="宋体" w:cs="Times New Roman"/>
          <w:i/>
          <w:color w:val="FF0000"/>
        </w:rPr>
        <w:t>公司确属客观原因难以按照行业信息披露指引要求披露相关信息的，可以不予披露，但应当在本节对应部分解释未按要求进行披露的原因，并予以特别提示。</w:t>
      </w:r>
    </w:p>
    <w:p>
      <w:pPr>
        <w:tabs>
          <w:tab w:val="left" w:pos="2027"/>
        </w:tabs>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环境治理公司</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医药制造公司</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软件和信息技术服务公司</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计算机、通信和其他电子设备制造公司</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专业技术服务公司</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互联网和相关服务公司</w:t>
      </w:r>
      <w:r>
        <w:rPr>
          <w:rFonts w:ascii="Calibri" w:hAnsi="Calibri" w:eastAsia="宋体" w:cs="Times New Roman"/>
        </w:rPr>
        <w:t xml:space="preserve">  </w:t>
      </w:r>
      <w:r>
        <w:rPr>
          <w:rFonts w:hint="eastAsia" w:ascii="Calibri" w:hAnsi="Calibri" w:eastAsia="宋体" w:cs="Times New Roman"/>
        </w:rPr>
        <w:t>□零售公司</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农、林、牧、渔业</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教育</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广播、电视、电影和影视录音制作业</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化学原料和化学制品制造、化学纤维制造、橡胶和塑料制品、石油加工、炼焦和核燃料加工等化工相关业务</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卫生</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广告业</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锂电池</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建筑业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p>
          <w:p>
            <w:pPr>
              <w:tabs>
                <w:tab w:val="left" w:pos="5140"/>
              </w:tabs>
              <w:rPr>
                <w:rFonts w:ascii="宋体" w:hAnsi="宋体" w:eastAsia="宋体" w:cs="Times New Roman"/>
                <w:i/>
                <w:color w:val="FF0000"/>
                <w:kern w:val="0"/>
                <w:sz w:val="20"/>
                <w:szCs w:val="21"/>
              </w:rPr>
            </w:pPr>
          </w:p>
          <w:p>
            <w:pPr>
              <w:tabs>
                <w:tab w:val="left" w:pos="5140"/>
              </w:tabs>
              <w:rPr>
                <w:rFonts w:ascii="宋体" w:hAnsi="宋体" w:eastAsia="宋体" w:cs="Times New Roman"/>
                <w:i/>
                <w:color w:val="FF0000"/>
                <w:kern w:val="0"/>
                <w:sz w:val="20"/>
                <w:szCs w:val="21"/>
              </w:rPr>
            </w:pPr>
          </w:p>
          <w:p>
            <w:pPr>
              <w:tabs>
                <w:tab w:val="left" w:pos="5140"/>
              </w:tabs>
              <w:rPr>
                <w:rFonts w:ascii="宋体" w:hAnsi="宋体" w:eastAsia="宋体" w:cs="Times New Roman"/>
                <w:color w:val="000000"/>
                <w:kern w:val="0"/>
                <w:sz w:val="20"/>
                <w:szCs w:val="21"/>
              </w:rPr>
            </w:pPr>
          </w:p>
        </w:tc>
      </w:tr>
    </w:tbl>
    <w:p>
      <w:pPr>
        <w:outlineLvl w:val="9"/>
        <w:rPr>
          <w:rFonts w:eastAsia="黑体"/>
          <w:sz w:val="36"/>
        </w:rPr>
      </w:pPr>
      <w:r>
        <w:rPr>
          <w:rFonts w:eastAsia="黑体"/>
          <w:sz w:val="36"/>
        </w:rPr>
        <w:br w:type="page"/>
      </w: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bookmarkEnd w:id="28"/>
      <w:bookmarkEnd w:id="29"/>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8" w:name="_Toc22910"/>
      <w:bookmarkStart w:id="49" w:name="_Toc8141"/>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注：公司</w:t>
      </w:r>
      <w:r>
        <w:rPr>
          <w:rFonts w:ascii="Calibri" w:hAnsi="Calibri" w:eastAsia="宋体" w:cs="Times New Roman"/>
          <w:i/>
          <w:color w:val="FF0000"/>
        </w:rPr>
        <w:t>应当披露</w:t>
      </w:r>
      <w:r>
        <w:rPr>
          <w:rFonts w:hint="eastAsia" w:ascii="Calibri" w:hAnsi="Calibri" w:eastAsia="宋体" w:cs="Times New Roman"/>
          <w:i/>
          <w:color w:val="FF0000"/>
        </w:rPr>
        <w:t>现任</w:t>
      </w:r>
      <w:r>
        <w:rPr>
          <w:rFonts w:ascii="Calibri" w:hAnsi="Calibri" w:eastAsia="宋体" w:cs="Times New Roman"/>
          <w:i/>
          <w:color w:val="FF0000"/>
        </w:rPr>
        <w:t>及报告期内离任的董事、监事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w:t>
      </w:r>
      <w:r>
        <w:rPr>
          <w:rFonts w:ascii="Calibri" w:hAnsi="Calibri" w:eastAsia="宋体" w:cs="Times New Roman"/>
          <w:i/>
          <w:color w:val="FF0000"/>
        </w:rPr>
        <w:t>基本情况。</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6"/>
        <w:gridCol w:w="865"/>
        <w:gridCol w:w="728"/>
        <w:gridCol w:w="1166"/>
        <w:gridCol w:w="1166"/>
        <w:gridCol w:w="1166"/>
        <w:gridCol w:w="1019"/>
        <w:gridCol w:w="730"/>
        <w:gridCol w:w="1019"/>
        <w:gridCol w:w="11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5"/>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1"/>
        <w:gridCol w:w="2011"/>
        <w:gridCol w:w="2011"/>
        <w:gridCol w:w="2011"/>
        <w:gridCol w:w="20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5"/>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8"/>
    <w:bookmarkEnd w:id="49"/>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8"/>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0"/>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E7E6E6" w:themeFill="background2"/>
            <w:vAlign w:val="center"/>
          </w:tcPr>
          <w:p>
            <w:pPr>
              <w:jc w:val="center"/>
              <w:rPr>
                <w:b/>
                <w:sz w:val="22"/>
              </w:rPr>
            </w:pPr>
            <w:r>
              <w:rPr>
                <w:rFonts w:hint="eastAsia"/>
                <w:b/>
                <w:sz w:val="22"/>
              </w:rPr>
              <w:t>姓名</w:t>
            </w:r>
          </w:p>
        </w:tc>
        <w:tc>
          <w:tcPr>
            <w:tcW w:w="729" w:type="pct"/>
            <w:shd w:val="clear" w:color="auto" w:fill="E7E6E6" w:themeFill="background2"/>
            <w:vAlign w:val="center"/>
          </w:tcPr>
          <w:p>
            <w:pPr>
              <w:jc w:val="center"/>
              <w:rPr>
                <w:b/>
                <w:sz w:val="22"/>
              </w:rPr>
            </w:pPr>
            <w:r>
              <w:rPr>
                <w:rFonts w:hint="eastAsia"/>
                <w:b/>
                <w:sz w:val="22"/>
              </w:rPr>
              <w:t>变动情况</w:t>
            </w:r>
          </w:p>
        </w:tc>
        <w:tc>
          <w:tcPr>
            <w:tcW w:w="441" w:type="pct"/>
            <w:shd w:val="clear" w:color="auto" w:fill="E7E6E6" w:themeFill="background2"/>
            <w:vAlign w:val="center"/>
          </w:tcPr>
          <w:p>
            <w:pPr>
              <w:jc w:val="center"/>
              <w:rPr>
                <w:b/>
                <w:sz w:val="22"/>
              </w:rPr>
            </w:pPr>
            <w:r>
              <w:rPr>
                <w:rFonts w:hint="eastAsia"/>
                <w:b/>
                <w:sz w:val="22"/>
              </w:rPr>
              <w:t>职务</w:t>
            </w:r>
          </w:p>
        </w:tc>
        <w:tc>
          <w:tcPr>
            <w:tcW w:w="1250" w:type="pct"/>
            <w:shd w:val="clear" w:color="auto" w:fill="E7E6E6" w:themeFill="background2"/>
            <w:vAlign w:val="center"/>
          </w:tcPr>
          <w:p>
            <w:pPr>
              <w:widowControl/>
              <w:jc w:val="center"/>
              <w:rPr>
                <w:b/>
                <w:sz w:val="22"/>
              </w:rPr>
            </w:pPr>
            <w:r>
              <w:rPr>
                <w:rFonts w:hint="eastAsia"/>
                <w:b/>
                <w:sz w:val="22"/>
              </w:rPr>
              <w:t>期初持普通股股数</w:t>
            </w:r>
          </w:p>
        </w:tc>
        <w:tc>
          <w:tcPr>
            <w:tcW w:w="809" w:type="pct"/>
            <w:shd w:val="clear" w:color="auto" w:fill="E7E6E6" w:themeFill="background2"/>
            <w:vAlign w:val="center"/>
          </w:tcPr>
          <w:p>
            <w:pPr>
              <w:widowControl/>
              <w:jc w:val="center"/>
              <w:rPr>
                <w:b/>
                <w:sz w:val="22"/>
              </w:rPr>
            </w:pPr>
            <w:r>
              <w:rPr>
                <w:rFonts w:hint="eastAsia"/>
                <w:b/>
                <w:sz w:val="22"/>
              </w:rPr>
              <w:t>持股</w:t>
            </w:r>
            <w:r>
              <w:rPr>
                <w:b/>
                <w:sz w:val="22"/>
              </w:rPr>
              <w:t>数量变动</w:t>
            </w:r>
          </w:p>
        </w:tc>
        <w:tc>
          <w:tcPr>
            <w:tcW w:w="1029" w:type="pct"/>
            <w:shd w:val="clear" w:color="auto" w:fill="E7E6E6" w:themeFill="background2"/>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50" w:name="_Toc11304"/>
      <w:bookmarkStart w:id="51" w:name="_Toc28124"/>
      <w:bookmarkStart w:id="52" w:name="_Toc9561"/>
      <w:bookmarkStart w:id="53" w:name="_Toc26572"/>
      <w:bookmarkStart w:id="54" w:name="_Toc3366"/>
      <w:bookmarkStart w:id="55" w:name="_Toc30807"/>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50"/>
      <w:bookmarkEnd w:id="51"/>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事项</w:t>
            </w:r>
          </w:p>
        </w:tc>
        <w:tc>
          <w:tcPr>
            <w:tcW w:w="1417"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投资机构是否派驻董事</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监事会对本年监督事项是否存在异议</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管理层是否引入职业经理人</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报告期</w:t>
            </w:r>
            <w:r>
              <w:rPr>
                <w:rFonts w:ascii="Times New Roman" w:hAnsi="Times New Roman"/>
                <w:color w:val="000000" w:themeColor="text1"/>
                <w:kern w:val="0"/>
                <w:sz w:val="22"/>
                <w:szCs w:val="20"/>
                <w14:textFill>
                  <w14:solidFill>
                    <w14:schemeClr w14:val="tx1"/>
                  </w14:solidFill>
                </w14:textFill>
              </w:rPr>
              <w:t>内</w:t>
            </w:r>
            <w:r>
              <w:rPr>
                <w:rFonts w:hint="eastAsia" w:ascii="Times New Roman" w:hAnsi="Times New Roman"/>
                <w:color w:val="000000" w:themeColor="text1"/>
                <w:kern w:val="0"/>
                <w:sz w:val="22"/>
                <w:szCs w:val="20"/>
                <w14:textFill>
                  <w14:solidFill>
                    <w14:schemeClr w14:val="tx1"/>
                  </w14:solidFill>
                </w14:textFill>
              </w:rPr>
              <w:t>是否新增</w:t>
            </w:r>
            <w:r>
              <w:rPr>
                <w:rFonts w:ascii="Times New Roman" w:hAnsi="Times New Roman"/>
                <w:color w:val="000000" w:themeColor="text1"/>
                <w:kern w:val="0"/>
                <w:sz w:val="22"/>
                <w:szCs w:val="20"/>
                <w14:textFill>
                  <w14:solidFill>
                    <w14:schemeClr w14:val="tx1"/>
                  </w14:solidFill>
                </w14:textFill>
              </w:rPr>
              <w:t>关联方</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bookmarkStart w:id="56" w:name="_Toc14513"/>
      <w:bookmarkStart w:id="57" w:name="_Toc1328"/>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6"/>
      <w:bookmarkEnd w:id="57"/>
      <w:r>
        <w:rPr>
          <w:rFonts w:hint="eastAsia" w:ascii="Times New Roman" w:hAnsi="Times New Roman" w:eastAsia="宋体" w:cs="Times New Roman"/>
          <w:b/>
          <w:bCs/>
          <w:szCs w:val="32"/>
          <w:lang w:val="zh-CN"/>
        </w:rPr>
        <w:t>基本情况</w:t>
      </w:r>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r>
              <w:rPr>
                <w:rFonts w:ascii="宋体" w:hAnsi="宋体" w:eastAsia="宋体" w:cs="Times New Roman"/>
                <w:i/>
                <w:color w:val="FF0000"/>
                <w:kern w:val="0"/>
                <w:sz w:val="20"/>
                <w:szCs w:val="21"/>
              </w:rPr>
              <w:t>并</w:t>
            </w:r>
            <w:r>
              <w:rPr>
                <w:rFonts w:hint="eastAsia" w:ascii="宋体" w:hAnsi="宋体" w:eastAsia="宋体" w:cs="Times New Roman"/>
                <w:i/>
                <w:color w:val="FF0000"/>
                <w:kern w:val="0"/>
                <w:sz w:val="20"/>
                <w:szCs w:val="21"/>
              </w:rPr>
              <w:t>说明报告期内公司治理的改进情况，包括来自控股股东及实际控制人以外的股东或其代表参与公司经治理的情况，以及公司管理层是否引入职业经理人等情况。</w:t>
            </w:r>
          </w:p>
        </w:tc>
      </w:tr>
    </w:tbl>
    <w:p>
      <w:pPr>
        <w:keepNext/>
        <w:keepLines/>
        <w:spacing w:before="100" w:after="100"/>
        <w:outlineLvl w:val="2"/>
        <w:rPr>
          <w:rFonts w:ascii="Times New Roman" w:hAnsi="Times New Roman" w:eastAsia="宋体" w:cs="Times New Roman"/>
          <w:b/>
          <w:bCs/>
          <w:szCs w:val="32"/>
          <w:lang w:val="zh-CN"/>
        </w:rPr>
      </w:pPr>
      <w:bookmarkStart w:id="58" w:name="_Toc1322"/>
      <w:bookmarkStart w:id="59" w:name="_Toc4118"/>
      <w:r>
        <w:rPr>
          <w:rFonts w:hint="eastAsia" w:ascii="Times New Roman" w:hAnsi="Times New Roman" w:eastAsia="宋体" w:cs="Times New Roman"/>
          <w:b/>
          <w:bCs/>
          <w:szCs w:val="32"/>
          <w:lang w:val="zh-CN"/>
        </w:rPr>
        <w:t>（二）</w:t>
      </w:r>
      <w:bookmarkStart w:id="60" w:name="_Toc32612"/>
      <w:bookmarkStart w:id="61" w:name="_Toc26831"/>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60"/>
      <w:bookmarkEnd w:id="61"/>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62" w:name="_Toc12351"/>
      <w:bookmarkStart w:id="63" w:name="_Toc2397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62"/>
      <w:bookmarkEnd w:id="63"/>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4" w:name="_Toc26971"/>
      <w:bookmarkStart w:id="65" w:name="_Toc14079"/>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4"/>
      <w:bookmarkEnd w:id="65"/>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8"/>
      <w:bookmarkEnd w:id="59"/>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52"/>
      <w:bookmarkEnd w:id="53"/>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highlight w:val="yellow"/>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5"/>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E7E6E6" w:themeFill="background2"/>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E7E6E6" w:themeFill="background2"/>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E7E6E6" w:themeFill="background2"/>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E7E6E6" w:themeFill="background2"/>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8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tabs>
          <w:tab w:val="left" w:pos="5140"/>
        </w:tabs>
        <w:jc w:val="center"/>
        <w:outlineLvl w:val="9"/>
        <w:rPr>
          <w:rFonts w:ascii="Calibri" w:hAnsi="Calibri" w:eastAsia="宋体" w:cs="Times New Roman"/>
        </w:rPr>
      </w:pPr>
      <w:r>
        <w:rPr>
          <w:rFonts w:ascii="Calibri" w:hAnsi="Calibri" w:eastAsia="宋体" w:cs="Times New Roman"/>
        </w:rPr>
        <w:br w:type="page"/>
      </w:r>
    </w:p>
    <w:p>
      <w:pPr>
        <w:pStyle w:val="2"/>
        <w:spacing w:before="100" w:after="100" w:line="240" w:lineRule="auto"/>
        <w:jc w:val="center"/>
        <w:rPr>
          <w:rFonts w:eastAsia="黑体"/>
          <w:sz w:val="36"/>
        </w:rPr>
      </w:pPr>
      <w:r>
        <w:rPr>
          <w:rFonts w:hint="eastAsia" w:eastAsia="黑体"/>
          <w:sz w:val="36"/>
        </w:rPr>
        <w:t>第七节</w:t>
      </w:r>
      <w:r>
        <w:rPr>
          <w:rFonts w:eastAsia="黑体"/>
          <w:sz w:val="36"/>
        </w:rPr>
        <w:t xml:space="preserve"> </w:t>
      </w:r>
      <w:r>
        <w:rPr>
          <w:rFonts w:hint="eastAsia" w:eastAsia="黑体"/>
          <w:sz w:val="36"/>
        </w:rPr>
        <w:t>财务会计报告</w:t>
      </w:r>
      <w:bookmarkEnd w:id="54"/>
      <w:bookmarkEnd w:id="55"/>
    </w:p>
    <w:p>
      <w:pPr>
        <w:keepNext/>
        <w:keepLines/>
        <w:spacing w:before="100" w:after="100"/>
        <w:outlineLvl w:val="1"/>
        <w:rPr>
          <w:rFonts w:ascii="Calibri Light" w:hAnsi="Calibri Light" w:eastAsia="微软雅黑" w:cs="Times New Roman"/>
          <w:b/>
          <w:bCs/>
          <w:sz w:val="22"/>
          <w:szCs w:val="32"/>
        </w:rPr>
      </w:pPr>
      <w:bookmarkStart w:id="66" w:name="_Toc24970"/>
      <w:bookmarkStart w:id="67" w:name="_Toc23015"/>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6"/>
      <w:bookmarkEnd w:id="67"/>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1665"/>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663"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Calibri" w:hAnsi="Calibri" w:eastAsia="宋体" w:cs="Times New Roman"/>
                <w:color w:val="FF0000"/>
                <w:kern w:val="0"/>
                <w:sz w:val="20"/>
                <w:szCs w:val="20"/>
              </w:rPr>
              <w:t>无保留意见、</w:t>
            </w:r>
            <w:r>
              <w:rPr>
                <w:rFonts w:hint="eastAsia" w:ascii="宋体" w:hAnsi="宋体" w:eastAsia="宋体" w:cs="Times New Roman"/>
                <w:color w:val="FF0000"/>
                <w:kern w:val="0"/>
                <w:sz w:val="22"/>
                <w:szCs w:val="20"/>
              </w:rPr>
              <w:t>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977"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665"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977" w:type="dxa"/>
            <w:vMerge w:val="continue"/>
          </w:tcPr>
          <w:p>
            <w:pPr>
              <w:tabs>
                <w:tab w:val="left" w:pos="5140"/>
              </w:tabs>
              <w:rPr>
                <w:rFonts w:ascii="Calibri" w:hAnsi="Calibri" w:eastAsia="宋体" w:cs="Times New Roman"/>
                <w:kern w:val="0"/>
                <w:sz w:val="20"/>
                <w:szCs w:val="20"/>
              </w:rPr>
            </w:pP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663"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ascii="Calibri Light" w:hAnsi="Calibri Light" w:eastAsia="微软雅黑" w:cs="Times New Roman"/>
          <w:b/>
          <w:bCs/>
          <w:sz w:val="22"/>
          <w:szCs w:val="32"/>
        </w:rPr>
      </w:pPr>
      <w:bookmarkStart w:id="68" w:name="_Toc13862"/>
      <w:bookmarkStart w:id="69" w:name="_Toc29146"/>
      <w:bookmarkStart w:id="70" w:name="_Toc369159472"/>
      <w:bookmarkStart w:id="71" w:name="_Toc247094011"/>
      <w:bookmarkStart w:id="72" w:name="_Toc241636382"/>
      <w:bookmarkStart w:id="73" w:name="_Toc247371786"/>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、财务报表</w:t>
      </w:r>
      <w:bookmarkEnd w:id="68"/>
      <w:bookmarkEnd w:id="69"/>
    </w:p>
    <w:p>
      <w:pPr>
        <w:keepNext/>
        <w:keepLines/>
        <w:spacing w:before="100" w:after="100"/>
        <w:outlineLvl w:val="2"/>
        <w:rPr>
          <w:rFonts w:ascii="Times New Roman" w:hAnsi="Times New Roman" w:eastAsia="宋体" w:cs="Times New Roman"/>
          <w:b/>
          <w:bCs/>
          <w:szCs w:val="32"/>
          <w:lang w:val="zh-CN"/>
        </w:rPr>
      </w:pPr>
      <w:bookmarkStart w:id="74" w:name="_Toc27363"/>
      <w:bookmarkStart w:id="75" w:name="_Toc8339"/>
      <w:r>
        <w:rPr>
          <w:rFonts w:hint="eastAsia" w:ascii="Times New Roman" w:hAnsi="Times New Roman" w:eastAsia="宋体" w:cs="Times New Roman"/>
          <w:b/>
          <w:bCs/>
          <w:szCs w:val="32"/>
          <w:lang w:val="zh-CN"/>
        </w:rPr>
        <w:t>（一）合并资产负债表</w:t>
      </w:r>
      <w:bookmarkEnd w:id="74"/>
      <w:bookmarkEnd w:id="75"/>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1"/>
        <w:gridCol w:w="1895"/>
        <w:gridCol w:w="2622"/>
        <w:gridCol w:w="23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56"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323" w:type="pct"/>
            <w:shd w:val="pct10" w:color="auto" w:fill="FFFFFF"/>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2024年</w:t>
            </w:r>
            <w:r>
              <w:rPr>
                <w:rFonts w:ascii="Times New Roman" w:hAnsi="Times New Roman" w:eastAsia="宋体" w:cs="Times New Roman"/>
                <w:b/>
                <w:sz w:val="18"/>
                <w:szCs w:val="18"/>
              </w:rPr>
              <w:t>12月31日</w:t>
            </w:r>
          </w:p>
        </w:tc>
        <w:tc>
          <w:tcPr>
            <w:tcW w:w="1177" w:type="pct"/>
            <w:shd w:val="pct10" w:color="auto" w:fill="FFFFFF"/>
          </w:tcPr>
          <w:p>
            <w:pPr>
              <w:jc w:val="center"/>
              <w:rPr>
                <w:rFonts w:ascii="Times New Roman" w:hAnsi="Times New Roman" w:eastAsia="宋体" w:cs="宋体"/>
                <w:b/>
                <w:sz w:val="18"/>
                <w:szCs w:val="18"/>
              </w:rPr>
            </w:pPr>
            <w:r>
              <w:rPr>
                <w:rFonts w:ascii="Times New Roman" w:hAnsi="Times New Roman" w:eastAsia="宋体" w:cs="Times New Roman"/>
                <w:b/>
                <w:sz w:val="18"/>
                <w:szCs w:val="18"/>
              </w:rPr>
              <w:t>2023年</w:t>
            </w:r>
            <w:r>
              <w:rPr>
                <w:rFonts w:hint="eastAsia" w:ascii="Times New Roman" w:hAnsi="Times New Roman" w:eastAsia="宋体" w:cs="Times New Roman"/>
                <w:b/>
                <w:sz w:val="18"/>
                <w:szCs w:val="18"/>
              </w:rPr>
              <w:t>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956" w:type="pct"/>
            <w:shd w:val="clear" w:color="auto" w:fill="auto"/>
          </w:tcPr>
          <w:p>
            <w:pPr>
              <w:widowControl/>
              <w:tabs>
                <w:tab w:val="left" w:pos="1380"/>
              </w:tabs>
              <w:jc w:val="right"/>
              <w:rPr>
                <w:rFonts w:ascii="宋体" w:hAnsi="宋体" w:eastAsia="宋体" w:cs="宋体"/>
                <w:kern w:val="0"/>
                <w:sz w:val="18"/>
                <w:szCs w:val="18"/>
              </w:rPr>
            </w:pPr>
            <w:r>
              <w:rPr>
                <w:rFonts w:ascii="宋体" w:hAnsi="宋体" w:eastAsia="宋体" w:cs="宋体"/>
                <w:kern w:val="0"/>
                <w:sz w:val="18"/>
                <w:szCs w:val="18"/>
              </w:rPr>
              <w:tab/>
            </w: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结算备付金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应收票据</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应收账款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应收款项融资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其中：应收利息</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ind w:firstLine="540" w:firstLineChars="300"/>
              <w:rPr>
                <w:rFonts w:ascii="宋体" w:hAnsi="宋体" w:eastAsia="宋体" w:cs="Times New Roman"/>
                <w:sz w:val="18"/>
                <w:szCs w:val="18"/>
              </w:rPr>
            </w:pPr>
            <w:r>
              <w:rPr>
                <w:rFonts w:hint="eastAsia" w:ascii="Calibri" w:hAnsi="Calibri" w:eastAsia="宋体" w:cs="Times New Roman"/>
                <w:sz w:val="18"/>
                <w:szCs w:val="18"/>
              </w:rPr>
              <w:t>应收股利</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956"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left"/>
              <w:rPr>
                <w:rFonts w:ascii="宋体" w:hAnsi="宋体" w:eastAsia="宋体" w:cs="宋体"/>
                <w:b/>
                <w:sz w:val="18"/>
                <w:szCs w:val="18"/>
              </w:rPr>
            </w:pPr>
            <w:r>
              <w:rPr>
                <w:rFonts w:hint="eastAsia" w:ascii="宋体" w:hAnsi="宋体" w:eastAsia="宋体" w:cs="Times New Roman"/>
                <w:b/>
                <w:sz w:val="18"/>
                <w:szCs w:val="18"/>
              </w:rPr>
              <w:t>非流动资产：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发放贷款及垫款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其他非流动资产</w:t>
            </w:r>
          </w:p>
        </w:tc>
        <w:tc>
          <w:tcPr>
            <w:tcW w:w="956"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4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向中央银行借款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拆入资金</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tcPr>
          <w:p>
            <w:pPr>
              <w:widowControl/>
              <w:jc w:val="left"/>
              <w:rPr>
                <w:rFonts w:ascii="Calibri" w:hAnsi="Calibri" w:eastAsia="宋体" w:cs="Times New Roman"/>
                <w:sz w:val="18"/>
                <w:szCs w:val="18"/>
              </w:rPr>
            </w:pPr>
            <w:r>
              <w:rPr>
                <w:rFonts w:hint="eastAsia" w:ascii="Calibri" w:hAnsi="Calibri" w:eastAsia="宋体" w:cs="Times New Roman"/>
                <w:sz w:val="18"/>
                <w:szCs w:val="18"/>
              </w:rPr>
              <w:t>应付票据</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应付账款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预收款项</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合同负债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吸收存款及同业存放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代理买卖</w:t>
            </w:r>
            <w:r>
              <w:rPr>
                <w:rFonts w:ascii="宋体" w:hAnsi="宋体" w:eastAsia="宋体" w:cs="Times New Roman"/>
                <w:sz w:val="18"/>
                <w:szCs w:val="18"/>
              </w:rPr>
              <w:t>证券款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代理承销</w:t>
            </w:r>
            <w:r>
              <w:rPr>
                <w:rFonts w:ascii="宋体" w:hAnsi="宋体" w:eastAsia="宋体" w:cs="Times New Roman"/>
                <w:sz w:val="18"/>
                <w:szCs w:val="18"/>
              </w:rPr>
              <w:t>证券款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其他应付款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其中：应付利息</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tcPr>
          <w:p>
            <w:pPr>
              <w:widowControl/>
              <w:ind w:firstLine="540" w:firstLineChars="300"/>
              <w:jc w:val="left"/>
              <w:rPr>
                <w:rFonts w:ascii="宋体" w:hAnsi="宋体" w:eastAsia="宋体" w:cs="Times New Roman"/>
                <w:sz w:val="18"/>
                <w:szCs w:val="18"/>
              </w:rPr>
            </w:pPr>
            <w:r>
              <w:rPr>
                <w:rFonts w:hint="eastAsia" w:ascii="Calibri" w:hAnsi="Calibri" w:eastAsia="宋体" w:cs="Times New Roman"/>
                <w:sz w:val="18"/>
                <w:szCs w:val="18"/>
              </w:rPr>
              <w:t>应付股利</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应付手续费及佣金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其他流动负债</w:t>
            </w:r>
          </w:p>
        </w:tc>
        <w:tc>
          <w:tcPr>
            <w:tcW w:w="956"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保险合同准备金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widowControl/>
              <w:jc w:val="left"/>
              <w:rPr>
                <w:rFonts w:ascii="宋体" w:hAnsi="宋体" w:eastAsia="宋体" w:cs="Times New Roman"/>
                <w:sz w:val="18"/>
                <w:szCs w:val="18"/>
              </w:rPr>
            </w:pPr>
            <w:r>
              <w:rPr>
                <w:rFonts w:ascii="宋体" w:hAnsi="宋体" w:eastAsia="宋体" w:cs="Times New Roman"/>
                <w:sz w:val="18"/>
                <w:szCs w:val="18"/>
              </w:rPr>
              <w:t xml:space="preserve">      永续债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预计负债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956"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1544"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44"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专项储备</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归属于母公司所有者权益（或股东权益）合计</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少数股东权益</w:t>
            </w:r>
          </w:p>
        </w:tc>
        <w:tc>
          <w:tcPr>
            <w:tcW w:w="956"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44" w:type="pct"/>
            <w:shd w:val="pct10" w:color="auto" w:fill="auto"/>
            <w:vAlign w:val="center"/>
          </w:tcPr>
          <w:p>
            <w:pPr>
              <w:widowControl/>
              <w:jc w:val="center"/>
              <w:rPr>
                <w:rFonts w:ascii="宋体" w:hAnsi="宋体" w:eastAsia="宋体" w:cs="Times New Roman"/>
                <w:b/>
                <w:sz w:val="18"/>
                <w:szCs w:val="18"/>
                <w:shd w:val="clear" w:color="auto" w:fill="auto"/>
              </w:rPr>
            </w:pPr>
            <w:r>
              <w:rPr>
                <w:rFonts w:hint="eastAsia" w:ascii="宋体" w:hAnsi="宋体" w:eastAsia="宋体" w:cs="Times New Roman"/>
                <w:b/>
                <w:sz w:val="18"/>
                <w:szCs w:val="18"/>
                <w:shd w:val="clear" w:color="auto" w:fill="auto"/>
              </w:rPr>
              <w:t>所有者权益（或股东权益）合计</w:t>
            </w:r>
          </w:p>
        </w:tc>
        <w:tc>
          <w:tcPr>
            <w:tcW w:w="956" w:type="pct"/>
            <w:shd w:val="pct10" w:color="auto" w:fill="auto"/>
          </w:tcPr>
          <w:p>
            <w:pPr>
              <w:widowControl/>
              <w:jc w:val="right"/>
              <w:rPr>
                <w:rFonts w:ascii="宋体" w:hAnsi="宋体" w:eastAsia="宋体" w:cs="宋体"/>
                <w:kern w:val="0"/>
                <w:sz w:val="18"/>
                <w:szCs w:val="18"/>
                <w:shd w:val="clear" w:color="auto" w:fill="auto"/>
              </w:rPr>
            </w:pPr>
          </w:p>
        </w:tc>
        <w:tc>
          <w:tcPr>
            <w:tcW w:w="1323" w:type="pct"/>
            <w:shd w:val="pct10" w:color="auto" w:fill="auto"/>
          </w:tcPr>
          <w:p>
            <w:pPr>
              <w:widowControl/>
              <w:jc w:val="right"/>
              <w:rPr>
                <w:rFonts w:ascii="宋体" w:hAnsi="宋体" w:eastAsia="宋体" w:cs="宋体"/>
                <w:kern w:val="0"/>
                <w:sz w:val="18"/>
                <w:szCs w:val="18"/>
                <w:shd w:val="clear" w:color="auto" w:fill="D9D9D9"/>
              </w:rPr>
            </w:pPr>
          </w:p>
        </w:tc>
        <w:tc>
          <w:tcPr>
            <w:tcW w:w="1177" w:type="pct"/>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auto"/>
              </w:rPr>
              <w:t>负债和所有者权益（或股东权益）总计</w:t>
            </w:r>
            <w:bookmarkStart w:id="94" w:name="_GoBack"/>
            <w:bookmarkEnd w:id="94"/>
          </w:p>
        </w:tc>
        <w:tc>
          <w:tcPr>
            <w:tcW w:w="956" w:type="pct"/>
            <w:shd w:val="pct10" w:color="auto" w:fill="auto"/>
          </w:tcPr>
          <w:p>
            <w:pPr>
              <w:widowControl/>
              <w:jc w:val="right"/>
              <w:rPr>
                <w:rFonts w:ascii="宋体" w:hAnsi="宋体" w:eastAsia="宋体" w:cs="宋体"/>
                <w:kern w:val="0"/>
                <w:sz w:val="18"/>
                <w:szCs w:val="18"/>
                <w:shd w:val="clear" w:color="auto" w:fill="D9D9D9"/>
              </w:rPr>
            </w:pPr>
          </w:p>
        </w:tc>
        <w:tc>
          <w:tcPr>
            <w:tcW w:w="1323" w:type="pct"/>
            <w:shd w:val="pct10" w:color="auto" w:fill="auto"/>
          </w:tcPr>
          <w:p>
            <w:pPr>
              <w:widowControl/>
              <w:jc w:val="right"/>
              <w:rPr>
                <w:rFonts w:ascii="宋体" w:hAnsi="宋体" w:eastAsia="宋体" w:cs="宋体"/>
                <w:kern w:val="0"/>
                <w:sz w:val="18"/>
                <w:szCs w:val="18"/>
                <w:shd w:val="clear" w:color="auto" w:fill="D9D9D9"/>
              </w:rPr>
            </w:pPr>
          </w:p>
        </w:tc>
        <w:tc>
          <w:tcPr>
            <w:tcW w:w="1177" w:type="pct"/>
            <w:shd w:val="pct10" w:color="auto" w:fill="auto"/>
          </w:tcPr>
          <w:p>
            <w:pPr>
              <w:widowControl/>
              <w:jc w:val="right"/>
              <w:rPr>
                <w:rFonts w:ascii="宋体" w:hAnsi="宋体" w:eastAsia="宋体" w:cs="宋体"/>
                <w:kern w:val="0"/>
                <w:sz w:val="18"/>
                <w:szCs w:val="18"/>
                <w:shd w:val="clear" w:color="auto" w:fill="D9D9D9"/>
              </w:rPr>
            </w:pPr>
          </w:p>
        </w:tc>
      </w:tr>
    </w:tbl>
    <w:p>
      <w:pPr>
        <w:rPr>
          <w:rFonts w:ascii="Arial" w:hAnsi="Arial" w:eastAsia="黑体" w:cs="Times New Roman"/>
          <w:b/>
          <w:bCs/>
          <w:sz w:val="22"/>
          <w:lang w:val="zh-CN"/>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宋体" w:hAnsi="宋体" w:eastAsia="宋体" w:cs="Times New Roman"/>
          <w:b/>
          <w:color w:val="000000"/>
          <w:szCs w:val="44"/>
        </w:rPr>
      </w:pPr>
      <w:bookmarkStart w:id="76" w:name="_Toc20412"/>
      <w:bookmarkStart w:id="77" w:name="_Toc6348"/>
      <w:r>
        <w:rPr>
          <w:rFonts w:hint="eastAsia" w:ascii="Times New Roman" w:hAnsi="Times New Roman" w:eastAsia="宋体" w:cs="Times New Roman"/>
          <w:b/>
          <w:bCs/>
          <w:szCs w:val="32"/>
          <w:lang w:val="zh-CN"/>
        </w:rPr>
        <w:t>（二）母公司资产负债表</w:t>
      </w:r>
      <w:bookmarkEnd w:id="76"/>
      <w:bookmarkEnd w:id="77"/>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1"/>
        <w:gridCol w:w="1895"/>
        <w:gridCol w:w="2625"/>
        <w:gridCol w:w="23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56"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324" w:type="pct"/>
            <w:shd w:val="pct10" w:color="auto" w:fill="FFFFFF"/>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2024年</w:t>
            </w:r>
            <w:r>
              <w:rPr>
                <w:rFonts w:ascii="Times New Roman" w:hAnsi="Times New Roman" w:eastAsia="宋体" w:cs="Times New Roman"/>
                <w:b/>
                <w:sz w:val="18"/>
                <w:szCs w:val="18"/>
              </w:rPr>
              <w:t>12月31日</w:t>
            </w:r>
          </w:p>
        </w:tc>
        <w:tc>
          <w:tcPr>
            <w:tcW w:w="1176" w:type="pct"/>
            <w:shd w:val="pct10" w:color="auto" w:fill="FFFFFF"/>
          </w:tcPr>
          <w:p>
            <w:pPr>
              <w:jc w:val="center"/>
              <w:rPr>
                <w:rFonts w:ascii="Times New Roman" w:hAnsi="Times New Roman" w:eastAsia="宋体" w:cs="宋体"/>
                <w:b/>
                <w:sz w:val="18"/>
                <w:szCs w:val="18"/>
              </w:rPr>
            </w:pPr>
            <w:r>
              <w:rPr>
                <w:rFonts w:ascii="Times New Roman" w:hAnsi="Times New Roman" w:eastAsia="宋体" w:cs="Times New Roman"/>
                <w:b/>
                <w:sz w:val="18"/>
                <w:szCs w:val="18"/>
              </w:rPr>
              <w:t>2023年</w:t>
            </w:r>
            <w:r>
              <w:rPr>
                <w:rFonts w:hint="eastAsia" w:ascii="Times New Roman" w:hAnsi="Times New Roman" w:eastAsia="宋体" w:cs="Times New Roman"/>
                <w:b/>
                <w:sz w:val="18"/>
                <w:szCs w:val="18"/>
              </w:rPr>
              <w:t>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应收票据</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宋体" w:hAnsi="宋体" w:eastAsia="宋体" w:cs="Times New Roman"/>
                <w:sz w:val="18"/>
                <w:szCs w:val="18"/>
              </w:rPr>
              <w:t>应收账款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应收款项融资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其中：应收利息</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应收股利</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买入返售金融资产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非流动资产：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ind w:right="90"/>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其他非流动资产</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流动负债：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短期借款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应付票据</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应付账款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预收款项</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应付职工薪酬</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应交税费</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其他应付款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其中：应付利息</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应付股利</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其他流动负债</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956" w:type="pct"/>
            <w:shd w:val="pct10" w:color="auto" w:fill="FFFFFF"/>
          </w:tcPr>
          <w:p>
            <w:pPr>
              <w:jc w:val="right"/>
              <w:rPr>
                <w:rFonts w:ascii="宋体" w:hAnsi="宋体" w:eastAsia="宋体" w:cs="Times New Roman"/>
                <w:b/>
                <w:sz w:val="18"/>
                <w:szCs w:val="18"/>
              </w:rPr>
            </w:pPr>
          </w:p>
        </w:tc>
        <w:tc>
          <w:tcPr>
            <w:tcW w:w="1324" w:type="pct"/>
            <w:shd w:val="pct10" w:color="auto" w:fill="FFFFFF"/>
          </w:tcPr>
          <w:p>
            <w:pPr>
              <w:jc w:val="right"/>
              <w:rPr>
                <w:rFonts w:ascii="宋体" w:hAnsi="宋体" w:eastAsia="宋体" w:cs="Times New Roman"/>
                <w:b/>
                <w:sz w:val="18"/>
                <w:szCs w:val="18"/>
              </w:rPr>
            </w:pPr>
          </w:p>
        </w:tc>
        <w:tc>
          <w:tcPr>
            <w:tcW w:w="1176" w:type="pct"/>
            <w:shd w:val="pct10" w:color="auto" w:fill="FFFFFF"/>
          </w:tcPr>
          <w:p>
            <w:pPr>
              <w:jc w:val="right"/>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长期借款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应付债券</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预计负债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递延收益</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股本</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其他权益工具</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资本公积</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减：库存股</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其他综合收益</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专项储备</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盈余公积</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一般风险准备</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未分配利润</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所有者权益（或股东权益）合计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负债和所有者权益（或股东权益）合计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bl>
    <w:p>
      <w:pPr>
        <w:keepNext/>
        <w:keepLines/>
        <w:spacing w:before="100" w:after="100"/>
        <w:outlineLvl w:val="2"/>
        <w:rPr>
          <w:rFonts w:ascii="Times New Roman" w:hAnsi="Times New Roman" w:eastAsia="宋体" w:cs="Times New Roman"/>
          <w:b/>
          <w:bCs/>
          <w:szCs w:val="32"/>
          <w:lang w:val="zh-CN"/>
        </w:rPr>
      </w:pPr>
      <w:bookmarkStart w:id="78" w:name="_Toc16179"/>
      <w:bookmarkStart w:id="79" w:name="_Toc29470"/>
      <w:r>
        <w:rPr>
          <w:rFonts w:hint="eastAsia" w:ascii="Times New Roman" w:hAnsi="Times New Roman" w:eastAsia="宋体" w:cs="Times New Roman"/>
          <w:b/>
          <w:bCs/>
          <w:szCs w:val="32"/>
          <w:lang w:val="zh-CN"/>
        </w:rPr>
        <w:t>（三）合并利润表</w:t>
      </w:r>
      <w:bookmarkEnd w:id="78"/>
      <w:bookmarkEnd w:id="79"/>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60"/>
        <w:gridCol w:w="1279"/>
        <w:gridCol w:w="2042"/>
        <w:gridCol w:w="23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64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030" w:type="pct"/>
            <w:shd w:val="pct10" w:color="auto" w:fill="FFFFFF"/>
          </w:tcPr>
          <w:p>
            <w:pPr>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176" w:type="pct"/>
            <w:shd w:val="pct10" w:color="auto" w:fill="FFFFFF"/>
            <w:vAlign w:val="center"/>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已赚保费</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二、营业总成本</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其中：营业成本</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退保金</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赔付支出净额</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提取保险责任准备金净额</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保单红利支出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分保费用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税金及附加</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销售费用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管理费用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研发费用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财务费用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1080" w:firstLineChars="600"/>
              <w:rPr>
                <w:rFonts w:ascii="宋体" w:hAnsi="宋体" w:eastAsia="宋体" w:cs="Times New Roman"/>
                <w:sz w:val="18"/>
                <w:szCs w:val="18"/>
              </w:rPr>
            </w:pPr>
            <w:r>
              <w:rPr>
                <w:rFonts w:hint="eastAsia" w:ascii="宋体" w:hAnsi="宋体" w:eastAsia="宋体" w:cs="Times New Roman"/>
                <w:sz w:val="18"/>
                <w:szCs w:val="18"/>
              </w:rPr>
              <w:t>利息收入</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投资收益（损失以“－”号填列）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其中：对联营企业和合营企业的投资收益（损失以“－”号填列）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left="945" w:leftChars="45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净敞口套期收益（损失以“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信用减值损失（损失以“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资产减值损失（损失以“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资产处置收益（损失以“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1.持续经营净利润</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2.终止经营净利润</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1.少数股东损益</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2.归属于母公司所有者的净利润</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不能重分类进损益的其他综合收益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1）重新计量设定受益计划变动额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2）权益法下不能转损益的其他综合收益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w:t>
            </w: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tcPr>
          <w:p>
            <w:pPr>
              <w:rPr>
                <w:rFonts w:ascii="宋体" w:hAnsi="宋体" w:eastAsia="宋体" w:cs="Times New Roman"/>
                <w:sz w:val="18"/>
                <w:szCs w:val="18"/>
              </w:rPr>
            </w:pPr>
            <w:r>
              <w:rPr>
                <w:rFonts w:hint="eastAsia" w:ascii="宋体" w:hAnsi="宋体" w:eastAsia="宋体" w:cs="Times New Roman"/>
                <w:sz w:val="18"/>
                <w:szCs w:val="18"/>
              </w:rPr>
              <w:t>（</w:t>
            </w: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tcPr>
          <w:p>
            <w:pPr>
              <w:rPr>
                <w:rFonts w:ascii="Calibri" w:hAnsi="Calibri" w:eastAsia="宋体" w:cs="Times New Roman"/>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5</w:t>
            </w:r>
            <w:r>
              <w:rPr>
                <w:rFonts w:hint="eastAsia" w:ascii="宋体" w:hAnsi="宋体" w:eastAsia="宋体" w:cs="Times New Roman"/>
                <w:color w:val="000000"/>
                <w:sz w:val="18"/>
                <w:szCs w:val="18"/>
              </w:rPr>
              <w:t>）其他</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将重分类进损益的其他综合收益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1）权益法下可转损益的其他综合收益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2）其他债权投资公允价值变动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）其他债权投资信用减值准备</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（二）归属于少数股东的其他综合收益的税后净额</w:t>
            </w:r>
            <w:r>
              <w:rPr>
                <w:rFonts w:ascii="宋体" w:hAnsi="宋体" w:eastAsia="宋体" w:cs="Times New Roman"/>
                <w:color w:val="000000"/>
                <w:sz w:val="18"/>
                <w:szCs w:val="18"/>
              </w:rPr>
              <w:t xml:space="preserve"> </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w:t>
            </w:r>
            <w:r>
              <w:rPr>
                <w:rFonts w:ascii="宋体" w:hAnsi="宋体" w:eastAsia="宋体" w:cs="Times New Roman"/>
                <w:sz w:val="18"/>
                <w:szCs w:val="18"/>
              </w:rPr>
              <w:t>/股）</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w:t>
            </w:r>
            <w:r>
              <w:rPr>
                <w:rFonts w:ascii="宋体" w:hAnsi="宋体" w:eastAsia="宋体" w:cs="Times New Roman"/>
                <w:sz w:val="18"/>
                <w:szCs w:val="18"/>
              </w:rPr>
              <w:t>/股）</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hint="eastAsia" w:ascii="Calibri" w:hAnsi="Calibri" w:eastAsia="宋体" w:cs="Times New Roman"/>
          <w:sz w:val="18"/>
          <w:szCs w:val="18"/>
        </w:rPr>
        <w:t>　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80" w:name="_Toc2570"/>
      <w:bookmarkStart w:id="81" w:name="_Toc16853"/>
      <w:r>
        <w:rPr>
          <w:rFonts w:hint="eastAsia" w:ascii="Times New Roman" w:hAnsi="Times New Roman" w:eastAsia="宋体" w:cs="Times New Roman"/>
          <w:b/>
          <w:bCs/>
          <w:szCs w:val="32"/>
          <w:lang w:val="zh-CN"/>
        </w:rPr>
        <w:t>（四）母公司利润表</w:t>
      </w:r>
      <w:bookmarkEnd w:id="80"/>
      <w:bookmarkEnd w:id="81"/>
    </w:p>
    <w:p>
      <w:pPr>
        <w:ind w:left="672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520"/>
        <w:gridCol w:w="1455"/>
        <w:gridCol w:w="1895"/>
        <w:gridCol w:w="204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73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956"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30"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减：营业成本</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税金及附加</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销售费用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管理费用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研发费用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财务费用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ind w:firstLine="900" w:firstLineChars="500"/>
              <w:rPr>
                <w:rFonts w:ascii="宋体" w:hAnsi="宋体" w:eastAsia="宋体" w:cs="Times New Roman"/>
                <w:sz w:val="18"/>
                <w:szCs w:val="18"/>
              </w:rPr>
            </w:pPr>
            <w:r>
              <w:rPr>
                <w:rFonts w:hint="eastAsia" w:ascii="宋体" w:hAnsi="宋体" w:eastAsia="宋体" w:cs="Times New Roman"/>
                <w:sz w:val="18"/>
                <w:szCs w:val="18"/>
              </w:rPr>
              <w:t>利息收入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630" w:firstLineChars="350"/>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left="1260" w:leftChars="6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b/>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净敞口套期收益（损失以“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b/>
                <w:sz w:val="18"/>
                <w:szCs w:val="18"/>
              </w:rPr>
            </w:pPr>
            <w:r>
              <w:rPr>
                <w:rFonts w:hint="eastAsia" w:ascii="宋体" w:hAnsi="宋体" w:eastAsia="宋体" w:cs="Times New Roman"/>
                <w:sz w:val="18"/>
                <w:szCs w:val="18"/>
              </w:rPr>
              <w:t>信用减值损失（损失以“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资产减值损失（损失以“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资产处置收益（损失以“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二、营业利润（亏损以“－”号填列）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加：营业外收入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减：营业外支出</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三、利润总额（亏损总额以“－”号填列）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减：所得税费用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四、净利润（净亏损以“－”号填列）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ascii="宋体" w:hAnsi="宋体" w:eastAsia="宋体" w:cs="Times New Roman"/>
                <w:b/>
                <w:sz w:val="18"/>
                <w:szCs w:val="18"/>
              </w:rPr>
              <w:t>五</w:t>
            </w:r>
            <w:r>
              <w:rPr>
                <w:rFonts w:hint="eastAsia" w:ascii="宋体" w:hAnsi="宋体" w:eastAsia="宋体" w:cs="Times New Roman"/>
                <w:b/>
                <w:sz w:val="18"/>
                <w:szCs w:val="18"/>
              </w:rPr>
              <w:t>、其他综合收益的税后净额</w:t>
            </w:r>
            <w:r>
              <w:rPr>
                <w:rFonts w:ascii="宋体" w:hAnsi="宋体" w:eastAsia="宋体" w:cs="Times New Roman"/>
                <w:b/>
                <w:sz w:val="18"/>
                <w:szCs w:val="18"/>
              </w:rPr>
              <w:t xml:space="preserve"> </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（一）不能重分类进损益的其他综合收益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ascii="Calibri" w:hAnsi="Calibri" w:eastAsia="宋体" w:cs="Times New Roman"/>
              </w:rPr>
              <w:t xml:space="preserve"> </w:t>
            </w:r>
            <w:r>
              <w:rPr>
                <w:rFonts w:hint="eastAsia" w:ascii="宋体" w:hAnsi="宋体" w:eastAsia="宋体" w:cs="Times New Roman"/>
                <w:sz w:val="18"/>
                <w:szCs w:val="18"/>
              </w:rPr>
              <w:t>重新计量设定受益计划变动额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2.</w:t>
            </w:r>
            <w:r>
              <w:rPr>
                <w:rFonts w:ascii="Calibri" w:hAnsi="Calibri" w:eastAsia="宋体" w:cs="Times New Roman"/>
                <w:sz w:val="18"/>
                <w:szCs w:val="18"/>
              </w:rPr>
              <w:t xml:space="preserve"> </w:t>
            </w:r>
            <w:r>
              <w:rPr>
                <w:rFonts w:hint="eastAsia" w:ascii="宋体" w:hAnsi="宋体" w:eastAsia="宋体" w:cs="Times New Roman"/>
                <w:sz w:val="18"/>
                <w:szCs w:val="18"/>
              </w:rPr>
              <w:t>权益法下不能转损益的其他综合收益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rPr>
                <w:rFonts w:ascii="宋体" w:hAnsi="宋体" w:eastAsia="宋体" w:cs="Times New Roman"/>
                <w:sz w:val="18"/>
                <w:szCs w:val="18"/>
              </w:rPr>
            </w:pP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rPr>
                <w:rFonts w:ascii="宋体" w:hAnsi="宋体" w:eastAsia="宋体" w:cs="Times New Roman"/>
                <w:sz w:val="18"/>
                <w:szCs w:val="18"/>
              </w:rPr>
            </w:pP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rPr>
                <w:rFonts w:ascii="Calibri" w:hAnsi="Calibri" w:eastAsia="宋体" w:cs="Times New Roman"/>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2. </w:t>
            </w:r>
            <w:r>
              <w:rPr>
                <w:rFonts w:hint="eastAsia" w:ascii="宋体" w:hAnsi="宋体" w:eastAsia="宋体" w:cs="Times New Roman"/>
                <w:sz w:val="18"/>
                <w:szCs w:val="18"/>
              </w:rPr>
              <w:t>其他债权投资公允价值变动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3. </w:t>
            </w:r>
            <w:r>
              <w:rPr>
                <w:rFonts w:hint="eastAsia" w:ascii="宋体" w:hAnsi="宋体" w:eastAsia="宋体" w:cs="Times New Roman"/>
                <w:sz w:val="18"/>
                <w:szCs w:val="18"/>
              </w:rPr>
              <w:t>金融资产重分类计入其他综合收益的金额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4. </w:t>
            </w:r>
            <w:r>
              <w:rPr>
                <w:rFonts w:hint="eastAsia" w:ascii="宋体" w:hAnsi="宋体" w:eastAsia="宋体" w:cs="Times New Roman"/>
                <w:sz w:val="18"/>
                <w:szCs w:val="18"/>
              </w:rPr>
              <w:t>其他债权投资信用减值准备</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5. </w:t>
            </w:r>
            <w:r>
              <w:rPr>
                <w:rFonts w:hint="eastAsia" w:ascii="宋体" w:hAnsi="宋体" w:eastAsia="宋体" w:cs="Times New Roman"/>
                <w:sz w:val="18"/>
                <w:szCs w:val="18"/>
              </w:rPr>
              <w:t>现金流量套期储备</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6. </w:t>
            </w:r>
            <w:r>
              <w:rPr>
                <w:rFonts w:hint="eastAsia" w:ascii="宋体" w:hAnsi="宋体" w:eastAsia="宋体" w:cs="Times New Roman"/>
                <w:color w:val="000000"/>
                <w:sz w:val="18"/>
                <w:szCs w:val="18"/>
              </w:rPr>
              <w:t>外币财务报表折算差额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7. </w:t>
            </w:r>
            <w:r>
              <w:rPr>
                <w:rFonts w:hint="eastAsia" w:ascii="宋体" w:hAnsi="宋体" w:eastAsia="宋体" w:cs="Times New Roman"/>
                <w:color w:val="000000"/>
                <w:sz w:val="18"/>
                <w:szCs w:val="18"/>
              </w:rPr>
              <w:t>其他</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六、综合收益总额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七、每股收益：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（一）基本每股收益（元</w:t>
            </w:r>
            <w:r>
              <w:rPr>
                <w:rFonts w:ascii="宋体" w:hAnsi="宋体" w:eastAsia="宋体" w:cs="Times New Roman"/>
                <w:sz w:val="18"/>
                <w:szCs w:val="18"/>
              </w:rPr>
              <w:t>/股）</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（二）稀释每股收益（元</w:t>
            </w:r>
            <w:r>
              <w:rPr>
                <w:rFonts w:ascii="宋体" w:hAnsi="宋体" w:eastAsia="宋体" w:cs="Times New Roman"/>
                <w:sz w:val="18"/>
                <w:szCs w:val="18"/>
              </w:rPr>
              <w:t>/股）</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bl>
    <w:p>
      <w:pPr>
        <w:rPr>
          <w:rFonts w:ascii="宋体" w:hAnsi="宋体" w:eastAsia="宋体" w:cs="Times New Roman"/>
          <w:sz w:val="18"/>
          <w:szCs w:val="18"/>
        </w:rPr>
      </w:pPr>
    </w:p>
    <w:p>
      <w:pPr>
        <w:keepNext/>
        <w:keepLines/>
        <w:spacing w:before="100" w:after="100"/>
        <w:outlineLvl w:val="2"/>
        <w:rPr>
          <w:rFonts w:ascii="Times New Roman" w:hAnsi="Times New Roman" w:eastAsia="宋体" w:cs="Times New Roman"/>
          <w:b/>
          <w:bCs/>
          <w:szCs w:val="32"/>
          <w:lang w:val="zh-CN"/>
        </w:rPr>
      </w:pPr>
      <w:bookmarkStart w:id="82" w:name="_Toc2251"/>
      <w:bookmarkStart w:id="83" w:name="_Toc17421"/>
      <w:r>
        <w:rPr>
          <w:rFonts w:hint="eastAsia" w:ascii="Times New Roman" w:hAnsi="Times New Roman" w:eastAsia="宋体" w:cs="Times New Roman"/>
          <w:b/>
          <w:bCs/>
          <w:szCs w:val="32"/>
          <w:lang w:val="zh-CN"/>
        </w:rPr>
        <w:t>（五）合并现金流量表</w:t>
      </w:r>
      <w:bookmarkEnd w:id="82"/>
      <w:bookmarkEnd w:id="83"/>
    </w:p>
    <w:p>
      <w:pPr>
        <w:ind w:left="714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72"/>
        <w:gridCol w:w="1786"/>
        <w:gridCol w:w="1713"/>
        <w:gridCol w:w="174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01"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864"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878"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客户存款和同业存放款项净增加额</w:t>
            </w:r>
            <w:r>
              <w:rPr>
                <w:rFonts w:ascii="宋体" w:hAnsi="宋体" w:eastAsia="宋体" w:cs="Times New Roman"/>
                <w:sz w:val="18"/>
                <w:szCs w:val="18"/>
              </w:rPr>
              <w:t xml:space="preserve"> </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向中央银行借款净增加额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向其他金融机构拆入资金净增加额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收到原保险合同保费取得的现金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收到再保险业务现金净额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保户储金及投资款净增加额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代理买卖证券收到的现金净额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收到的税费返还</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客户贷款及垫款净增加额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存放中央银行和同业款项净增加额</w:t>
            </w:r>
            <w:r>
              <w:rPr>
                <w:rFonts w:ascii="宋体" w:hAnsi="宋体" w:eastAsia="宋体" w:cs="Times New Roman"/>
                <w:sz w:val="18"/>
                <w:szCs w:val="18"/>
              </w:rPr>
              <w:t xml:space="preserve"> </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支付原保险合同赔付款项的现金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r>
              <w:rPr>
                <w:rFonts w:ascii="宋体" w:hAnsi="宋体" w:eastAsia="宋体" w:cs="Times New Roman"/>
                <w:sz w:val="18"/>
                <w:szCs w:val="18"/>
              </w:rPr>
              <w:t>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支付保单红利的现金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901" w:type="pct"/>
            <w:shd w:val="pct10" w:color="auto" w:fill="auto"/>
          </w:tcPr>
          <w:p>
            <w:pPr>
              <w:jc w:val="right"/>
              <w:rPr>
                <w:rFonts w:ascii="宋体" w:hAnsi="宋体" w:eastAsia="宋体" w:cs="宋体"/>
                <w:kern w:val="0"/>
                <w:sz w:val="18"/>
                <w:szCs w:val="18"/>
              </w:rPr>
            </w:pPr>
          </w:p>
        </w:tc>
        <w:tc>
          <w:tcPr>
            <w:tcW w:w="864" w:type="pct"/>
            <w:shd w:val="pct10" w:color="auto" w:fill="auto"/>
          </w:tcPr>
          <w:p>
            <w:pPr>
              <w:jc w:val="right"/>
              <w:rPr>
                <w:rFonts w:ascii="宋体" w:hAnsi="宋体" w:eastAsia="宋体" w:cs="宋体"/>
                <w:kern w:val="0"/>
                <w:sz w:val="18"/>
                <w:szCs w:val="18"/>
              </w:rPr>
            </w:pPr>
          </w:p>
        </w:tc>
        <w:tc>
          <w:tcPr>
            <w:tcW w:w="878"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质押贷款净增加额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901" w:type="pct"/>
            <w:shd w:val="pct10" w:color="auto" w:fill="FFFFFF"/>
          </w:tcPr>
          <w:p>
            <w:pPr>
              <w:jc w:val="right"/>
              <w:rPr>
                <w:rFonts w:ascii="宋体" w:hAnsi="宋体" w:eastAsia="宋体" w:cs="宋体"/>
                <w:b/>
                <w:kern w:val="0"/>
                <w:sz w:val="18"/>
                <w:szCs w:val="18"/>
              </w:rPr>
            </w:pPr>
          </w:p>
        </w:tc>
        <w:tc>
          <w:tcPr>
            <w:tcW w:w="864" w:type="pct"/>
            <w:shd w:val="pct10" w:color="auto" w:fill="FFFFFF"/>
          </w:tcPr>
          <w:p>
            <w:pPr>
              <w:jc w:val="right"/>
              <w:rPr>
                <w:rFonts w:ascii="宋体" w:hAnsi="宋体" w:eastAsia="宋体" w:cs="宋体"/>
                <w:b/>
                <w:kern w:val="0"/>
                <w:sz w:val="18"/>
                <w:szCs w:val="18"/>
              </w:rPr>
            </w:pPr>
          </w:p>
        </w:tc>
        <w:tc>
          <w:tcPr>
            <w:tcW w:w="878"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901" w:type="pct"/>
            <w:shd w:val="pct10" w:color="auto" w:fill="FFFFFF"/>
          </w:tcPr>
          <w:p>
            <w:pPr>
              <w:jc w:val="right"/>
              <w:rPr>
                <w:rFonts w:ascii="宋体" w:hAnsi="宋体" w:eastAsia="宋体" w:cs="宋体"/>
                <w:b/>
                <w:kern w:val="0"/>
                <w:sz w:val="18"/>
                <w:szCs w:val="18"/>
              </w:rPr>
            </w:pPr>
          </w:p>
        </w:tc>
        <w:tc>
          <w:tcPr>
            <w:tcW w:w="864" w:type="pct"/>
            <w:shd w:val="pct10" w:color="auto" w:fill="FFFFFF"/>
          </w:tcPr>
          <w:p>
            <w:pPr>
              <w:jc w:val="right"/>
              <w:rPr>
                <w:rFonts w:ascii="宋体" w:hAnsi="宋体" w:eastAsia="宋体" w:cs="宋体"/>
                <w:b/>
                <w:kern w:val="0"/>
                <w:sz w:val="18"/>
                <w:szCs w:val="18"/>
              </w:rPr>
            </w:pPr>
          </w:p>
        </w:tc>
        <w:tc>
          <w:tcPr>
            <w:tcW w:w="878"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901" w:type="pct"/>
            <w:shd w:val="pct10" w:color="auto" w:fill="auto"/>
          </w:tcPr>
          <w:p>
            <w:pPr>
              <w:jc w:val="right"/>
              <w:rPr>
                <w:rFonts w:ascii="宋体" w:hAnsi="宋体" w:eastAsia="宋体" w:cs="宋体"/>
                <w:kern w:val="0"/>
                <w:sz w:val="18"/>
                <w:szCs w:val="18"/>
              </w:rPr>
            </w:pPr>
          </w:p>
        </w:tc>
        <w:tc>
          <w:tcPr>
            <w:tcW w:w="864" w:type="pct"/>
            <w:shd w:val="pct10" w:color="auto" w:fill="auto"/>
          </w:tcPr>
          <w:p>
            <w:pPr>
              <w:jc w:val="right"/>
              <w:rPr>
                <w:rFonts w:ascii="宋体" w:hAnsi="宋体" w:eastAsia="宋体" w:cs="宋体"/>
                <w:kern w:val="0"/>
                <w:sz w:val="18"/>
                <w:szCs w:val="18"/>
              </w:rPr>
            </w:pPr>
          </w:p>
        </w:tc>
        <w:tc>
          <w:tcPr>
            <w:tcW w:w="878"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keepNext/>
        <w:keepLines/>
        <w:spacing w:before="100" w:after="100"/>
        <w:outlineLvl w:val="2"/>
        <w:rPr>
          <w:rFonts w:ascii="Times New Roman" w:hAnsi="Times New Roman" w:eastAsia="宋体" w:cs="Times New Roman"/>
          <w:b/>
          <w:bCs/>
          <w:szCs w:val="32"/>
          <w:lang w:val="zh-CN"/>
        </w:rPr>
      </w:pPr>
      <w:bookmarkStart w:id="84" w:name="_Toc2143"/>
      <w:bookmarkStart w:id="85" w:name="_Toc16771"/>
      <w:r>
        <w:rPr>
          <w:rFonts w:hint="eastAsia" w:ascii="Times New Roman" w:hAnsi="Times New Roman" w:eastAsia="宋体" w:cs="Times New Roman"/>
          <w:b/>
          <w:bCs/>
          <w:szCs w:val="32"/>
          <w:lang w:val="zh-CN"/>
        </w:rPr>
        <w:t>（六）母公司现金流量表</w:t>
      </w:r>
      <w:bookmarkEnd w:id="84"/>
      <w:bookmarkEnd w:id="85"/>
    </w:p>
    <w:p>
      <w:pPr>
        <w:ind w:left="6720" w:firstLine="420"/>
        <w:jc w:val="right"/>
        <w:rPr>
          <w:rFonts w:ascii="Calibri" w:hAnsi="Calibri" w:eastAsia="宋体" w:cs="Times New Roman"/>
        </w:rPr>
      </w:pPr>
      <w:r>
        <w:rPr>
          <w:rFonts w:hint="eastAsia" w:ascii="Calibri" w:hAnsi="Calibri" w:eastAsia="宋体" w:cs="Times New Roman"/>
        </w:rPr>
        <w:t>单位：元</w:t>
      </w:r>
      <w:r>
        <w:rPr>
          <w:rFonts w:ascii="Calibri" w:hAnsi="Calibri" w:eastAsia="宋体" w:cs="Times New Roman"/>
        </w:rPr>
        <w:t xml:space="preserve"> </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902"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附注</w:t>
            </w:r>
          </w:p>
        </w:tc>
        <w:tc>
          <w:tcPr>
            <w:tcW w:w="804"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18"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jc w:val="center"/>
              <w:rPr>
                <w:rFonts w:hint="eastAsia" w:ascii="Times New Roman" w:hAnsi="Times New Roman" w:eastAsia="宋体" w:cs="Times New Roman"/>
                <w:b/>
                <w:sz w:val="18"/>
                <w:szCs w:val="18"/>
              </w:rPr>
            </w:pPr>
          </w:p>
        </w:tc>
        <w:tc>
          <w:tcPr>
            <w:tcW w:w="1018" w:type="pct"/>
            <w:shd w:val="clear" w:color="auto" w:fill="auto"/>
          </w:tcPr>
          <w:p>
            <w:pPr>
              <w:jc w:val="center"/>
              <w:rPr>
                <w:rFonts w:hint="eastAsia"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jc w:val="center"/>
              <w:rPr>
                <w:rFonts w:hint="eastAsia" w:ascii="Times New Roman" w:hAnsi="Times New Roman" w:eastAsia="宋体" w:cs="Times New Roman"/>
                <w:b/>
                <w:sz w:val="18"/>
                <w:szCs w:val="18"/>
              </w:rPr>
            </w:pPr>
          </w:p>
        </w:tc>
        <w:tc>
          <w:tcPr>
            <w:tcW w:w="1018" w:type="pct"/>
            <w:shd w:val="clear" w:color="auto" w:fill="auto"/>
          </w:tcPr>
          <w:p>
            <w:pPr>
              <w:jc w:val="center"/>
              <w:rPr>
                <w:rFonts w:hint="eastAsia"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jc w:val="center"/>
              <w:rPr>
                <w:rFonts w:hint="eastAsia" w:ascii="Times New Roman" w:hAnsi="Times New Roman" w:eastAsia="宋体" w:cs="Times New Roman"/>
                <w:b/>
                <w:sz w:val="18"/>
                <w:szCs w:val="18"/>
              </w:rPr>
            </w:pPr>
          </w:p>
        </w:tc>
        <w:tc>
          <w:tcPr>
            <w:tcW w:w="1018" w:type="pct"/>
            <w:shd w:val="clear" w:color="auto" w:fill="auto"/>
          </w:tcPr>
          <w:p>
            <w:pPr>
              <w:jc w:val="center"/>
              <w:rPr>
                <w:rFonts w:hint="eastAsia"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收到其他与经营活动有关的现金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jc w:val="center"/>
              <w:rPr>
                <w:rFonts w:hint="eastAsia" w:ascii="Times New Roman" w:hAnsi="Times New Roman" w:eastAsia="宋体" w:cs="Times New Roman"/>
                <w:b/>
                <w:sz w:val="18"/>
                <w:szCs w:val="18"/>
              </w:rPr>
            </w:pPr>
          </w:p>
        </w:tc>
        <w:tc>
          <w:tcPr>
            <w:tcW w:w="1018" w:type="pct"/>
            <w:tcBorders>
              <w:bottom w:val="single" w:color="5B9BD5" w:sz="4" w:space="0"/>
            </w:tcBorders>
            <w:shd w:val="clear" w:color="auto" w:fill="auto"/>
          </w:tcPr>
          <w:p>
            <w:pPr>
              <w:jc w:val="center"/>
              <w:rPr>
                <w:rFonts w:hint="eastAsia"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经营活动现金流入小计</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jc w:val="center"/>
              <w:rPr>
                <w:rFonts w:hint="eastAsia" w:ascii="Times New Roman" w:hAnsi="Times New Roman" w:eastAsia="宋体" w:cs="Times New Roman"/>
                <w:b/>
                <w:sz w:val="18"/>
                <w:szCs w:val="18"/>
              </w:rPr>
            </w:pPr>
          </w:p>
        </w:tc>
        <w:tc>
          <w:tcPr>
            <w:tcW w:w="1018" w:type="pct"/>
            <w:shd w:val="pct10" w:color="auto" w:fill="FFFFFF"/>
          </w:tcPr>
          <w:p>
            <w:pPr>
              <w:jc w:val="center"/>
              <w:rPr>
                <w:rFonts w:hint="eastAsia" w:ascii="Times New Roman" w:hAnsi="Times New Roman"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902" w:type="pct"/>
            <w:shd w:val="pct10" w:color="auto" w:fill="FFFFFF"/>
          </w:tcPr>
          <w:p>
            <w:pPr>
              <w:widowControl/>
              <w:jc w:val="center"/>
              <w:rPr>
                <w:rFonts w:ascii="宋体" w:hAnsi="宋体" w:eastAsia="宋体" w:cs="宋体"/>
                <w:b/>
                <w:kern w:val="0"/>
                <w:sz w:val="18"/>
                <w:szCs w:val="21"/>
              </w:rPr>
            </w:pPr>
          </w:p>
        </w:tc>
        <w:tc>
          <w:tcPr>
            <w:tcW w:w="804" w:type="pct"/>
            <w:shd w:val="pct10" w:color="auto" w:fill="FFFFFF"/>
          </w:tcPr>
          <w:p>
            <w:pPr>
              <w:widowControl/>
              <w:jc w:val="center"/>
              <w:rPr>
                <w:rFonts w:ascii="宋体" w:hAnsi="宋体" w:eastAsia="宋体" w:cs="宋体"/>
                <w:b/>
                <w:kern w:val="0"/>
                <w:sz w:val="18"/>
                <w:szCs w:val="21"/>
              </w:rPr>
            </w:pPr>
          </w:p>
        </w:tc>
        <w:tc>
          <w:tcPr>
            <w:tcW w:w="1018"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902" w:type="pct"/>
            <w:shd w:val="pct10" w:color="auto" w:fill="FFFFFF"/>
          </w:tcPr>
          <w:p>
            <w:pPr>
              <w:widowControl/>
              <w:jc w:val="center"/>
              <w:rPr>
                <w:rFonts w:ascii="宋体" w:hAnsi="宋体" w:eastAsia="宋体" w:cs="宋体"/>
                <w:b/>
                <w:kern w:val="0"/>
                <w:sz w:val="18"/>
                <w:szCs w:val="21"/>
              </w:rPr>
            </w:pPr>
          </w:p>
        </w:tc>
        <w:tc>
          <w:tcPr>
            <w:tcW w:w="804" w:type="pct"/>
            <w:shd w:val="pct10" w:color="auto" w:fill="FFFFFF"/>
          </w:tcPr>
          <w:p>
            <w:pPr>
              <w:widowControl/>
              <w:jc w:val="center"/>
              <w:rPr>
                <w:rFonts w:ascii="宋体" w:hAnsi="宋体" w:eastAsia="宋体" w:cs="宋体"/>
                <w:b/>
                <w:kern w:val="0"/>
                <w:sz w:val="18"/>
                <w:szCs w:val="21"/>
              </w:rPr>
            </w:pPr>
          </w:p>
        </w:tc>
        <w:tc>
          <w:tcPr>
            <w:tcW w:w="1018"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处置子公司及其他营业单位收到的现金净额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取得子公司及其他营业单位支付的现金净额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发行债券收到的现金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bl>
    <w:p>
      <w:pPr>
        <w:widowControl/>
        <w:ind w:right="272"/>
        <w:jc w:val="left"/>
        <w:rPr>
          <w:rFonts w:ascii="宋体" w:hAnsi="宋体" w:eastAsia="宋体" w:cs="Times New Roman"/>
          <w:b/>
          <w:bCs/>
          <w:color w:val="000000"/>
          <w:szCs w:val="18"/>
        </w:rPr>
        <w:sectPr>
          <w:footerReference r:id="rId4" w:type="default"/>
          <w:pgSz w:w="11907" w:h="16839"/>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spacing w:before="100" w:after="100"/>
        <w:outlineLvl w:val="2"/>
        <w:rPr>
          <w:rFonts w:ascii="Times New Roman" w:hAnsi="Times New Roman" w:eastAsia="宋体" w:cs="Times New Roman"/>
          <w:b/>
          <w:bCs/>
          <w:szCs w:val="32"/>
          <w:lang w:val="zh-CN"/>
        </w:rPr>
      </w:pPr>
      <w:bookmarkStart w:id="86" w:name="_Toc24206"/>
      <w:bookmarkStart w:id="87" w:name="_Toc14783"/>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七</w:t>
      </w: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合并</w:t>
      </w:r>
      <w:r>
        <w:rPr>
          <w:rFonts w:hint="eastAsia" w:ascii="Times New Roman" w:hAnsi="Times New Roman" w:eastAsia="宋体" w:cs="Times New Roman"/>
          <w:b/>
          <w:bCs/>
          <w:szCs w:val="32"/>
          <w:lang w:val="zh-CN"/>
        </w:rPr>
        <w:t>股东权益变动表</w:t>
      </w:r>
      <w:bookmarkEnd w:id="86"/>
      <w:bookmarkEnd w:id="87"/>
    </w:p>
    <w:p>
      <w:pPr>
        <w:jc w:val="right"/>
        <w:rPr>
          <w:rFonts w:ascii="Calibri" w:hAnsi="Calibri" w:eastAsia="宋体" w:cs="宋体"/>
          <w:kern w:val="0"/>
          <w:sz w:val="18"/>
        </w:rPr>
      </w:pPr>
      <w:r>
        <w:rPr>
          <w:rFonts w:hint="eastAsia" w:ascii="Calibri" w:hAnsi="Calibri" w:eastAsia="宋体" w:cs="Times New Roman"/>
        </w:rPr>
        <w:t>单位：元</w:t>
      </w:r>
    </w:p>
    <w:tbl>
      <w:tblPr>
        <w:tblStyle w:val="45"/>
        <w:tblW w:w="1495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93"/>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0989" w:type="dxa"/>
            <w:gridSpan w:val="13"/>
            <w:shd w:val="clear" w:color="auto" w:fill="D9D9D9"/>
          </w:tcPr>
          <w:p>
            <w:pPr>
              <w:jc w:val="center"/>
              <w:rPr>
                <w:rFonts w:ascii="Calibri" w:hAnsi="Calibri" w:eastAsia="宋体" w:cs="Times New Roman"/>
                <w:b/>
                <w:color w:val="000000"/>
                <w:sz w:val="18"/>
                <w:szCs w:val="18"/>
              </w:rPr>
            </w:pPr>
            <w:r>
              <w:rPr>
                <w:rFonts w:hint="default" w:ascii="Times New Roman" w:hAnsi="Times New Roman" w:eastAsia="宋体" w:cs="Times New Roman"/>
                <w:b/>
                <w:color w:val="000000"/>
                <w:sz w:val="18"/>
                <w:szCs w:val="18"/>
              </w:rPr>
              <w:t>2024</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0" w:hRule="atLeast"/>
          <w:jc w:val="center"/>
        </w:trPr>
        <w:tc>
          <w:tcPr>
            <w:tcW w:w="3966" w:type="dxa"/>
            <w:vMerge w:val="continue"/>
            <w:shd w:val="clear" w:color="auto" w:fill="D9D9D9"/>
            <w:vAlign w:val="center"/>
          </w:tcPr>
          <w:p>
            <w:pPr>
              <w:jc w:val="center"/>
              <w:rPr>
                <w:rFonts w:ascii="宋体" w:hAnsi="宋体" w:eastAsia="宋体" w:cs="Times New Roman"/>
                <w:b/>
                <w:color w:val="000000"/>
                <w:sz w:val="18"/>
                <w:szCs w:val="18"/>
              </w:rPr>
            </w:pPr>
          </w:p>
        </w:tc>
        <w:tc>
          <w:tcPr>
            <w:tcW w:w="9146"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3"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86"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709"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851"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9"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708"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continue"/>
            <w:shd w:val="clear" w:color="auto" w:fill="D9D9D9"/>
          </w:tcPr>
          <w:p>
            <w:pPr>
              <w:jc w:val="center"/>
              <w:rPr>
                <w:rFonts w:ascii="Calibri" w:hAnsi="Calibri" w:eastAsia="宋体" w:cs="Times New Roman"/>
                <w:b/>
                <w:color w:val="000000"/>
                <w:sz w:val="18"/>
                <w:szCs w:val="18"/>
              </w:rPr>
            </w:pPr>
          </w:p>
        </w:tc>
        <w:tc>
          <w:tcPr>
            <w:tcW w:w="921"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50"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15"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709"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9"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widowControl/>
        <w:ind w:right="270"/>
        <w:jc w:val="left"/>
        <w:rPr>
          <w:rFonts w:ascii="宋体" w:hAnsi="宋体" w:eastAsia="宋体" w:cs="宋体"/>
          <w:color w:val="000000"/>
          <w:kern w:val="0"/>
          <w:sz w:val="18"/>
          <w:szCs w:val="18"/>
        </w:rPr>
      </w:pPr>
    </w:p>
    <w:tbl>
      <w:tblPr>
        <w:tblStyle w:val="45"/>
        <w:tblW w:w="152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106"/>
        <w:gridCol w:w="1134"/>
        <w:gridCol w:w="992"/>
        <w:gridCol w:w="709"/>
        <w:gridCol w:w="709"/>
        <w:gridCol w:w="850"/>
        <w:gridCol w:w="851"/>
        <w:gridCol w:w="709"/>
        <w:gridCol w:w="708"/>
        <w:gridCol w:w="851"/>
        <w:gridCol w:w="850"/>
        <w:gridCol w:w="851"/>
        <w:gridCol w:w="992"/>
        <w:gridCol w:w="9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1123" w:type="dxa"/>
            <w:gridSpan w:val="13"/>
            <w:shd w:val="clear" w:color="auto" w:fill="D9D9D9"/>
          </w:tcPr>
          <w:p>
            <w:pPr>
              <w:jc w:val="center"/>
              <w:rPr>
                <w:rFonts w:ascii="Calibri" w:hAnsi="Calibri" w:eastAsia="宋体" w:cs="Times New Roman"/>
                <w:b/>
                <w:color w:val="000000"/>
                <w:sz w:val="18"/>
                <w:szCs w:val="18"/>
              </w:rPr>
            </w:pPr>
            <w:r>
              <w:rPr>
                <w:rFonts w:hint="eastAsia" w:ascii="Times New Roman" w:hAnsi="Times New Roman" w:eastAsia="宋体" w:cs="Times New Roman"/>
                <w:b/>
                <w:color w:val="000000"/>
                <w:sz w:val="18"/>
                <w:szCs w:val="18"/>
              </w:rPr>
              <w:t>2023</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jc w:val="center"/>
        </w:trPr>
        <w:tc>
          <w:tcPr>
            <w:tcW w:w="4106" w:type="dxa"/>
            <w:vMerge w:val="continue"/>
            <w:shd w:val="clear" w:color="auto" w:fill="D9D9D9"/>
            <w:vAlign w:val="center"/>
          </w:tcPr>
          <w:p>
            <w:pPr>
              <w:jc w:val="center"/>
              <w:rPr>
                <w:rFonts w:ascii="宋体" w:hAnsi="宋体" w:eastAsia="宋体" w:cs="Times New Roman"/>
                <w:b/>
                <w:color w:val="000000"/>
                <w:sz w:val="18"/>
                <w:szCs w:val="18"/>
              </w:rPr>
            </w:pPr>
          </w:p>
        </w:tc>
        <w:tc>
          <w:tcPr>
            <w:tcW w:w="9214"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2"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917"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10"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709"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8"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continue"/>
            <w:shd w:val="clear" w:color="auto" w:fill="D9D9D9"/>
          </w:tcPr>
          <w:p>
            <w:pPr>
              <w:jc w:val="center"/>
              <w:rPr>
                <w:rFonts w:ascii="Calibri" w:hAnsi="Calibri" w:eastAsia="宋体" w:cs="Times New Roman"/>
                <w:b/>
                <w:color w:val="000000"/>
                <w:sz w:val="18"/>
                <w:szCs w:val="18"/>
              </w:rPr>
            </w:pPr>
          </w:p>
        </w:tc>
        <w:tc>
          <w:tcPr>
            <w:tcW w:w="992"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709"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09"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709"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rPr>
          <w:rFonts w:ascii="宋体" w:hAnsi="宋体" w:eastAsia="宋体" w:cs="Times New Roman"/>
          <w:b/>
          <w:bCs/>
          <w:color w:val="000000"/>
          <w:szCs w:val="21"/>
        </w:rPr>
      </w:pPr>
      <w:r>
        <w:rPr>
          <w:rFonts w:hint="eastAsia" w:ascii="Calibri" w:hAnsi="Calibri" w:eastAsia="宋体" w:cs="Times New Roman"/>
          <w:color w:val="000000"/>
          <w:sz w:val="18"/>
          <w:szCs w:val="18"/>
        </w:rPr>
        <w:t>法定代表人：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主管会计工作负责人：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会计机构负责人：</w:t>
      </w:r>
      <w:r>
        <w:rPr>
          <w:rFonts w:ascii="Calibri" w:hAnsi="Calibri" w:eastAsia="宋体" w:cs="Times New Roman"/>
          <w:color w:val="000000"/>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88" w:name="_Toc18508"/>
      <w:bookmarkStart w:id="89" w:name="_Toc17406"/>
      <w:r>
        <w:rPr>
          <w:rFonts w:hint="eastAsia" w:ascii="Times New Roman" w:hAnsi="Times New Roman" w:eastAsia="宋体" w:cs="Times New Roman"/>
          <w:b/>
          <w:bCs/>
          <w:szCs w:val="32"/>
          <w:lang w:val="zh-CN"/>
        </w:rPr>
        <w:t>（八）母公司股东权益变动表</w:t>
      </w:r>
      <w:bookmarkEnd w:id="88"/>
      <w:bookmarkEnd w:id="89"/>
    </w:p>
    <w:p>
      <w:pPr>
        <w:jc w:val="right"/>
        <w:rPr>
          <w:rFonts w:ascii="宋体" w:hAnsi="宋体" w:eastAsia="宋体" w:cs="宋体"/>
          <w:kern w:val="0"/>
          <w:sz w:val="18"/>
        </w:rPr>
      </w:pPr>
      <w:r>
        <w:rPr>
          <w:rFonts w:hint="eastAsia" w:ascii="Calibri" w:hAnsi="Calibri" w:eastAsia="宋体" w:cs="Times New Roman"/>
        </w:rPr>
        <w:t>单位：元</w:t>
      </w: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E7E6E6" w:themeFill="background2"/>
          </w:tcPr>
          <w:p>
            <w:pPr>
              <w:ind w:firstLine="440"/>
              <w:jc w:val="center"/>
              <w:rPr>
                <w:rFonts w:ascii="宋体" w:hAnsi="宋体" w:eastAsia="宋体" w:cs="Times New Roman"/>
                <w:b/>
                <w:color w:val="000000"/>
                <w:sz w:val="18"/>
                <w:szCs w:val="18"/>
              </w:rPr>
            </w:pPr>
            <w:r>
              <w:rPr>
                <w:rFonts w:hint="eastAsia" w:ascii="Times New Roman" w:hAnsi="Times New Roman" w:eastAsia="宋体" w:cs="Times New Roman"/>
                <w:b/>
                <w:color w:val="000000"/>
                <w:sz w:val="18"/>
                <w:szCs w:val="18"/>
              </w:rPr>
              <w:t>2024</w:t>
            </w:r>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E7E6E6" w:themeFill="background2"/>
            <w:vAlign w:val="center"/>
          </w:tcPr>
          <w:p>
            <w:pPr>
              <w:ind w:firstLine="440"/>
              <w:jc w:val="center"/>
              <w:rPr>
                <w:rFonts w:ascii="宋体" w:hAnsi="宋体" w:eastAsia="宋体" w:cs="宋体"/>
                <w:b/>
                <w:color w:val="000000"/>
                <w:sz w:val="18"/>
                <w:szCs w:val="18"/>
              </w:rPr>
            </w:pPr>
          </w:p>
        </w:tc>
        <w:tc>
          <w:tcPr>
            <w:tcW w:w="921"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E7E6E6" w:themeFill="background2"/>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904"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pP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E7E6E6" w:themeFill="background2"/>
          </w:tcPr>
          <w:p>
            <w:pPr>
              <w:ind w:firstLine="440"/>
              <w:jc w:val="center"/>
              <w:rPr>
                <w:rFonts w:ascii="宋体" w:hAnsi="宋体" w:eastAsia="宋体" w:cs="Times New Roman"/>
                <w:b/>
                <w:color w:val="000000"/>
                <w:sz w:val="18"/>
                <w:szCs w:val="18"/>
              </w:rPr>
            </w:pPr>
            <w:r>
              <w:rPr>
                <w:rFonts w:hint="eastAsia" w:ascii="Times New Roman" w:hAnsi="Times New Roman" w:eastAsia="宋体" w:cs="Times New Roman"/>
                <w:b/>
                <w:color w:val="000000"/>
                <w:sz w:val="18"/>
                <w:szCs w:val="18"/>
              </w:rPr>
              <w:t>2023</w:t>
            </w:r>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E7E6E6" w:themeFill="background2"/>
            <w:vAlign w:val="center"/>
          </w:tcPr>
          <w:p>
            <w:pPr>
              <w:ind w:firstLine="440"/>
              <w:jc w:val="center"/>
              <w:rPr>
                <w:rFonts w:ascii="宋体" w:hAnsi="宋体" w:eastAsia="宋体" w:cs="宋体"/>
                <w:b/>
                <w:color w:val="000000"/>
                <w:sz w:val="18"/>
                <w:szCs w:val="18"/>
              </w:rPr>
            </w:pPr>
          </w:p>
        </w:tc>
        <w:tc>
          <w:tcPr>
            <w:tcW w:w="921"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E7E6E6" w:themeFill="background2"/>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E7E6E6" w:themeFill="background2"/>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E7E6E6" w:themeFill="background2"/>
            <w:vAlign w:val="center"/>
          </w:tcPr>
          <w:p>
            <w:pPr>
              <w:ind w:firstLine="440"/>
              <w:jc w:val="center"/>
              <w:rPr>
                <w:rFonts w:ascii="宋体" w:hAnsi="宋体" w:eastAsia="宋体" w:cs="宋体"/>
                <w:b/>
                <w:color w:val="000000"/>
                <w:sz w:val="18"/>
                <w:szCs w:val="18"/>
              </w:rPr>
            </w:pPr>
          </w:p>
        </w:tc>
        <w:tc>
          <w:tcPr>
            <w:tcW w:w="921" w:type="dxa"/>
            <w:vMerge w:val="continue"/>
            <w:shd w:val="clear" w:color="auto" w:fill="E7E6E6" w:themeFill="background2"/>
            <w:vAlign w:val="center"/>
          </w:tcPr>
          <w:p>
            <w:pPr>
              <w:jc w:val="center"/>
              <w:rPr>
                <w:rFonts w:ascii="宋体" w:hAnsi="宋体" w:eastAsia="宋体" w:cs="Times New Roman"/>
                <w:b/>
                <w:color w:val="000000"/>
                <w:sz w:val="18"/>
                <w:szCs w:val="18"/>
              </w:rPr>
            </w:pPr>
          </w:p>
        </w:tc>
        <w:tc>
          <w:tcPr>
            <w:tcW w:w="833"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E7E6E6" w:themeFill="background2"/>
            <w:vAlign w:val="center"/>
          </w:tcPr>
          <w:p>
            <w:pPr>
              <w:jc w:val="center"/>
              <w:rPr>
                <w:rFonts w:ascii="宋体" w:hAnsi="宋体" w:eastAsia="宋体" w:cs="Times New Roman"/>
                <w:b/>
                <w:color w:val="000000"/>
                <w:sz w:val="18"/>
                <w:szCs w:val="18"/>
              </w:rPr>
            </w:pPr>
          </w:p>
        </w:tc>
        <w:tc>
          <w:tcPr>
            <w:tcW w:w="904" w:type="dxa"/>
            <w:vMerge w:val="continue"/>
            <w:shd w:val="clear" w:color="auto" w:fill="E7E6E6" w:themeFill="background2"/>
            <w:vAlign w:val="center"/>
          </w:tcPr>
          <w:p>
            <w:pPr>
              <w:jc w:val="center"/>
              <w:rPr>
                <w:rFonts w:ascii="宋体" w:hAnsi="宋体" w:eastAsia="宋体" w:cs="Times New Roman"/>
                <w:b/>
                <w:color w:val="000000"/>
                <w:sz w:val="18"/>
                <w:szCs w:val="18"/>
              </w:rPr>
            </w:pPr>
          </w:p>
        </w:tc>
        <w:tc>
          <w:tcPr>
            <w:tcW w:w="904" w:type="dxa"/>
            <w:vMerge w:val="continue"/>
            <w:shd w:val="clear" w:color="auto" w:fill="E7E6E6" w:themeFill="background2"/>
            <w:vAlign w:val="center"/>
          </w:tcPr>
          <w:p>
            <w:pPr>
              <w:jc w:val="center"/>
              <w:rPr>
                <w:rFonts w:ascii="Calibri" w:hAnsi="Calibri" w:eastAsia="宋体" w:cs="Times New Roman"/>
                <w:b/>
                <w:color w:val="000000"/>
                <w:sz w:val="18"/>
                <w:szCs w:val="18"/>
              </w:rPr>
            </w:pPr>
          </w:p>
        </w:tc>
        <w:tc>
          <w:tcPr>
            <w:tcW w:w="904" w:type="dxa"/>
            <w:vMerge w:val="continue"/>
            <w:shd w:val="clear" w:color="auto" w:fill="E7E6E6" w:themeFill="background2"/>
            <w:vAlign w:val="center"/>
          </w:tcPr>
          <w:p>
            <w:pPr>
              <w:jc w:val="center"/>
              <w:rPr>
                <w:rFonts w:ascii="宋体" w:hAnsi="宋体" w:eastAsia="宋体" w:cs="宋体"/>
                <w:b/>
                <w:color w:val="000000"/>
                <w:sz w:val="18"/>
                <w:szCs w:val="18"/>
              </w:rPr>
            </w:pPr>
          </w:p>
        </w:tc>
        <w:tc>
          <w:tcPr>
            <w:tcW w:w="903" w:type="dxa"/>
            <w:vMerge w:val="continue"/>
            <w:shd w:val="clear" w:color="auto" w:fill="E7E6E6" w:themeFill="background2"/>
            <w:vAlign w:val="center"/>
          </w:tcPr>
          <w:p>
            <w:pPr>
              <w:jc w:val="center"/>
              <w:rPr>
                <w:rFonts w:ascii="宋体" w:hAnsi="宋体" w:eastAsia="宋体" w:cs="Times New Roman"/>
                <w:b/>
                <w:color w:val="000000"/>
                <w:sz w:val="18"/>
                <w:szCs w:val="18"/>
              </w:rPr>
            </w:pPr>
          </w:p>
        </w:tc>
        <w:tc>
          <w:tcPr>
            <w:tcW w:w="904" w:type="dxa"/>
            <w:vMerge w:val="continue"/>
            <w:shd w:val="clear" w:color="auto" w:fill="E7E6E6" w:themeFill="background2"/>
          </w:tcPr>
          <w:p>
            <w:pPr>
              <w:rPr>
                <w:rFonts w:ascii="宋体" w:hAnsi="宋体" w:eastAsia="宋体" w:cs="Times New Roman"/>
                <w:b/>
                <w:color w:val="000000"/>
                <w:sz w:val="18"/>
                <w:szCs w:val="18"/>
              </w:rPr>
            </w:pPr>
          </w:p>
        </w:tc>
        <w:tc>
          <w:tcPr>
            <w:tcW w:w="904" w:type="dxa"/>
            <w:vMerge w:val="continue"/>
            <w:shd w:val="clear" w:color="auto" w:fill="E7E6E6" w:themeFill="background2"/>
            <w:vAlign w:val="center"/>
          </w:tcPr>
          <w:p>
            <w:pPr>
              <w:rPr>
                <w:rFonts w:ascii="宋体" w:hAnsi="宋体" w:eastAsia="宋体" w:cs="Times New Roman"/>
                <w:b/>
                <w:color w:val="000000"/>
                <w:sz w:val="18"/>
                <w:szCs w:val="18"/>
              </w:rPr>
            </w:pPr>
          </w:p>
        </w:tc>
        <w:tc>
          <w:tcPr>
            <w:tcW w:w="904" w:type="dxa"/>
            <w:vMerge w:val="continue"/>
            <w:shd w:val="clear" w:color="auto" w:fill="E7E6E6" w:themeFill="background2"/>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sectPr>
          <w:pgSz w:w="21633" w:h="11906" w:orient="landscape"/>
          <w:pgMar w:top="1797" w:right="6235"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bookmarkEnd w:id="70"/>
    <w:bookmarkEnd w:id="71"/>
    <w:bookmarkEnd w:id="72"/>
    <w:bookmarkEnd w:id="73"/>
    <w:p>
      <w:pPr>
        <w:tabs>
          <w:tab w:val="left" w:pos="5140"/>
        </w:tabs>
        <w:rPr>
          <w:rFonts w:ascii="宋体" w:hAnsi="宋体" w:eastAsia="宋体" w:cs="Times New Roman"/>
          <w:b/>
          <w:color w:val="FF0000"/>
          <w:sz w:val="24"/>
          <w:szCs w:val="21"/>
        </w:rPr>
      </w:pPr>
      <w:bookmarkStart w:id="90" w:name="_Toc23441"/>
      <w:bookmarkStart w:id="91" w:name="_Toc10081"/>
      <w:r>
        <w:rPr>
          <w:rFonts w:ascii="宋体" w:hAnsi="宋体" w:eastAsia="宋体" w:cs="Times New Roman"/>
          <w:b/>
          <w:color w:val="FF0000"/>
          <w:sz w:val="24"/>
          <w:szCs w:val="21"/>
        </w:rPr>
        <w:t>注意</w:t>
      </w:r>
      <w:r>
        <w:rPr>
          <w:rFonts w:hint="eastAsia" w:ascii="宋体" w:hAnsi="宋体" w:eastAsia="宋体" w:cs="Times New Roman"/>
          <w:b/>
          <w:color w:val="FF0000"/>
          <w:sz w:val="24"/>
          <w:szCs w:val="21"/>
        </w:rPr>
        <w:t>：</w:t>
      </w:r>
      <w:r>
        <w:rPr>
          <w:rFonts w:ascii="宋体" w:hAnsi="宋体" w:eastAsia="宋体" w:cs="Times New Roman"/>
          <w:b/>
          <w:color w:val="FF0000"/>
          <w:sz w:val="24"/>
          <w:szCs w:val="21"/>
        </w:rPr>
        <w:t>请在财务报表后附</w:t>
      </w:r>
      <w:r>
        <w:rPr>
          <w:rFonts w:hint="eastAsia" w:ascii="宋体" w:hAnsi="宋体" w:eastAsia="宋体" w:cs="Times New Roman"/>
          <w:b/>
          <w:color w:val="FF0000"/>
          <w:sz w:val="24"/>
          <w:szCs w:val="21"/>
        </w:rPr>
        <w:t>“财务报表附注”！！</w:t>
      </w:r>
      <w:bookmarkEnd w:id="90"/>
      <w:bookmarkEnd w:id="91"/>
    </w:p>
    <w:p>
      <w:pPr>
        <w:keepNext/>
        <w:keepLines/>
        <w:spacing w:before="100" w:after="100"/>
        <w:outlineLvl w:val="1"/>
        <w:rPr>
          <w:rFonts w:ascii="Calibri Light" w:hAnsi="Calibri Light" w:eastAsia="微软雅黑" w:cs="Times New Roman"/>
          <w:b/>
          <w:bCs/>
          <w:sz w:val="22"/>
          <w:szCs w:val="32"/>
        </w:rPr>
      </w:pPr>
      <w:bookmarkStart w:id="92" w:name="_Toc3016"/>
      <w:bookmarkStart w:id="93" w:name="_Toc23833"/>
      <w:r>
        <w:rPr>
          <w:rFonts w:hint="eastAsia" w:ascii="Calibri Light" w:hAnsi="Calibri Light" w:eastAsia="微软雅黑" w:cs="Times New Roman"/>
          <w:b/>
          <w:bCs/>
          <w:sz w:val="22"/>
          <w:szCs w:val="32"/>
        </w:rPr>
        <w:t xml:space="preserve">附件 </w:t>
      </w:r>
      <w:r>
        <w:rPr>
          <w:rFonts w:ascii="Calibri Light" w:hAnsi="Calibri Light" w:eastAsia="微软雅黑" w:cs="Times New Roman"/>
          <w:b/>
          <w:bCs/>
          <w:sz w:val="22"/>
          <w:szCs w:val="32"/>
        </w:rPr>
        <w:t>会计</w:t>
      </w:r>
      <w:r>
        <w:rPr>
          <w:rFonts w:hint="eastAsia" w:ascii="Calibri Light" w:hAnsi="Calibri Light" w:eastAsia="微软雅黑" w:cs="Times New Roman"/>
          <w:b/>
          <w:bCs/>
          <w:sz w:val="22"/>
          <w:szCs w:val="32"/>
        </w:rPr>
        <w:t>信息</w:t>
      </w:r>
      <w:r>
        <w:rPr>
          <w:rFonts w:ascii="Calibri Light" w:hAnsi="Calibri Light" w:eastAsia="微软雅黑" w:cs="Times New Roman"/>
          <w:b/>
          <w:bCs/>
          <w:sz w:val="22"/>
          <w:szCs w:val="32"/>
        </w:rPr>
        <w:t>调整及差异情况</w:t>
      </w:r>
    </w:p>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一</w:t>
      </w:r>
      <w:r>
        <w:rPr>
          <w:rFonts w:hint="eastAsia" w:ascii="Calibri Light" w:hAnsi="Calibri Light" w:eastAsia="微软雅黑" w:cs="Times New Roman"/>
          <w:b/>
          <w:bCs/>
          <w:sz w:val="22"/>
          <w:szCs w:val="32"/>
          <w:lang w:val="zh-CN"/>
        </w:rPr>
        <w:t>、会计政策变更、会计</w:t>
      </w:r>
      <w:r>
        <w:rPr>
          <w:rFonts w:ascii="Calibri Light" w:hAnsi="Calibri Light" w:eastAsia="微软雅黑" w:cs="Times New Roman"/>
          <w:b/>
          <w:bCs/>
          <w:sz w:val="22"/>
          <w:szCs w:val="32"/>
          <w:lang w:val="zh-CN"/>
        </w:rPr>
        <w:t>估计变更或重大</w:t>
      </w:r>
      <w:r>
        <w:rPr>
          <w:rFonts w:hint="eastAsia" w:ascii="Calibri Light" w:hAnsi="Calibri Light" w:eastAsia="微软雅黑" w:cs="Times New Roman"/>
          <w:b/>
          <w:bCs/>
          <w:sz w:val="22"/>
          <w:szCs w:val="32"/>
          <w:lang w:val="zh-CN"/>
        </w:rPr>
        <w:t>差错更正等</w:t>
      </w:r>
      <w:r>
        <w:rPr>
          <w:rFonts w:ascii="Calibri Light" w:hAnsi="Calibri Light"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宋体" w:hAnsi="宋体" w:eastAsia="宋体" w:cs="Times New Roman"/>
          <w:color w:val="FF0000"/>
          <w:szCs w:val="44"/>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会计政策变更</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会计差错更正</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其他原因</w:t>
      </w:r>
      <w:r>
        <w:rPr>
          <w:rFonts w:hint="eastAsia" w:ascii="Calibri" w:hAnsi="Calibri" w:eastAsia="宋体" w:cs="Times New Roman"/>
          <w:color w:val="FF0000"/>
          <w:u w:val="single"/>
        </w:rPr>
        <w:t>（请填写具体原因）</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科目/指标</w:t>
            </w:r>
          </w:p>
        </w:tc>
        <w:tc>
          <w:tcPr>
            <w:tcW w:w="4110" w:type="dxa"/>
            <w:gridSpan w:val="2"/>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上年同期</w:t>
            </w:r>
            <w:r>
              <w:rPr>
                <w:rFonts w:ascii="宋体" w:hAnsi="宋体" w:eastAsia="宋体" w:cs="Times New Roman"/>
                <w:b/>
                <w:color w:val="000000"/>
                <w:kern w:val="0"/>
                <w:sz w:val="22"/>
              </w:rPr>
              <w:t>）</w:t>
            </w:r>
          </w:p>
        </w:tc>
        <w:tc>
          <w:tcPr>
            <w:tcW w:w="4111" w:type="dxa"/>
            <w:gridSpan w:val="2"/>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上上年同期</w:t>
            </w:r>
            <w:r>
              <w:rPr>
                <w:rFonts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宋体" w:hAnsi="宋体" w:eastAsia="宋体" w:cs="Times New Roman"/>
                <w:b/>
                <w:color w:val="000000"/>
                <w:kern w:val="0"/>
                <w:sz w:val="22"/>
              </w:rPr>
            </w:pPr>
          </w:p>
        </w:tc>
        <w:tc>
          <w:tcPr>
            <w:tcW w:w="198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w:t>
            </w:r>
            <w:r>
              <w:rPr>
                <w:rFonts w:ascii="宋体" w:hAnsi="宋体" w:eastAsia="宋体" w:cs="Times New Roman"/>
                <w:b/>
                <w:color w:val="000000"/>
                <w:kern w:val="0"/>
                <w:sz w:val="22"/>
              </w:rPr>
              <w:t>重述后</w:t>
            </w:r>
          </w:p>
        </w:tc>
        <w:tc>
          <w:tcPr>
            <w:tcW w:w="2268"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1843"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bl>
    <w:p>
      <w:pPr>
        <w:widowControl/>
        <w:jc w:val="left"/>
        <w:rPr>
          <w:rFonts w:ascii="宋体" w:hAnsi="宋体" w:eastAsia="宋体" w:cs="Times New Roman"/>
          <w:i/>
          <w:color w:val="FF0000"/>
          <w:szCs w:val="44"/>
        </w:rPr>
      </w:pPr>
      <w:r>
        <w:rPr>
          <w:rFonts w:hint="eastAsia" w:ascii="宋体" w:hAnsi="宋体"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二、非经常性</w:t>
      </w:r>
      <w:r>
        <w:rPr>
          <w:rFonts w:ascii="Calibri Light" w:hAnsi="Calibri Light" w:eastAsia="微软雅黑" w:cs="Times New Roman"/>
          <w:b/>
          <w:bCs/>
          <w:sz w:val="22"/>
          <w:szCs w:val="32"/>
          <w:lang w:val="zh-CN"/>
        </w:rPr>
        <w:t>损益</w:t>
      </w:r>
      <w:r>
        <w:rPr>
          <w:rFonts w:hint="eastAsia" w:ascii="Calibri Light" w:hAnsi="Calibri Light" w:eastAsia="微软雅黑" w:cs="Times New Roman"/>
          <w:b/>
          <w:bCs/>
          <w:sz w:val="22"/>
          <w:szCs w:val="32"/>
          <w:lang w:val="zh-CN"/>
        </w:rPr>
        <w:t>项目及金额</w:t>
      </w:r>
    </w:p>
    <w:p>
      <w:pPr>
        <w:jc w:val="right"/>
        <w:rPr>
          <w:rFonts w:ascii="微软雅黑" w:hAnsi="微软雅黑" w:eastAsia="微软雅黑" w:cs="Times New Roman"/>
          <w:b/>
          <w:sz w:val="22"/>
          <w:szCs w:val="44"/>
        </w:rPr>
      </w:pPr>
      <w:r>
        <w:rPr>
          <w:rFonts w:hint="eastAsia" w:ascii="Calibri" w:hAnsi="Calibri" w:eastAsia="宋体" w:cs="Times New Roman"/>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eastAsia="宋体" w:cs="Times New Roman"/>
                <w:color w:val="000000"/>
                <w:kern w:val="0"/>
                <w:sz w:val="22"/>
              </w:rPr>
            </w:pP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非经常性损益合计</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减：所得税</w:t>
            </w:r>
            <w:r>
              <w:rPr>
                <w:rFonts w:ascii="宋体" w:hAnsi="宋体" w:eastAsia="宋体" w:cs="Times New Roman"/>
                <w:color w:val="000000"/>
                <w:kern w:val="0"/>
                <w:sz w:val="22"/>
              </w:rPr>
              <w:t>影响数</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宋体" w:hAnsi="宋体" w:eastAsia="宋体" w:cs="Times New Roman"/>
                <w:color w:val="000000"/>
                <w:kern w:val="0"/>
                <w:sz w:val="22"/>
              </w:rPr>
            </w:pPr>
            <w:r>
              <w:rPr>
                <w:rFonts w:ascii="Calibri" w:hAnsi="Calibri" w:eastAsia="宋体" w:cs="Times New Roman"/>
                <w:color w:val="000000"/>
                <w:sz w:val="22"/>
              </w:rPr>
              <w:t>少数股东权益影响额（税后）</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w:t>
            </w:r>
            <w:r>
              <w:rPr>
                <w:rFonts w:ascii="宋体" w:hAnsi="宋体" w:eastAsia="宋体" w:cs="Times New Roman"/>
                <w:b/>
                <w:color w:val="000000"/>
                <w:kern w:val="0"/>
                <w:sz w:val="22"/>
              </w:rPr>
              <w:t>损益净额</w:t>
            </w:r>
          </w:p>
        </w:tc>
        <w:tc>
          <w:tcPr>
            <w:tcW w:w="4394" w:type="dxa"/>
            <w:tcBorders>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三、境内外会计准则下会计数据差异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92"/>
      <w:bookmarkEnd w:id="93"/>
    </w:p>
    <w:sectPr>
      <w:pgSz w:w="11907" w:h="16839"/>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Noto Sans Gurmukhi">
    <w:panose1 w:val="020B0502040504020204"/>
    <w:charset w:val="00"/>
    <w:family w:val="auto"/>
    <w:pitch w:val="default"/>
    <w:sig w:usb0="0002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6043602"/>
      <w:docPartObj>
        <w:docPartGallery w:val="autotext"/>
      </w:docPartObj>
    </w:sdtPr>
    <w:sdtContent>
      <w:p>
        <w:pPr>
          <w:pStyle w:val="31"/>
          <w:jc w:val="center"/>
        </w:pPr>
        <w:r>
          <w:fldChar w:fldCharType="begin"/>
        </w:r>
        <w:r>
          <w:instrText xml:space="preserve">PAGE   \* MERGEFORMAT</w:instrText>
        </w:r>
        <w:r>
          <w:fldChar w:fldCharType="separate"/>
        </w:r>
        <w:r>
          <w:rPr>
            <w:lang w:val="zh-CN"/>
          </w:rPr>
          <w:t>13</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54657"/>
    </w:sdtPr>
    <w:sdtContent>
      <w:p>
        <w:pPr>
          <w:pStyle w:val="31"/>
          <w:ind w:left="2100" w:hanging="420"/>
          <w:jc w:val="center"/>
        </w:pPr>
        <w:r>
          <w:fldChar w:fldCharType="begin"/>
        </w:r>
        <w:r>
          <w:instrText xml:space="preserve">PAGE   \* MERGEFORMAT</w:instrText>
        </w:r>
        <w:r>
          <w:fldChar w:fldCharType="separate"/>
        </w:r>
        <w:r>
          <w:rPr>
            <w:lang w:val="zh-CN"/>
          </w:rPr>
          <w:t>16</w:t>
        </w:r>
        <w:r>
          <w:fldChar w:fldCharType="end"/>
        </w:r>
      </w:p>
    </w:sdtContent>
  </w:sdt>
  <w:p>
    <w:pPr>
      <w:pStyle w:val="3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27816"/>
    <w:rsid w:val="00037055"/>
    <w:rsid w:val="000473CC"/>
    <w:rsid w:val="000520E2"/>
    <w:rsid w:val="000569D0"/>
    <w:rsid w:val="00064DCD"/>
    <w:rsid w:val="00077348"/>
    <w:rsid w:val="00091D4B"/>
    <w:rsid w:val="00096D23"/>
    <w:rsid w:val="000C46BD"/>
    <w:rsid w:val="000D65C9"/>
    <w:rsid w:val="000F78A5"/>
    <w:rsid w:val="00194E96"/>
    <w:rsid w:val="001B031A"/>
    <w:rsid w:val="001C3D27"/>
    <w:rsid w:val="001C6B30"/>
    <w:rsid w:val="001D457E"/>
    <w:rsid w:val="001E568E"/>
    <w:rsid w:val="00220680"/>
    <w:rsid w:val="00233D01"/>
    <w:rsid w:val="00241328"/>
    <w:rsid w:val="00245876"/>
    <w:rsid w:val="00252F1E"/>
    <w:rsid w:val="0025621E"/>
    <w:rsid w:val="00272B19"/>
    <w:rsid w:val="00296596"/>
    <w:rsid w:val="002D0FAF"/>
    <w:rsid w:val="003245FE"/>
    <w:rsid w:val="00332B91"/>
    <w:rsid w:val="00346154"/>
    <w:rsid w:val="00352515"/>
    <w:rsid w:val="003562AB"/>
    <w:rsid w:val="00376347"/>
    <w:rsid w:val="003936CC"/>
    <w:rsid w:val="00393D57"/>
    <w:rsid w:val="003A0744"/>
    <w:rsid w:val="003C500F"/>
    <w:rsid w:val="003D3FCD"/>
    <w:rsid w:val="003F234D"/>
    <w:rsid w:val="00412A75"/>
    <w:rsid w:val="0047112B"/>
    <w:rsid w:val="004764D0"/>
    <w:rsid w:val="004B1BCE"/>
    <w:rsid w:val="004C552A"/>
    <w:rsid w:val="004F3506"/>
    <w:rsid w:val="00506875"/>
    <w:rsid w:val="005141A7"/>
    <w:rsid w:val="00541500"/>
    <w:rsid w:val="00570D56"/>
    <w:rsid w:val="005A5826"/>
    <w:rsid w:val="005C1BB7"/>
    <w:rsid w:val="005C68E9"/>
    <w:rsid w:val="005E417C"/>
    <w:rsid w:val="005E5C5A"/>
    <w:rsid w:val="005F6466"/>
    <w:rsid w:val="00601048"/>
    <w:rsid w:val="0060663A"/>
    <w:rsid w:val="00645834"/>
    <w:rsid w:val="00674CBE"/>
    <w:rsid w:val="00681962"/>
    <w:rsid w:val="00690756"/>
    <w:rsid w:val="006C1562"/>
    <w:rsid w:val="006C5002"/>
    <w:rsid w:val="006D638D"/>
    <w:rsid w:val="006E7C10"/>
    <w:rsid w:val="006F0092"/>
    <w:rsid w:val="007112C2"/>
    <w:rsid w:val="00731FDC"/>
    <w:rsid w:val="007329DA"/>
    <w:rsid w:val="0075546D"/>
    <w:rsid w:val="00755BA5"/>
    <w:rsid w:val="00776BE2"/>
    <w:rsid w:val="00782E31"/>
    <w:rsid w:val="0079347F"/>
    <w:rsid w:val="007B7D00"/>
    <w:rsid w:val="007C4225"/>
    <w:rsid w:val="007D07A7"/>
    <w:rsid w:val="007D1458"/>
    <w:rsid w:val="007E0DFC"/>
    <w:rsid w:val="007E583E"/>
    <w:rsid w:val="00816FD3"/>
    <w:rsid w:val="0082424C"/>
    <w:rsid w:val="00826F4D"/>
    <w:rsid w:val="0083287A"/>
    <w:rsid w:val="0083638B"/>
    <w:rsid w:val="00837BA9"/>
    <w:rsid w:val="00842AB1"/>
    <w:rsid w:val="00846AA5"/>
    <w:rsid w:val="00896507"/>
    <w:rsid w:val="008A0800"/>
    <w:rsid w:val="008A7E70"/>
    <w:rsid w:val="00920AFE"/>
    <w:rsid w:val="00947DB8"/>
    <w:rsid w:val="00970511"/>
    <w:rsid w:val="009A5B79"/>
    <w:rsid w:val="009E303B"/>
    <w:rsid w:val="00A14725"/>
    <w:rsid w:val="00A36191"/>
    <w:rsid w:val="00A5480B"/>
    <w:rsid w:val="00A70E43"/>
    <w:rsid w:val="00A830DB"/>
    <w:rsid w:val="00A83B1A"/>
    <w:rsid w:val="00A86A17"/>
    <w:rsid w:val="00AA13F7"/>
    <w:rsid w:val="00AA666D"/>
    <w:rsid w:val="00AB3142"/>
    <w:rsid w:val="00B000BE"/>
    <w:rsid w:val="00B81922"/>
    <w:rsid w:val="00BA18E8"/>
    <w:rsid w:val="00BB3026"/>
    <w:rsid w:val="00BE098F"/>
    <w:rsid w:val="00BE50E9"/>
    <w:rsid w:val="00BF544C"/>
    <w:rsid w:val="00C02B3A"/>
    <w:rsid w:val="00C17DF7"/>
    <w:rsid w:val="00C54411"/>
    <w:rsid w:val="00C83150"/>
    <w:rsid w:val="00CA1118"/>
    <w:rsid w:val="00CA7076"/>
    <w:rsid w:val="00CF3AEA"/>
    <w:rsid w:val="00D224CB"/>
    <w:rsid w:val="00D37575"/>
    <w:rsid w:val="00D54C2A"/>
    <w:rsid w:val="00D7383C"/>
    <w:rsid w:val="00D75D32"/>
    <w:rsid w:val="00D80CB8"/>
    <w:rsid w:val="00D960A4"/>
    <w:rsid w:val="00DB4315"/>
    <w:rsid w:val="00E04947"/>
    <w:rsid w:val="00E34B77"/>
    <w:rsid w:val="00E36563"/>
    <w:rsid w:val="00E56C0D"/>
    <w:rsid w:val="00E640E9"/>
    <w:rsid w:val="00E70C3F"/>
    <w:rsid w:val="00E84A74"/>
    <w:rsid w:val="00E92F9A"/>
    <w:rsid w:val="00EC48ED"/>
    <w:rsid w:val="00ED28ED"/>
    <w:rsid w:val="00ED77F5"/>
    <w:rsid w:val="00EE7195"/>
    <w:rsid w:val="00F55814"/>
    <w:rsid w:val="00FA41FD"/>
    <w:rsid w:val="00FF2B61"/>
    <w:rsid w:val="5FB5B21B"/>
    <w:rsid w:val="79FD5A85"/>
    <w:rsid w:val="FFC7B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2"/>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4"/>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7">
    <w:name w:val="Note Heading"/>
    <w:basedOn w:val="1"/>
    <w:next w:val="1"/>
    <w:link w:val="62"/>
    <w:qFormat/>
    <w:uiPriority w:val="0"/>
    <w:pPr>
      <w:jc w:val="center"/>
    </w:pPr>
    <w:rPr>
      <w:rFonts w:ascii="Times New Roman" w:hAnsi="Times New Roman" w:eastAsia="宋体" w:cs="Times New Roman"/>
      <w:szCs w:val="21"/>
      <w:lang w:val="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9">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0">
    <w:name w:val="Normal Indent"/>
    <w:basedOn w:val="1"/>
    <w:qFormat/>
    <w:uiPriority w:val="0"/>
    <w:pPr>
      <w:ind w:firstLine="420" w:firstLineChars="200"/>
    </w:pPr>
    <w:rPr>
      <w:rFonts w:ascii="Times New Roman" w:hAnsi="Times New Roman" w:eastAsia="宋体" w:cs="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2">
    <w:name w:val="Document Map"/>
    <w:basedOn w:val="1"/>
    <w:link w:val="63"/>
    <w:qFormat/>
    <w:uiPriority w:val="0"/>
    <w:rPr>
      <w:rFonts w:ascii="宋体" w:hAnsi="Times New Roman" w:eastAsia="宋体" w:cs="Times New Roman"/>
      <w:sz w:val="18"/>
      <w:szCs w:val="18"/>
      <w:lang w:val="zh-CN"/>
    </w:rPr>
  </w:style>
  <w:style w:type="paragraph" w:styleId="13">
    <w:name w:val="toa heading"/>
    <w:basedOn w:val="1"/>
    <w:next w:val="1"/>
    <w:qFormat/>
    <w:uiPriority w:val="0"/>
    <w:pPr>
      <w:spacing w:before="120"/>
    </w:pPr>
    <w:rPr>
      <w:rFonts w:ascii="Arial" w:hAnsi="Arial" w:eastAsia="宋体" w:cs="Times New Roman"/>
      <w:b/>
      <w:bCs/>
      <w:szCs w:val="21"/>
    </w:rPr>
  </w:style>
  <w:style w:type="paragraph" w:styleId="14">
    <w:name w:val="annotation text"/>
    <w:basedOn w:val="1"/>
    <w:link w:val="64"/>
    <w:unhideWhenUsed/>
    <w:qFormat/>
    <w:uiPriority w:val="0"/>
    <w:pPr>
      <w:jc w:val="left"/>
    </w:pPr>
    <w:rPr>
      <w:rFonts w:ascii="Calibri" w:hAnsi="Calibri" w:eastAsia="宋体" w:cs="Times New Roman"/>
    </w:rPr>
  </w:style>
  <w:style w:type="paragraph" w:styleId="15">
    <w:name w:val="Salutation"/>
    <w:basedOn w:val="1"/>
    <w:next w:val="1"/>
    <w:link w:val="65"/>
    <w:qFormat/>
    <w:uiPriority w:val="0"/>
    <w:rPr>
      <w:rFonts w:ascii="Times New Roman" w:hAnsi="Times New Roman" w:eastAsia="宋体" w:cs="Times New Roman"/>
      <w:szCs w:val="21"/>
      <w:lang w:val="zh-CN"/>
    </w:rPr>
  </w:style>
  <w:style w:type="paragraph" w:styleId="16">
    <w:name w:val="Body Text 3"/>
    <w:basedOn w:val="1"/>
    <w:link w:val="66"/>
    <w:qFormat/>
    <w:uiPriority w:val="0"/>
    <w:pPr>
      <w:spacing w:before="100" w:after="20" w:line="440" w:lineRule="exact"/>
    </w:pPr>
    <w:rPr>
      <w:rFonts w:ascii="楷体_GB2312" w:hAnsi="Times New Roman" w:eastAsia="楷体_GB2312" w:cs="Times New Roman"/>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8">
    <w:name w:val="Body Text"/>
    <w:basedOn w:val="1"/>
    <w:link w:val="67"/>
    <w:qFormat/>
    <w:uiPriority w:val="0"/>
    <w:pPr>
      <w:spacing w:after="120"/>
    </w:pPr>
    <w:rPr>
      <w:rFonts w:ascii="Times New Roman" w:hAnsi="Times New Roman" w:eastAsia="宋体" w:cs="Times New Roman"/>
      <w:szCs w:val="21"/>
      <w:lang w:val="zh-CN"/>
    </w:rPr>
  </w:style>
  <w:style w:type="paragraph" w:styleId="19">
    <w:name w:val="Body Text Indent"/>
    <w:basedOn w:val="1"/>
    <w:link w:val="68"/>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1">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4">
    <w:name w:val="Plain Text"/>
    <w:basedOn w:val="1"/>
    <w:link w:val="69"/>
    <w:qFormat/>
    <w:uiPriority w:val="0"/>
    <w:rPr>
      <w:rFonts w:ascii="宋体" w:hAnsi="Courier New" w:eastAsia="宋体" w:cs="Times New Roman"/>
      <w:szCs w:val="21"/>
      <w:lang w:val="zh-CN"/>
    </w:rPr>
  </w:style>
  <w:style w:type="paragraph" w:styleId="25">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7">
    <w:name w:val="Date"/>
    <w:basedOn w:val="1"/>
    <w:next w:val="1"/>
    <w:link w:val="70"/>
    <w:qFormat/>
    <w:uiPriority w:val="0"/>
    <w:pPr>
      <w:ind w:left="100" w:leftChars="2500"/>
    </w:pPr>
    <w:rPr>
      <w:rFonts w:ascii="楷体_GB2312" w:hAnsi="Times New Roman" w:eastAsia="楷体_GB2312" w:cs="Times New Roman"/>
      <w:sz w:val="28"/>
      <w:szCs w:val="24"/>
      <w:lang w:val="zh-CN"/>
    </w:rPr>
  </w:style>
  <w:style w:type="paragraph" w:styleId="28">
    <w:name w:val="Body Text Indent 2"/>
    <w:basedOn w:val="1"/>
    <w:link w:val="71"/>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29">
    <w:name w:val="endnote text"/>
    <w:basedOn w:val="1"/>
    <w:link w:val="72"/>
    <w:semiHidden/>
    <w:unhideWhenUsed/>
    <w:qFormat/>
    <w:uiPriority w:val="99"/>
    <w:pPr>
      <w:snapToGrid w:val="0"/>
      <w:jc w:val="left"/>
    </w:pPr>
    <w:rPr>
      <w:rFonts w:ascii="Calibri" w:hAnsi="Calibri" w:eastAsia="宋体" w:cs="Times New Roman"/>
    </w:rPr>
  </w:style>
  <w:style w:type="paragraph" w:styleId="30">
    <w:name w:val="Balloon Text"/>
    <w:basedOn w:val="1"/>
    <w:link w:val="73"/>
    <w:unhideWhenUsed/>
    <w:qFormat/>
    <w:uiPriority w:val="0"/>
    <w:rPr>
      <w:rFonts w:ascii="Calibri" w:hAnsi="Calibri" w:eastAsia="宋体" w:cs="Times New Roman"/>
      <w:sz w:val="18"/>
      <w:szCs w:val="18"/>
    </w:rPr>
  </w:style>
  <w:style w:type="paragraph" w:styleId="31">
    <w:name w:val="footer"/>
    <w:basedOn w:val="1"/>
    <w:link w:val="57"/>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5">
    <w:name w:val="Subtitle"/>
    <w:basedOn w:val="1"/>
    <w:next w:val="1"/>
    <w:link w:val="127"/>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75"/>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76"/>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77"/>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Title"/>
    <w:basedOn w:val="1"/>
    <w:next w:val="1"/>
    <w:link w:val="175"/>
    <w:qFormat/>
    <w:uiPriority w:val="10"/>
    <w:pPr>
      <w:spacing w:before="240" w:after="60"/>
      <w:jc w:val="center"/>
      <w:outlineLvl w:val="0"/>
    </w:pPr>
    <w:rPr>
      <w:rFonts w:eastAsia="宋体" w:asciiTheme="majorHAnsi" w:hAnsiTheme="majorHAnsi" w:cstheme="majorBidi"/>
      <w:b/>
      <w:bCs/>
      <w:sz w:val="32"/>
      <w:szCs w:val="32"/>
    </w:rPr>
  </w:style>
  <w:style w:type="paragraph" w:styleId="44">
    <w:name w:val="annotation subject"/>
    <w:basedOn w:val="14"/>
    <w:next w:val="14"/>
    <w:link w:val="79"/>
    <w:unhideWhenUsed/>
    <w:qFormat/>
    <w:uiPriority w:val="0"/>
    <w:rPr>
      <w:b/>
      <w:bCs/>
    </w:rPr>
  </w:style>
  <w:style w:type="table" w:styleId="46">
    <w:name w:val="Table Grid"/>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basedOn w:val="47"/>
    <w:semiHidden/>
    <w:unhideWhenUsed/>
    <w:qFormat/>
    <w:uiPriority w:val="99"/>
    <w:rPr>
      <w:vertAlign w:val="superscript"/>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7"/>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7"/>
    <w:unhideWhenUsed/>
    <w:qFormat/>
    <w:uiPriority w:val="99"/>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页眉 Char"/>
    <w:basedOn w:val="47"/>
    <w:link w:val="33"/>
    <w:qFormat/>
    <w:uiPriority w:val="0"/>
    <w:rPr>
      <w:sz w:val="18"/>
      <w:szCs w:val="18"/>
    </w:rPr>
  </w:style>
  <w:style w:type="character" w:customStyle="1" w:styleId="57">
    <w:name w:val="页脚 Char"/>
    <w:basedOn w:val="47"/>
    <w:link w:val="31"/>
    <w:qFormat/>
    <w:uiPriority w:val="99"/>
    <w:rPr>
      <w:sz w:val="18"/>
      <w:szCs w:val="18"/>
    </w:rPr>
  </w:style>
  <w:style w:type="character" w:customStyle="1" w:styleId="58">
    <w:name w:val="标题 1 Char"/>
    <w:basedOn w:val="47"/>
    <w:link w:val="2"/>
    <w:qFormat/>
    <w:uiPriority w:val="0"/>
    <w:rPr>
      <w:rFonts w:ascii="Calibri" w:hAnsi="Calibri" w:eastAsia="宋体" w:cs="Times New Roman"/>
      <w:b/>
      <w:bCs/>
      <w:kern w:val="44"/>
      <w:sz w:val="44"/>
      <w:szCs w:val="44"/>
      <w:lang w:val="zh-CN"/>
    </w:rPr>
  </w:style>
  <w:style w:type="paragraph" w:customStyle="1" w:styleId="59">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0">
    <w:name w:val="标题 3 Char"/>
    <w:basedOn w:val="47"/>
    <w:qFormat/>
    <w:uiPriority w:val="0"/>
    <w:rPr>
      <w:b/>
      <w:bCs/>
      <w:sz w:val="32"/>
      <w:szCs w:val="32"/>
    </w:rPr>
  </w:style>
  <w:style w:type="character" w:customStyle="1" w:styleId="61">
    <w:name w:val="标题 4 Char"/>
    <w:basedOn w:val="47"/>
    <w:link w:val="5"/>
    <w:qFormat/>
    <w:uiPriority w:val="0"/>
    <w:rPr>
      <w:rFonts w:ascii="Arial" w:hAnsi="Arial" w:eastAsia="黑体" w:cs="Times New Roman"/>
      <w:b/>
      <w:bCs/>
      <w:sz w:val="28"/>
      <w:szCs w:val="28"/>
      <w:lang w:val="zh-CN"/>
    </w:rPr>
  </w:style>
  <w:style w:type="character" w:customStyle="1" w:styleId="62">
    <w:name w:val="注释标题 Char"/>
    <w:basedOn w:val="47"/>
    <w:link w:val="7"/>
    <w:qFormat/>
    <w:uiPriority w:val="0"/>
    <w:rPr>
      <w:rFonts w:ascii="Times New Roman" w:hAnsi="Times New Roman" w:eastAsia="宋体" w:cs="Times New Roman"/>
      <w:szCs w:val="21"/>
      <w:lang w:val="zh-CN"/>
    </w:rPr>
  </w:style>
  <w:style w:type="character" w:customStyle="1" w:styleId="63">
    <w:name w:val="文档结构图 Char"/>
    <w:basedOn w:val="47"/>
    <w:link w:val="12"/>
    <w:qFormat/>
    <w:uiPriority w:val="0"/>
    <w:rPr>
      <w:rFonts w:ascii="宋体" w:hAnsi="Times New Roman" w:eastAsia="宋体" w:cs="Times New Roman"/>
      <w:sz w:val="18"/>
      <w:szCs w:val="18"/>
      <w:lang w:val="zh-CN"/>
    </w:rPr>
  </w:style>
  <w:style w:type="character" w:customStyle="1" w:styleId="64">
    <w:name w:val="批注文字 Char"/>
    <w:basedOn w:val="47"/>
    <w:link w:val="14"/>
    <w:qFormat/>
    <w:uiPriority w:val="0"/>
    <w:rPr>
      <w:rFonts w:ascii="Calibri" w:hAnsi="Calibri" w:eastAsia="宋体" w:cs="Times New Roman"/>
    </w:rPr>
  </w:style>
  <w:style w:type="character" w:customStyle="1" w:styleId="65">
    <w:name w:val="称呼 Char"/>
    <w:basedOn w:val="47"/>
    <w:link w:val="15"/>
    <w:qFormat/>
    <w:uiPriority w:val="0"/>
    <w:rPr>
      <w:rFonts w:ascii="Times New Roman" w:hAnsi="Times New Roman" w:eastAsia="宋体" w:cs="Times New Roman"/>
      <w:szCs w:val="21"/>
      <w:lang w:val="zh-CN"/>
    </w:rPr>
  </w:style>
  <w:style w:type="character" w:customStyle="1" w:styleId="66">
    <w:name w:val="正文文本 3 Char"/>
    <w:basedOn w:val="47"/>
    <w:link w:val="16"/>
    <w:qFormat/>
    <w:uiPriority w:val="0"/>
    <w:rPr>
      <w:rFonts w:ascii="楷体_GB2312" w:hAnsi="Times New Roman" w:eastAsia="楷体_GB2312" w:cs="Times New Roman"/>
      <w:color w:val="000000"/>
      <w:sz w:val="24"/>
    </w:rPr>
  </w:style>
  <w:style w:type="character" w:customStyle="1" w:styleId="67">
    <w:name w:val="正文文本 Char"/>
    <w:basedOn w:val="47"/>
    <w:link w:val="18"/>
    <w:qFormat/>
    <w:uiPriority w:val="0"/>
    <w:rPr>
      <w:rFonts w:ascii="Times New Roman" w:hAnsi="Times New Roman" w:eastAsia="宋体" w:cs="Times New Roman"/>
      <w:szCs w:val="21"/>
      <w:lang w:val="zh-CN"/>
    </w:rPr>
  </w:style>
  <w:style w:type="character" w:customStyle="1" w:styleId="68">
    <w:name w:val="正文文本缩进 Char"/>
    <w:basedOn w:val="47"/>
    <w:link w:val="19"/>
    <w:qFormat/>
    <w:uiPriority w:val="0"/>
    <w:rPr>
      <w:rFonts w:ascii="仿宋_GB2312" w:hAnsi="MS Sans Serif" w:eastAsia="仿宋_GB2312" w:cs="Times New Roman"/>
      <w:kern w:val="0"/>
      <w:sz w:val="28"/>
      <w:szCs w:val="20"/>
    </w:rPr>
  </w:style>
  <w:style w:type="character" w:customStyle="1" w:styleId="69">
    <w:name w:val="纯文本 Char"/>
    <w:basedOn w:val="47"/>
    <w:link w:val="24"/>
    <w:qFormat/>
    <w:uiPriority w:val="0"/>
    <w:rPr>
      <w:rFonts w:ascii="宋体" w:hAnsi="Courier New" w:eastAsia="宋体" w:cs="Times New Roman"/>
      <w:szCs w:val="21"/>
      <w:lang w:val="zh-CN"/>
    </w:rPr>
  </w:style>
  <w:style w:type="character" w:customStyle="1" w:styleId="70">
    <w:name w:val="日期 Char"/>
    <w:basedOn w:val="47"/>
    <w:link w:val="27"/>
    <w:qFormat/>
    <w:uiPriority w:val="0"/>
    <w:rPr>
      <w:rFonts w:ascii="楷体_GB2312" w:hAnsi="Times New Roman" w:eastAsia="楷体_GB2312" w:cs="Times New Roman"/>
      <w:sz w:val="28"/>
      <w:szCs w:val="24"/>
      <w:lang w:val="zh-CN"/>
    </w:rPr>
  </w:style>
  <w:style w:type="character" w:customStyle="1" w:styleId="71">
    <w:name w:val="正文文本缩进 2 Char"/>
    <w:basedOn w:val="47"/>
    <w:link w:val="28"/>
    <w:qFormat/>
    <w:uiPriority w:val="0"/>
    <w:rPr>
      <w:rFonts w:ascii="仿宋_GB2312" w:hAnsi="Times New Roman" w:eastAsia="仿宋_GB2312" w:cs="Times New Roman"/>
      <w:kern w:val="0"/>
      <w:sz w:val="24"/>
      <w:szCs w:val="20"/>
    </w:rPr>
  </w:style>
  <w:style w:type="character" w:customStyle="1" w:styleId="72">
    <w:name w:val="尾注文本 Char"/>
    <w:basedOn w:val="47"/>
    <w:link w:val="29"/>
    <w:semiHidden/>
    <w:qFormat/>
    <w:uiPriority w:val="99"/>
    <w:rPr>
      <w:rFonts w:ascii="Calibri" w:hAnsi="Calibri" w:eastAsia="宋体" w:cs="Times New Roman"/>
    </w:rPr>
  </w:style>
  <w:style w:type="character" w:customStyle="1" w:styleId="73">
    <w:name w:val="批注框文本 Char"/>
    <w:basedOn w:val="47"/>
    <w:link w:val="30"/>
    <w:qFormat/>
    <w:uiPriority w:val="0"/>
    <w:rPr>
      <w:rFonts w:ascii="Calibri" w:hAnsi="Calibri" w:eastAsia="宋体" w:cs="Times New Roman"/>
      <w:sz w:val="18"/>
      <w:szCs w:val="18"/>
    </w:rPr>
  </w:style>
  <w:style w:type="paragraph" w:customStyle="1" w:styleId="74">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5">
    <w:name w:val="脚注文本 Char"/>
    <w:basedOn w:val="47"/>
    <w:link w:val="38"/>
    <w:qFormat/>
    <w:uiPriority w:val="0"/>
    <w:rPr>
      <w:rFonts w:ascii="Times New Roman" w:hAnsi="Times New Roman" w:eastAsia="宋体" w:cs="Times New Roman"/>
      <w:sz w:val="18"/>
      <w:szCs w:val="18"/>
      <w:lang w:val="zh-CN"/>
    </w:rPr>
  </w:style>
  <w:style w:type="character" w:customStyle="1" w:styleId="76">
    <w:name w:val="正文文本缩进 3 Char"/>
    <w:basedOn w:val="47"/>
    <w:link w:val="39"/>
    <w:qFormat/>
    <w:uiPriority w:val="0"/>
    <w:rPr>
      <w:rFonts w:ascii="楷体_GB2312" w:hAnsi="Times New Roman" w:eastAsia="楷体_GB2312" w:cs="Times New Roman"/>
      <w:sz w:val="28"/>
      <w:szCs w:val="20"/>
    </w:rPr>
  </w:style>
  <w:style w:type="character" w:customStyle="1" w:styleId="77">
    <w:name w:val="正文文本 2 Char"/>
    <w:basedOn w:val="47"/>
    <w:link w:val="41"/>
    <w:qFormat/>
    <w:uiPriority w:val="0"/>
    <w:rPr>
      <w:rFonts w:ascii="楷体_GB2312" w:hAnsi="Times New Roman" w:eastAsia="楷体_GB2312" w:cs="Times New Roman"/>
      <w:sz w:val="28"/>
      <w:szCs w:val="20"/>
    </w:rPr>
  </w:style>
  <w:style w:type="paragraph" w:customStyle="1" w:styleId="78">
    <w:name w:val="标题1"/>
    <w:basedOn w:val="1"/>
    <w:next w:val="43"/>
    <w:link w:val="94"/>
    <w:qFormat/>
    <w:uiPriority w:val="0"/>
    <w:pPr>
      <w:spacing w:before="240" w:after="60"/>
      <w:jc w:val="center"/>
      <w:outlineLvl w:val="0"/>
    </w:pPr>
    <w:rPr>
      <w:rFonts w:ascii="Arial" w:hAnsi="Arial" w:cs="Arial"/>
      <w:b/>
      <w:bCs/>
      <w:sz w:val="32"/>
      <w:szCs w:val="32"/>
    </w:rPr>
  </w:style>
  <w:style w:type="character" w:customStyle="1" w:styleId="79">
    <w:name w:val="批注主题 Char"/>
    <w:basedOn w:val="64"/>
    <w:link w:val="44"/>
    <w:qFormat/>
    <w:uiPriority w:val="0"/>
    <w:rPr>
      <w:rFonts w:ascii="Calibri" w:hAnsi="Calibri" w:eastAsia="宋体" w:cs="Times New Roman"/>
      <w:b/>
      <w:bCs/>
    </w:rPr>
  </w:style>
  <w:style w:type="paragraph" w:customStyle="1" w:styleId="80">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1">
    <w:name w:val="List Paragraph"/>
    <w:basedOn w:val="1"/>
    <w:qFormat/>
    <w:uiPriority w:val="34"/>
    <w:pPr>
      <w:ind w:firstLine="420" w:firstLineChars="200"/>
    </w:pPr>
    <w:rPr>
      <w:rFonts w:ascii="Calibri" w:hAnsi="Calibri" w:eastAsia="宋体" w:cs="Times New Roman"/>
    </w:rPr>
  </w:style>
  <w:style w:type="character" w:customStyle="1" w:styleId="82">
    <w:name w:val="标题 2 Char"/>
    <w:basedOn w:val="47"/>
    <w:link w:val="3"/>
    <w:qFormat/>
    <w:uiPriority w:val="0"/>
    <w:rPr>
      <w:rFonts w:ascii="Calibri Light" w:hAnsi="Calibri Light" w:eastAsia="宋体" w:cs="Times New Roman"/>
      <w:b/>
      <w:bCs/>
      <w:sz w:val="32"/>
      <w:szCs w:val="32"/>
    </w:r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标题 3 Char1"/>
    <w:link w:val="4"/>
    <w:qFormat/>
    <w:uiPriority w:val="0"/>
    <w:rPr>
      <w:rFonts w:ascii="Times New Roman" w:hAnsi="Times New Roman" w:eastAsia="宋体" w:cs="Times New Roman"/>
      <w:b/>
      <w:bCs/>
      <w:sz w:val="32"/>
      <w:szCs w:val="32"/>
      <w:lang w:val="zh-CN"/>
    </w:rPr>
  </w:style>
  <w:style w:type="paragraph" w:customStyle="1" w:styleId="85">
    <w:name w:val="修订1"/>
    <w:hidden/>
    <w:qFormat/>
    <w:uiPriority w:val="99"/>
    <w:rPr>
      <w:rFonts w:ascii="Calibri" w:hAnsi="Calibri" w:eastAsia="宋体" w:cs="Times New Roman"/>
      <w:kern w:val="2"/>
      <w:sz w:val="21"/>
      <w:szCs w:val="22"/>
      <w:lang w:val="en-US" w:eastAsia="zh-CN" w:bidi="ar-SA"/>
    </w:rPr>
  </w:style>
  <w:style w:type="table" w:customStyle="1" w:styleId="86">
    <w:name w:val="无格式表格 21"/>
    <w:basedOn w:val="45"/>
    <w:qFormat/>
    <w:uiPriority w:val="42"/>
    <w:rPr>
      <w:rFonts w:ascii="Calibri" w:hAnsi="Calibri" w:eastAsia="宋体" w:cs="Times New Roman"/>
      <w:kern w:val="0"/>
      <w:sz w:val="20"/>
      <w:szCs w:val="20"/>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7">
    <w:name w:val="无格式表格 31"/>
    <w:basedOn w:val="45"/>
    <w:qFormat/>
    <w:uiPriority w:val="43"/>
    <w:rPr>
      <w:rFonts w:ascii="Calibri" w:hAnsi="Calibri" w:eastAsia="宋体" w:cs="Times New Roman"/>
      <w:kern w:val="0"/>
      <w:sz w:val="20"/>
      <w:szCs w:val="20"/>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8">
    <w:name w:val="TableGrid"/>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paragraph" w:customStyle="1" w:styleId="89">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90">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1">
    <w:name w:val="cap"/>
    <w:qFormat/>
    <w:uiPriority w:val="0"/>
    <w:rPr>
      <w:rFonts w:eastAsia="宋体"/>
      <w:kern w:val="2"/>
      <w:sz w:val="24"/>
      <w:szCs w:val="24"/>
      <w:lang w:val="en-US" w:eastAsia="zh-CN" w:bidi="ar-SA"/>
    </w:rPr>
  </w:style>
  <w:style w:type="character" w:customStyle="1" w:styleId="92">
    <w:name w:val="notnullcss1"/>
    <w:qFormat/>
    <w:uiPriority w:val="0"/>
    <w:rPr>
      <w:rFonts w:eastAsia="宋体"/>
      <w:color w:val="FF0000"/>
      <w:kern w:val="2"/>
      <w:sz w:val="24"/>
      <w:szCs w:val="24"/>
      <w:lang w:val="en-US" w:eastAsia="zh-CN" w:bidi="ar-SA"/>
    </w:rPr>
  </w:style>
  <w:style w:type="paragraph" w:customStyle="1" w:styleId="93">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4">
    <w:name w:val="标题 Char"/>
    <w:link w:val="78"/>
    <w:qFormat/>
    <w:locked/>
    <w:uiPriority w:val="0"/>
    <w:rPr>
      <w:rFonts w:ascii="Arial" w:hAnsi="Arial" w:cs="Arial"/>
      <w:b/>
      <w:bCs/>
      <w:sz w:val="32"/>
      <w:szCs w:val="32"/>
    </w:rPr>
  </w:style>
  <w:style w:type="character" w:customStyle="1" w:styleId="95">
    <w:name w:val="标题 Char1"/>
    <w:basedOn w:val="47"/>
    <w:qFormat/>
    <w:uiPriority w:val="0"/>
    <w:rPr>
      <w:rFonts w:ascii="Calibri Light" w:hAnsi="Calibri Light" w:eastAsia="宋体" w:cs="Times New Roman"/>
      <w:b/>
      <w:bCs/>
      <w:sz w:val="32"/>
      <w:szCs w:val="32"/>
    </w:rPr>
  </w:style>
  <w:style w:type="paragraph" w:customStyle="1" w:styleId="96">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7">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9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0">
    <w:name w:val="span_"/>
    <w:qFormat/>
    <w:uiPriority w:val="0"/>
    <w:rPr>
      <w:rFonts w:eastAsia="宋体"/>
      <w:kern w:val="2"/>
      <w:sz w:val="24"/>
      <w:szCs w:val="24"/>
      <w:lang w:val="en-US" w:eastAsia="zh-CN" w:bidi="ar-SA"/>
    </w:rPr>
  </w:style>
  <w:style w:type="paragraph" w:customStyle="1" w:styleId="101">
    <w:name w:val="Char"/>
    <w:basedOn w:val="1"/>
    <w:qFormat/>
    <w:uiPriority w:val="0"/>
    <w:pPr>
      <w:ind w:left="765" w:hanging="360"/>
    </w:pPr>
    <w:rPr>
      <w:rFonts w:ascii="Times New Roman" w:hAnsi="Times New Roman" w:eastAsia="宋体" w:cs="Times New Roman"/>
      <w:sz w:val="24"/>
      <w:szCs w:val="24"/>
    </w:rPr>
  </w:style>
  <w:style w:type="paragraph" w:customStyle="1" w:styleId="102">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3">
    <w:name w:val="标题 3 Char Char"/>
    <w:qFormat/>
    <w:uiPriority w:val="0"/>
    <w:rPr>
      <w:b/>
      <w:bCs/>
      <w:kern w:val="2"/>
      <w:sz w:val="32"/>
      <w:szCs w:val="32"/>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5">
    <w:name w:val="网格型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型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3"/>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8">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09">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0">
    <w:name w:val="font14 line-height"/>
    <w:basedOn w:val="47"/>
    <w:qFormat/>
    <w:uiPriority w:val="0"/>
  </w:style>
  <w:style w:type="character" w:customStyle="1" w:styleId="111">
    <w:name w:val="msoins"/>
    <w:basedOn w:val="47"/>
    <w:qFormat/>
    <w:uiPriority w:val="0"/>
  </w:style>
  <w:style w:type="paragraph" w:customStyle="1" w:styleId="112">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3">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kern w:val="0"/>
      <w:sz w:val="24"/>
      <w:szCs w:val="20"/>
      <w:lang w:val="en-US" w:eastAsia="en-US" w:bidi="ar-SA"/>
    </w:rPr>
  </w:style>
  <w:style w:type="paragraph" w:customStyle="1" w:styleId="114">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6">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7">
    <w:name w:val="Char Char4"/>
    <w:qFormat/>
    <w:uiPriority w:val="0"/>
    <w:rPr>
      <w:b/>
      <w:bCs/>
      <w:sz w:val="32"/>
      <w:szCs w:val="32"/>
    </w:rPr>
  </w:style>
  <w:style w:type="paragraph" w:customStyle="1" w:styleId="118">
    <w:name w:val="默认段落字体 Para Char Char Char Char Char Char Char"/>
    <w:basedOn w:val="1"/>
    <w:qFormat/>
    <w:uiPriority w:val="0"/>
    <w:rPr>
      <w:rFonts w:ascii="Tahoma" w:hAnsi="Tahoma" w:eastAsia="宋体" w:cs="Times New Roman"/>
      <w:sz w:val="24"/>
      <w:szCs w:val="20"/>
    </w:rPr>
  </w:style>
  <w:style w:type="character" w:customStyle="1" w:styleId="119">
    <w:name w:val="Body Text Char"/>
    <w:link w:val="120"/>
    <w:qFormat/>
    <w:uiPriority w:val="0"/>
    <w:rPr>
      <w:rFonts w:ascii="Georgia"/>
    </w:rPr>
  </w:style>
  <w:style w:type="paragraph" w:customStyle="1" w:styleId="120">
    <w:name w:val="Body Text1"/>
    <w:basedOn w:val="1"/>
    <w:link w:val="119"/>
    <w:qFormat/>
    <w:uiPriority w:val="0"/>
    <w:rPr>
      <w:rFonts w:ascii="Georgia"/>
    </w:rPr>
  </w:style>
  <w:style w:type="paragraph" w:customStyle="1" w:styleId="121">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2">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3">
    <w:name w:val="Char Char42"/>
    <w:qFormat/>
    <w:uiPriority w:val="0"/>
    <w:rPr>
      <w:b/>
      <w:bCs/>
      <w:sz w:val="32"/>
      <w:szCs w:val="32"/>
    </w:rPr>
  </w:style>
  <w:style w:type="paragraph" w:customStyle="1" w:styleId="124">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5">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6">
    <w:name w:val="Char Char41"/>
    <w:qFormat/>
    <w:uiPriority w:val="0"/>
    <w:rPr>
      <w:b/>
      <w:bCs/>
      <w:sz w:val="32"/>
      <w:szCs w:val="32"/>
    </w:rPr>
  </w:style>
  <w:style w:type="character" w:customStyle="1" w:styleId="127">
    <w:name w:val="副标题 Char"/>
    <w:basedOn w:val="47"/>
    <w:link w:val="35"/>
    <w:qFormat/>
    <w:uiPriority w:val="11"/>
    <w:rPr>
      <w:rFonts w:ascii="Calibri Light" w:hAnsi="Calibri Light" w:eastAsia="宋体" w:cs="Times New Roman"/>
      <w:b/>
      <w:bCs/>
      <w:kern w:val="28"/>
      <w:sz w:val="32"/>
      <w:szCs w:val="32"/>
    </w:rPr>
  </w:style>
  <w:style w:type="table" w:customStyle="1" w:styleId="128">
    <w:name w:val="网格型4"/>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5"/>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6"/>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7"/>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8"/>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6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9"/>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2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3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9"/>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2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0"/>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3"/>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TableGrid1"/>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144">
    <w:name w:val="网格型23"/>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3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61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4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5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6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7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8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9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10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1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4"/>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5"/>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6"/>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7"/>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8"/>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9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
    <w:name w:val="fontstyle01"/>
    <w:basedOn w:val="47"/>
    <w:qFormat/>
    <w:uiPriority w:val="0"/>
    <w:rPr>
      <w:rFonts w:hint="default" w:ascii="CIDFont+F4" w:hAnsi="CIDFont+F4"/>
      <w:color w:val="000000"/>
      <w:sz w:val="28"/>
      <w:szCs w:val="28"/>
    </w:rPr>
  </w:style>
  <w:style w:type="character" w:customStyle="1" w:styleId="162">
    <w:name w:val="fontstyle21"/>
    <w:basedOn w:val="47"/>
    <w:qFormat/>
    <w:uiPriority w:val="0"/>
    <w:rPr>
      <w:rFonts w:hint="default" w:ascii="CIDFont+F1" w:hAnsi="CIDFont+F1"/>
      <w:color w:val="000000"/>
      <w:sz w:val="28"/>
      <w:szCs w:val="28"/>
    </w:rPr>
  </w:style>
  <w:style w:type="table" w:customStyle="1" w:styleId="163">
    <w:name w:val="网格型20"/>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网格型72"/>
    <w:basedOn w:val="45"/>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3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2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WPSOffice手动目录 1"/>
    <w:qFormat/>
    <w:uiPriority w:val="0"/>
    <w:rPr>
      <w:rFonts w:asciiTheme="minorHAnsi" w:hAnsiTheme="minorHAnsi" w:eastAsiaTheme="minorEastAsia" w:cstheme="minorBidi"/>
      <w:kern w:val="0"/>
      <w:sz w:val="20"/>
      <w:szCs w:val="20"/>
      <w:lang w:val="en-US" w:eastAsia="zh-CN" w:bidi="ar-SA"/>
    </w:rPr>
  </w:style>
  <w:style w:type="paragraph" w:customStyle="1" w:styleId="168">
    <w:name w:val="WPSOffice手动目录 2"/>
    <w:qFormat/>
    <w:uiPriority w:val="0"/>
    <w:pPr>
      <w:ind w:left="200" w:leftChars="200"/>
    </w:pPr>
    <w:rPr>
      <w:rFonts w:asciiTheme="minorHAnsi" w:hAnsiTheme="minorHAnsi" w:eastAsiaTheme="minorEastAsia" w:cstheme="minorBidi"/>
      <w:kern w:val="0"/>
      <w:sz w:val="20"/>
      <w:szCs w:val="20"/>
      <w:lang w:val="en-US" w:eastAsia="zh-CN" w:bidi="ar-SA"/>
    </w:rPr>
  </w:style>
  <w:style w:type="paragraph" w:customStyle="1" w:styleId="169">
    <w:name w:val="WPSOffice手动目录 3"/>
    <w:qFormat/>
    <w:uiPriority w:val="0"/>
    <w:pPr>
      <w:ind w:left="400" w:leftChars="400"/>
    </w:pPr>
    <w:rPr>
      <w:rFonts w:asciiTheme="minorHAnsi" w:hAnsiTheme="minorHAnsi" w:eastAsiaTheme="minorEastAsia" w:cstheme="minorBidi"/>
      <w:kern w:val="0"/>
      <w:sz w:val="20"/>
      <w:szCs w:val="20"/>
      <w:lang w:val="en-US" w:eastAsia="zh-CN" w:bidi="ar-SA"/>
    </w:rPr>
  </w:style>
  <w:style w:type="table" w:customStyle="1" w:styleId="170">
    <w:name w:val="网格型34"/>
    <w:basedOn w:val="45"/>
    <w:qFormat/>
    <w:uiPriority w:val="0"/>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1">
    <w:name w:val="Revision"/>
    <w:hidden/>
    <w:semiHidden/>
    <w:qFormat/>
    <w:uiPriority w:val="99"/>
    <w:rPr>
      <w:rFonts w:ascii="Calibri" w:hAnsi="Calibri" w:eastAsia="宋体" w:cs="Times New Roman"/>
      <w:kern w:val="2"/>
      <w:sz w:val="21"/>
      <w:szCs w:val="22"/>
      <w:lang w:val="en-US" w:eastAsia="zh-CN" w:bidi="ar-SA"/>
    </w:rPr>
  </w:style>
  <w:style w:type="table" w:customStyle="1" w:styleId="172">
    <w:name w:val="网格型24"/>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35"/>
    <w:basedOn w:val="45"/>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25"/>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5">
    <w:name w:val="标题 Char2"/>
    <w:basedOn w:val="47"/>
    <w:link w:val="43"/>
    <w:qFormat/>
    <w:uiPriority w:val="10"/>
    <w:rPr>
      <w:rFonts w:eastAsia="宋体" w:asciiTheme="majorHAnsi" w:hAnsiTheme="majorHAnsi" w:cstheme="majorBidi"/>
      <w:b/>
      <w:bCs/>
      <w:sz w:val="32"/>
      <w:szCs w:val="32"/>
    </w:rPr>
  </w:style>
  <w:style w:type="character" w:customStyle="1" w:styleId="176">
    <w:name w:val="标题 2 Char1"/>
    <w:basedOn w:val="47"/>
    <w:semiHidden/>
    <w:qFormat/>
    <w:uiPriority w:val="9"/>
    <w:rPr>
      <w:rFonts w:asciiTheme="majorHAnsi" w:hAnsiTheme="majorHAnsi" w:eastAsiaTheme="majorEastAsia" w:cstheme="majorBidi"/>
      <w:b/>
      <w:bCs/>
      <w:sz w:val="32"/>
      <w:szCs w:val="32"/>
    </w:rPr>
  </w:style>
  <w:style w:type="character" w:customStyle="1" w:styleId="177">
    <w:name w:val="副标题 Char1"/>
    <w:basedOn w:val="47"/>
    <w:qFormat/>
    <w:uiPriority w:val="11"/>
    <w:rPr>
      <w:rFonts w:eastAsia="宋体" w:asciiTheme="majorHAnsi" w:hAnsiTheme="majorHAnsi" w:cstheme="majorBidi"/>
      <w:b/>
      <w:bCs/>
      <w:kern w:val="28"/>
      <w:sz w:val="32"/>
      <w:szCs w:val="32"/>
    </w:rPr>
  </w:style>
  <w:style w:type="table" w:customStyle="1" w:styleId="178">
    <w:name w:val="网格型61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26"/>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7"/>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4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29"/>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5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63"/>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181"/>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8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9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10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31"/>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3"/>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110"/>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36"/>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141"/>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51"/>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9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4909</Words>
  <Characters>27986</Characters>
  <Lines>233</Lines>
  <Paragraphs>65</Paragraphs>
  <TotalTime>3199</TotalTime>
  <ScaleCrop>false</ScaleCrop>
  <LinksUpToDate>false</LinksUpToDate>
  <CharactersWithSpaces>32830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2023-09-26T01:46:00Z</dcterms:created>
  <dc:creator>黄伊晨hyc </dc:creator>
  <cp:lastModifiedBy>cuiyq</cp:lastModifiedBy>
  <dcterms:modified xsi:type="dcterms:W3CDTF">2024-12-24T14:51:29Z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