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大标宋简体" w:cs="方正大标宋简体"/>
          <w:sz w:val="44"/>
          <w:szCs w:val="44"/>
        </w:rPr>
        <w:t>新三板2024年首批创新层进层公司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sz w:val="44"/>
          <w:szCs w:val="44"/>
        </w:rPr>
        <w:t>初筛名单公布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024年3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日，全国股转公司启动了2</w:t>
      </w:r>
      <w:r>
        <w:rPr>
          <w:rFonts w:ascii="Times New Roman" w:hAnsi="Times New Roman" w:eastAsia="仿宋"/>
          <w:sz w:val="32"/>
          <w:szCs w:val="32"/>
        </w:rPr>
        <w:t>024年创新层进层实施工作</w:t>
      </w:r>
      <w:r>
        <w:rPr>
          <w:rFonts w:hint="eastAsia" w:ascii="Times New Roman" w:hAnsi="Times New Roman" w:eastAsia="仿宋"/>
          <w:sz w:val="32"/>
          <w:szCs w:val="32"/>
        </w:rPr>
        <w:t>，经初步测算、自查核查、初筛等程序，全国股转公司于3月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/>
          <w:sz w:val="32"/>
          <w:szCs w:val="32"/>
        </w:rPr>
        <w:t>日发布了2</w:t>
      </w:r>
      <w:r>
        <w:rPr>
          <w:rFonts w:ascii="Times New Roman" w:hAnsi="Times New Roman" w:eastAsia="仿宋"/>
          <w:sz w:val="32"/>
          <w:szCs w:val="32"/>
        </w:rPr>
        <w:t>024年首批创新层进层挂牌公司</w:t>
      </w:r>
      <w:r>
        <w:rPr>
          <w:rFonts w:hint="eastAsia" w:ascii="Times New Roman" w:hAnsi="Times New Roman" w:eastAsia="仿宋"/>
          <w:sz w:val="32"/>
          <w:szCs w:val="32"/>
        </w:rPr>
        <w:t>（以下简称首批拟进层公司）</w:t>
      </w:r>
      <w:r>
        <w:rPr>
          <w:rFonts w:ascii="Times New Roman" w:hAnsi="Times New Roman" w:eastAsia="仿宋"/>
          <w:sz w:val="32"/>
          <w:szCs w:val="32"/>
        </w:rPr>
        <w:t>初筛名单</w:t>
      </w:r>
      <w:r>
        <w:rPr>
          <w:rFonts w:hint="eastAsia" w:ascii="Times New Roman" w:hAnsi="Times New Roman" w:eastAsia="仿宋"/>
          <w:sz w:val="32"/>
          <w:szCs w:val="32"/>
        </w:rPr>
        <w:t>，共计</w:t>
      </w:r>
      <w:r>
        <w:rPr>
          <w:rFonts w:ascii="Times New Roman" w:hAnsi="Times New Roman" w:eastAsia="仿宋"/>
          <w:sz w:val="32"/>
          <w:szCs w:val="32"/>
        </w:rPr>
        <w:t>21家公司拟调入创新层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首批拟进层公司</w:t>
      </w:r>
      <w:r>
        <w:rPr>
          <w:rFonts w:hint="eastAsia" w:ascii="Times New Roman" w:hAnsi="Times New Roman" w:eastAsia="仿宋"/>
          <w:sz w:val="32"/>
          <w:szCs w:val="32"/>
        </w:rPr>
        <w:t>质地优良、类</w:t>
      </w:r>
      <w:r>
        <w:rPr>
          <w:rFonts w:ascii="Times New Roman" w:hAnsi="Times New Roman" w:eastAsia="仿宋"/>
          <w:sz w:val="32"/>
          <w:szCs w:val="32"/>
        </w:rPr>
        <w:t>型新颖</w:t>
      </w:r>
      <w:r>
        <w:rPr>
          <w:rFonts w:hint="eastAsia" w:ascii="Times New Roman" w:hAnsi="Times New Roman" w:eastAsia="仿宋"/>
          <w:sz w:val="32"/>
          <w:szCs w:val="32"/>
        </w:rPr>
        <w:t>，进一步推动创新层提升层级质量、增强</w:t>
      </w:r>
      <w:r>
        <w:rPr>
          <w:rFonts w:ascii="Times New Roman" w:hAnsi="Times New Roman" w:eastAsia="仿宋"/>
          <w:sz w:val="32"/>
          <w:szCs w:val="32"/>
        </w:rPr>
        <w:t>层级活力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b/>
          <w:sz w:val="32"/>
          <w:szCs w:val="32"/>
        </w:rPr>
        <w:t>一是行业特色突出。</w:t>
      </w:r>
      <w:r>
        <w:rPr>
          <w:rFonts w:hint="eastAsia" w:ascii="Times New Roman" w:hAnsi="Times New Roman" w:eastAsia="仿宋"/>
          <w:sz w:val="32"/>
          <w:szCs w:val="32"/>
        </w:rPr>
        <w:t>超九成公司属于设备制造、计算机、生物医药等创新行业，其中</w:t>
      </w:r>
      <w:r>
        <w:rPr>
          <w:rFonts w:ascii="Times New Roman" w:hAnsi="Times New Roman" w:eastAsia="仿宋"/>
          <w:sz w:val="32"/>
          <w:szCs w:val="32"/>
        </w:rPr>
        <w:t>9家公司属于战略新兴产业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主要集中于新一代信息技术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生物产业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ascii="Times New Roman" w:hAnsi="Times New Roman" w:eastAsia="仿宋"/>
          <w:sz w:val="32"/>
          <w:szCs w:val="32"/>
        </w:rPr>
        <w:t>新材料</w:t>
      </w:r>
      <w:r>
        <w:rPr>
          <w:rFonts w:hint="eastAsia" w:ascii="Times New Roman" w:hAnsi="Times New Roman" w:eastAsia="仿宋"/>
          <w:sz w:val="32"/>
          <w:szCs w:val="32"/>
        </w:rPr>
        <w:t>和</w:t>
      </w:r>
      <w:r>
        <w:rPr>
          <w:rFonts w:ascii="Times New Roman" w:hAnsi="Times New Roman" w:eastAsia="仿宋"/>
          <w:sz w:val="32"/>
          <w:szCs w:val="32"/>
        </w:rPr>
        <w:t>新能源等领域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ascii="Times New Roman" w:hAnsi="Times New Roman" w:eastAsia="仿宋"/>
          <w:sz w:val="32"/>
          <w:szCs w:val="32"/>
        </w:rPr>
        <w:t>18家公司</w:t>
      </w:r>
      <w:r>
        <w:rPr>
          <w:rFonts w:hint="eastAsia" w:ascii="Times New Roman" w:hAnsi="Times New Roman" w:eastAsia="仿宋"/>
          <w:sz w:val="32"/>
          <w:szCs w:val="32"/>
        </w:rPr>
        <w:t>获得国家级或省级“专精特新”“单项冠军”等各类创新资质认定，1</w:t>
      </w:r>
      <w:r>
        <w:rPr>
          <w:rFonts w:ascii="Times New Roman" w:hAnsi="Times New Roman" w:eastAsia="仿宋"/>
          <w:sz w:val="32"/>
          <w:szCs w:val="32"/>
        </w:rPr>
        <w:t>1家公司研发强度高于5</w:t>
      </w:r>
      <w:r>
        <w:rPr>
          <w:rFonts w:hint="eastAsia" w:ascii="Times New Roman" w:hAnsi="Times New Roman" w:eastAsia="仿宋"/>
          <w:sz w:val="32"/>
          <w:szCs w:val="32"/>
        </w:rPr>
        <w:t>%。</w:t>
      </w:r>
      <w:r>
        <w:rPr>
          <w:rFonts w:hint="eastAsia" w:ascii="Times New Roman" w:hAnsi="Times New Roman" w:eastAsia="仿宋"/>
          <w:b/>
          <w:sz w:val="32"/>
          <w:szCs w:val="32"/>
        </w:rPr>
        <w:t>二是发展动力较强。</w:t>
      </w:r>
      <w:r>
        <w:rPr>
          <w:rFonts w:hint="eastAsia" w:ascii="Times New Roman" w:hAnsi="Times New Roman" w:eastAsia="仿宋"/>
          <w:sz w:val="32"/>
          <w:szCs w:val="32"/>
        </w:rPr>
        <w:t>随着北交所引领带动效应逐步释放，更多优质中小企业选择挂牌新三板，并积极筹备进层和公发事宜。数量上，本次拟进层公司为以前年度</w:t>
      </w:r>
      <w:r>
        <w:rPr>
          <w:rFonts w:ascii="Times New Roman" w:hAnsi="Times New Roman" w:eastAsia="仿宋"/>
          <w:sz w:val="32"/>
          <w:szCs w:val="32"/>
        </w:rPr>
        <w:t>同期的</w:t>
      </w:r>
      <w:r>
        <w:rPr>
          <w:rFonts w:hint="eastAsia" w:ascii="Times New Roman" w:hAnsi="Times New Roman" w:eastAsia="仿宋"/>
          <w:sz w:val="32"/>
          <w:szCs w:val="32"/>
        </w:rPr>
        <w:t>3倍以上，其中近六成在新三板基础层挂牌年限不满1年；意愿上，超七成公司已启动北交上市公发事宜或提交上市辅导备案材料。</w:t>
      </w:r>
      <w:r>
        <w:rPr>
          <w:rFonts w:hint="eastAsia" w:ascii="Times New Roman" w:hAnsi="Times New Roman" w:eastAsia="仿宋"/>
          <w:b/>
          <w:sz w:val="32"/>
          <w:szCs w:val="32"/>
        </w:rPr>
        <w:t>三是经营情况良好。</w:t>
      </w:r>
      <w:r>
        <w:rPr>
          <w:rFonts w:ascii="Times New Roman" w:hAnsi="Times New Roman" w:eastAsia="仿宋"/>
          <w:sz w:val="32"/>
          <w:szCs w:val="32"/>
        </w:rPr>
        <w:t>21家公司2023年营业收入平均为3.34亿元</w:t>
      </w:r>
      <w:r>
        <w:rPr>
          <w:rFonts w:hint="eastAsia" w:ascii="Times New Roman" w:hAnsi="Times New Roman" w:eastAsia="仿宋"/>
          <w:sz w:val="32"/>
          <w:szCs w:val="32"/>
        </w:rPr>
        <w:t>，较已披露年报的基础层公司高</w:t>
      </w:r>
      <w:r>
        <w:rPr>
          <w:rFonts w:ascii="Times New Roman" w:hAnsi="Times New Roman" w:eastAsia="仿宋"/>
          <w:sz w:val="32"/>
          <w:szCs w:val="32"/>
        </w:rPr>
        <w:t>40.93</w:t>
      </w:r>
      <w:r>
        <w:rPr>
          <w:rFonts w:hint="eastAsia" w:ascii="Times New Roman" w:hAnsi="Times New Roman" w:eastAsia="仿宋"/>
          <w:sz w:val="32"/>
          <w:szCs w:val="32"/>
        </w:rPr>
        <w:t>%，最近2年净利润平均分别为</w:t>
      </w:r>
      <w:r>
        <w:rPr>
          <w:rFonts w:ascii="Times New Roman" w:hAnsi="Times New Roman" w:eastAsia="仿宋"/>
          <w:sz w:val="32"/>
          <w:szCs w:val="32"/>
        </w:rPr>
        <w:t>5927.41万元和6131.32万元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平均净资产收益率分别达20.93%和18.42</w:t>
      </w:r>
      <w:r>
        <w:rPr>
          <w:rFonts w:hint="eastAsia" w:ascii="Times New Roman" w:hAnsi="Times New Roman" w:eastAsia="仿宋"/>
          <w:sz w:val="32"/>
          <w:szCs w:val="32"/>
        </w:rPr>
        <w:t>%，其中，1</w:t>
      </w:r>
      <w:r>
        <w:rPr>
          <w:rFonts w:ascii="Times New Roman" w:hAnsi="Times New Roman" w:eastAsia="仿宋"/>
          <w:sz w:val="32"/>
          <w:szCs w:val="32"/>
        </w:rPr>
        <w:t>6家公司</w:t>
      </w:r>
      <w:r>
        <w:rPr>
          <w:rFonts w:hint="eastAsia" w:ascii="Times New Roman" w:hAnsi="Times New Roman" w:eastAsia="仿宋"/>
          <w:sz w:val="32"/>
          <w:szCs w:val="32"/>
        </w:rPr>
        <w:t>符合北交所上市财务条件。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首批拟进层公司初筛名单发布后，全国股转公司将根据异议情况对初筛名单进行调整，在履行规定程序后做出正式进层决定。后续，全国股转公司将继续实施4次创新层进层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"/>
          <w:sz w:val="32"/>
          <w:szCs w:val="32"/>
        </w:rPr>
        <w:t>，有进层意愿公司可以积极筹备有关事宜，把握进层机会。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D"/>
    <w:rsid w:val="00026960"/>
    <w:rsid w:val="0004093D"/>
    <w:rsid w:val="00047840"/>
    <w:rsid w:val="000D43C5"/>
    <w:rsid w:val="00142B32"/>
    <w:rsid w:val="001636F4"/>
    <w:rsid w:val="00166B0A"/>
    <w:rsid w:val="001760DE"/>
    <w:rsid w:val="001875B1"/>
    <w:rsid w:val="00190256"/>
    <w:rsid w:val="00197B91"/>
    <w:rsid w:val="001C494B"/>
    <w:rsid w:val="001E4B3C"/>
    <w:rsid w:val="001E7085"/>
    <w:rsid w:val="00293E8C"/>
    <w:rsid w:val="003D5DCD"/>
    <w:rsid w:val="004214BC"/>
    <w:rsid w:val="004600ED"/>
    <w:rsid w:val="005617B6"/>
    <w:rsid w:val="00585FD6"/>
    <w:rsid w:val="005B370D"/>
    <w:rsid w:val="005E17FD"/>
    <w:rsid w:val="005F6194"/>
    <w:rsid w:val="00641797"/>
    <w:rsid w:val="00677D59"/>
    <w:rsid w:val="006B1C93"/>
    <w:rsid w:val="00726EE6"/>
    <w:rsid w:val="0073113E"/>
    <w:rsid w:val="007336F4"/>
    <w:rsid w:val="00785627"/>
    <w:rsid w:val="007A2E3C"/>
    <w:rsid w:val="007D3288"/>
    <w:rsid w:val="00865F46"/>
    <w:rsid w:val="008C2446"/>
    <w:rsid w:val="009B7333"/>
    <w:rsid w:val="00A21458"/>
    <w:rsid w:val="00A31024"/>
    <w:rsid w:val="00A778AE"/>
    <w:rsid w:val="00AA5864"/>
    <w:rsid w:val="00AF2DD8"/>
    <w:rsid w:val="00B00728"/>
    <w:rsid w:val="00BB2FBA"/>
    <w:rsid w:val="00BF4B50"/>
    <w:rsid w:val="00C4663E"/>
    <w:rsid w:val="00CA6056"/>
    <w:rsid w:val="00D2115D"/>
    <w:rsid w:val="00D800CF"/>
    <w:rsid w:val="00E70676"/>
    <w:rsid w:val="00E7098B"/>
    <w:rsid w:val="00E777EE"/>
    <w:rsid w:val="00E8483F"/>
    <w:rsid w:val="00EB2E49"/>
    <w:rsid w:val="00F6366A"/>
    <w:rsid w:val="00FA0378"/>
    <w:rsid w:val="00FC147C"/>
    <w:rsid w:val="00FF3378"/>
    <w:rsid w:val="43FF92C0"/>
    <w:rsid w:val="4FF73063"/>
    <w:rsid w:val="DDFF1970"/>
    <w:rsid w:val="F6FE48B1"/>
    <w:rsid w:val="FEB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390</TotalTime>
  <ScaleCrop>false</ScaleCrop>
  <LinksUpToDate>false</LinksUpToDate>
  <CharactersWithSpaces>688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2023-06-05T16:56:00Z</dcterms:created>
  <dc:creator>王玖玮wjw</dc:creator>
  <cp:lastModifiedBy>gaoduo</cp:lastModifiedBy>
  <cp:lastPrinted>2024-03-06T18:01:00Z</cp:lastPrinted>
  <dcterms:modified xsi:type="dcterms:W3CDTF">2024-03-07T09:27:54Z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