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bookmarkStart w:id="11" w:name="_GoBack"/>
      <w:bookmarkEnd w:id="11"/>
      <w:r>
        <w:rPr>
          <w:color w:val="000000" w:themeColor="text1"/>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page">
                  <wp:posOffset>253365</wp:posOffset>
                </wp:positionH>
                <wp:positionV relativeFrom="paragraph">
                  <wp:posOffset>334645</wp:posOffset>
                </wp:positionV>
                <wp:extent cx="7382510" cy="1222375"/>
                <wp:effectExtent l="0" t="0" r="27940" b="16510"/>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7382510" cy="1222218"/>
                        </a:xfrm>
                        <a:prstGeom prst="rect">
                          <a:avLst/>
                        </a:prstGeom>
                        <a:solidFill>
                          <a:srgbClr val="FFFFFF"/>
                        </a:solidFill>
                        <a:ln w="9525">
                          <a:solidFill>
                            <a:srgbClr val="FFFFFF"/>
                          </a:solidFill>
                          <a:miter lim="800000"/>
                        </a:ln>
                      </wps:spPr>
                      <wps:txb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挂牌公司</w:t>
                            </w:r>
                            <w:r>
                              <w:rPr>
                                <w:rFonts w:hint="eastAsia" w:ascii="Times New Roman" w:hAnsi="Times New Roman" w:eastAsia="方正大标宋简体"/>
                                <w:color w:val="000000" w:themeColor="text1"/>
                                <w:sz w:val="52"/>
                                <w:szCs w:val="52"/>
                                <w14:textFill>
                                  <w14:solidFill>
                                    <w14:schemeClr w14:val="tx1"/>
                                  </w14:solidFill>
                                </w14:textFill>
                              </w:rPr>
                              <w:t>第三季度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9.95pt;margin-top:26.35pt;height:96.25pt;width:581.3pt;mso-position-horizontal-relative:page;z-index:251657216;mso-width-relative:page;mso-height-relative:page;" fillcolor="#FFFFFF" filled="t" stroked="t" coordsize="21600,21600" o:gfxdata="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b/Zgt2AAAAAoBAAAPAAAAAAAAAAEAIAAA&#10;ADgAAABkcnMvZG93bnJldi54bWxQSwECFAAUAAAACACHTuJA23TUAy8CAABLBAAADgAAAAAAAAAB&#10;ACAAAAA9AQAAZHJzL2Uyb0RvYy54bWxQSwUGAAAAAAYABgBZAQAA3gUAAAAA&#10;">
                <v:fill on="t" focussize="0,0"/>
                <v:stroke color="#FFFFFF" miterlimit="8" joinstyle="miter"/>
                <v:imagedata o:title=""/>
                <o:lock v:ext="edit" aspectratio="f"/>
                <v:textbo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挂牌公司</w:t>
                      </w:r>
                      <w:r>
                        <w:rPr>
                          <w:rFonts w:hint="eastAsia" w:ascii="Times New Roman" w:hAnsi="Times New Roman" w:eastAsia="方正大标宋简体"/>
                          <w:color w:val="000000" w:themeColor="text1"/>
                          <w:sz w:val="52"/>
                          <w:szCs w:val="52"/>
                          <w14:textFill>
                            <w14:solidFill>
                              <w14:schemeClr w14:val="tx1"/>
                            </w14:solidFill>
                          </w14:textFill>
                        </w:rPr>
                        <w:t>第三季度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v:textbox>
              </v:shape>
            </w:pict>
          </mc:Fallback>
        </mc:AlternateConten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2311400</wp:posOffset>
                </wp:positionH>
                <wp:positionV relativeFrom="paragraph">
                  <wp:posOffset>94615</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82pt;margin-top:7.45pt;height:107.15pt;width:218.8pt;mso-position-horizontal-relative:margin;z-index:251659264;mso-width-relative:page;mso-height-relative:page;" fillcolor="#FFFFFF" filled="t" stroked="t" coordsize="21600,21600" o:gfxdata="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idetjdgAAAAKAQAADwAAAAAAAAABACAAAAA4AAAAZHJzL2Rvd25yZXYueG1sUEsBAhQA&#10;FAAAAAgAh07iQMGRUQd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395605</wp:posOffset>
                </wp:positionH>
                <wp:positionV relativeFrom="paragraph">
                  <wp:posOffset>10160</wp:posOffset>
                </wp:positionV>
                <wp:extent cx="1365885" cy="1673860"/>
                <wp:effectExtent l="0" t="0" r="24765" b="2159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15pt;margin-top:0.8pt;height:131.8pt;width:107.55pt;mso-position-horizontal-relative:margin;z-index:251660288;mso-width-relative:page;mso-height-relative:page;" fillcolor="#FFFFFF" filled="t" stroked="t" coordsize="21600,21600" o:gfxdata="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v66rs1wAAAAgBAAAPAAAAAAAAAAEAIAAAADgAAABkcnMvZG93bnJldi54bWxQSwECFAAU&#10;AAAACACHTuJAxo+hLk4CAACBBAAADgAAAAAAAAABACAAAAA8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346710</wp:posOffset>
                </wp:positionV>
                <wp:extent cx="5457825" cy="1350010"/>
                <wp:effectExtent l="0" t="0" r="28575" b="22225"/>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1349829"/>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XXXX</w:t>
                            </w:r>
                            <w:r>
                              <w:rPr>
                                <w:rFonts w:ascii="微软雅黑" w:hAnsi="微软雅黑" w:eastAsia="微软雅黑"/>
                                <w:color w:val="000000" w:themeColor="text1"/>
                                <w:sz w:val="44"/>
                                <w:szCs w:val="44"/>
                                <w14:textFill>
                                  <w14:solidFill>
                                    <w14:schemeClr w14:val="tx1"/>
                                  </w14:solidFill>
                                </w14:textFill>
                              </w:rPr>
                              <w:t>（</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2023年第</w:t>
                            </w:r>
                            <w:r>
                              <w:rPr>
                                <w:rFonts w:hint="eastAsia" w:ascii="微软雅黑" w:hAnsi="微软雅黑" w:eastAsia="微软雅黑"/>
                                <w:color w:val="000000" w:themeColor="text1"/>
                                <w:sz w:val="44"/>
                                <w:szCs w:val="44"/>
                                <w14:textFill>
                                  <w14:solidFill>
                                    <w14:schemeClr w14:val="tx1"/>
                                  </w14:solidFill>
                                </w14:textFill>
                              </w:rPr>
                              <w:t>三</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pt;margin-top:27.3pt;height:106.3pt;width:429.75pt;mso-position-horizontal-relative:margin;z-index:251661312;mso-width-relative:page;mso-height-relative:page;" fillcolor="#FFFFFF" filled="t" stroked="t" coordsize="21600,21600" o:gfxdata="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lA3LAtYAAAAHAQAADwAAAAAAAAABACAAAAA4AAAAZHJzL2Rvd25yZXYueG1sUEsBAhQAFAAA&#10;AAgAh07iQFKXi31NAgAAgQQAAA4AAAAAAAAAAQAgAAAAOwEAAGRycy9lMm9Eb2MueG1sUEsFBgAA&#10;AAAGAAYAWQEAAPoF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XXXX</w:t>
                      </w:r>
                      <w:r>
                        <w:rPr>
                          <w:rFonts w:ascii="微软雅黑" w:hAnsi="微软雅黑" w:eastAsia="微软雅黑"/>
                          <w:color w:val="000000" w:themeColor="text1"/>
                          <w:sz w:val="44"/>
                          <w:szCs w:val="44"/>
                          <w14:textFill>
                            <w14:solidFill>
                              <w14:schemeClr w14:val="tx1"/>
                            </w14:solidFill>
                          </w14:textFill>
                        </w:rPr>
                        <w:t>（</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2023年第</w:t>
                      </w:r>
                      <w:r>
                        <w:rPr>
                          <w:rFonts w:hint="eastAsia" w:ascii="微软雅黑" w:hAnsi="微软雅黑" w:eastAsia="微软雅黑"/>
                          <w:color w:val="000000" w:themeColor="text1"/>
                          <w:sz w:val="44"/>
                          <w:szCs w:val="44"/>
                          <w14:textFill>
                            <w14:solidFill>
                              <w14:schemeClr w14:val="tx1"/>
                            </w14:solidFill>
                          </w14:textFill>
                        </w:rPr>
                        <w:t>三</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v:textbox>
              </v:shape>
            </w:pict>
          </mc:Fallback>
        </mc:AlternateContent>
      </w:r>
    </w:p>
    <w:p>
      <w:pPr>
        <w:rPr>
          <w:color w:val="000000" w:themeColor="text1"/>
          <w:sz w:val="28"/>
          <w:szCs w:val="28"/>
          <w14:textFill>
            <w14:solidFill>
              <w14:schemeClr w14:val="tx1"/>
            </w14:solidFill>
          </w14:textFill>
        </w:rPr>
        <w:sectPr>
          <w:footerReference r:id="rId3" w:type="default"/>
          <w:footerReference r:id="rId4" w:type="even"/>
          <w:pgSz w:w="11907" w:h="16839"/>
          <w:pgMar w:top="1440" w:right="1797" w:bottom="1440" w:left="1797" w:header="851" w:footer="992" w:gutter="0"/>
          <w:pgNumType w:fmt="numberInDash"/>
          <w:cols w:space="425" w:num="1"/>
          <w:docGrid w:type="lines" w:linePitch="312" w:charSpace="0"/>
        </w:sectPr>
      </w:pPr>
    </w:p>
    <w:p>
      <w:pPr>
        <w:pStyle w:val="44"/>
        <w:rPr>
          <w:rFonts w:ascii="黑体" w:hAnsi="黑体" w:eastAsia="黑体"/>
          <w:b w:val="0"/>
          <w:sz w:val="36"/>
          <w:szCs w:val="36"/>
        </w:rPr>
      </w:pPr>
      <w:bookmarkStart w:id="0" w:name="_Toc505095877"/>
      <w:r>
        <w:rPr>
          <w:rFonts w:hint="eastAsia" w:ascii="黑体" w:hAnsi="黑体" w:eastAsia="黑体"/>
          <w:b w:val="0"/>
          <w:sz w:val="36"/>
          <w:szCs w:val="36"/>
        </w:rPr>
        <w:t>第一节</w:t>
      </w:r>
      <w:r>
        <w:rPr>
          <w:rFonts w:ascii="黑体" w:hAnsi="黑体" w:eastAsia="黑体"/>
          <w:b w:val="0"/>
          <w:sz w:val="36"/>
          <w:szCs w:val="36"/>
        </w:rPr>
        <w:t xml:space="preserve"> </w:t>
      </w:r>
      <w:r>
        <w:rPr>
          <w:rFonts w:hint="eastAsia" w:ascii="黑体" w:hAnsi="黑体" w:eastAsia="黑体"/>
          <w:b w:val="0"/>
          <w:sz w:val="36"/>
          <w:szCs w:val="36"/>
        </w:rPr>
        <w:t>重要提示</w:t>
      </w:r>
      <w:bookmarkEnd w:id="0"/>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spacing w:val="-5"/>
          <w:kern w:val="0"/>
          <w:szCs w:val="21"/>
          <w:lang w:val="zh-CN"/>
        </w:rPr>
        <w:t>一</w:t>
      </w:r>
      <w:r>
        <w:rPr>
          <w:rFonts w:ascii="宋体" w:hAnsi="宋体" w:eastAsia="宋体" w:cs="方正书宋_GBK"/>
          <w:b/>
          <w:color w:val="000000"/>
          <w:spacing w:val="-5"/>
          <w:kern w:val="0"/>
          <w:szCs w:val="21"/>
          <w:lang w:val="zh-CN"/>
        </w:rPr>
        <w:t>、</w:t>
      </w:r>
      <w:r>
        <w:rPr>
          <w:rFonts w:hint="eastAsia" w:ascii="宋体" w:hAnsi="宋体" w:eastAsia="宋体" w:cs="方正书宋_GBK"/>
          <w:b/>
          <w:color w:val="000000"/>
          <w:spacing w:val="-5"/>
          <w:kern w:val="0"/>
          <w:szCs w:val="21"/>
          <w:lang w:val="zh-CN"/>
        </w:rPr>
        <w:t>【全部保证】</w:t>
      </w:r>
      <w:r>
        <w:rPr>
          <w:rFonts w:hint="eastAsia" w:ascii="宋体" w:hAnsi="宋体" w:eastAsia="宋体" w:cs="方正书宋_GBK"/>
          <w:b/>
          <w:color w:val="000000"/>
          <w:kern w:val="0"/>
          <w:szCs w:val="21"/>
          <w:lang w:val="zh-CN"/>
        </w:rPr>
        <w:t>公司控股</w:t>
      </w:r>
      <w:r>
        <w:rPr>
          <w:rFonts w:ascii="宋体" w:hAnsi="宋体" w:eastAsia="宋体" w:cs="方正书宋_GBK"/>
          <w:b/>
          <w:color w:val="000000"/>
          <w:kern w:val="0"/>
          <w:szCs w:val="21"/>
          <w:lang w:val="zh-CN"/>
        </w:rPr>
        <w:t>股东、实际控制人、</w:t>
      </w:r>
      <w:r>
        <w:rPr>
          <w:rFonts w:hint="eastAsia" w:ascii="宋体" w:hAnsi="宋体" w:eastAsia="宋体" w:cs="方正书宋_GBK"/>
          <w:b/>
          <w:color w:val="000000"/>
          <w:kern w:val="0"/>
          <w:szCs w:val="21"/>
          <w:lang w:val="zh-CN"/>
        </w:rPr>
        <w:t>董事、监事、高级管理人员保证本报告所载资料不存在任何虚假记载、误导性陈述或者重大遗漏，并对其内容的真实性、准确性和完整性承担个别及连带责任。</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spacing w:val="-5"/>
          <w:kern w:val="0"/>
          <w:szCs w:val="21"/>
          <w:lang w:val="zh-CN"/>
        </w:rPr>
        <w:t>【部分保证】</w:t>
      </w:r>
      <w:r>
        <w:rPr>
          <w:rFonts w:hint="eastAsia" w:ascii="宋体" w:hAnsi="宋体" w:eastAsia="宋体" w:cs="方正书宋_GBK"/>
          <w:b/>
          <w:color w:val="FF0000"/>
          <w:kern w:val="0"/>
          <w:szCs w:val="21"/>
          <w:u w:val="single"/>
          <w:lang w:val="zh-CN"/>
        </w:rPr>
        <w:t>（</w:t>
      </w:r>
      <w:r>
        <w:rPr>
          <w:rFonts w:ascii="宋体" w:hAnsi="宋体" w:eastAsia="宋体" w:cs="方正书宋_GBK"/>
          <w:b/>
          <w:color w:val="FF0000"/>
          <w:kern w:val="0"/>
          <w:szCs w:val="21"/>
          <w:u w:val="single"/>
          <w:lang w:val="zh-CN"/>
        </w:rPr>
        <w:t>职位</w:t>
      </w:r>
      <w:r>
        <w:rPr>
          <w:rFonts w:hint="eastAsia" w:ascii="宋体" w:hAnsi="宋体" w:eastAsia="宋体" w:cs="方正书宋_GBK"/>
          <w:b/>
          <w:color w:val="FF0000"/>
          <w:kern w:val="0"/>
          <w:szCs w:val="21"/>
          <w:u w:val="single"/>
          <w:lang w:val="zh-CN"/>
        </w:rPr>
        <w:t>、</w:t>
      </w:r>
      <w:r>
        <w:rPr>
          <w:rFonts w:ascii="宋体" w:hAnsi="宋体" w:eastAsia="宋体" w:cs="方正书宋_GBK"/>
          <w:b/>
          <w:color w:val="FF0000"/>
          <w:kern w:val="0"/>
          <w:szCs w:val="21"/>
          <w:u w:val="single"/>
          <w:lang w:val="zh-CN"/>
        </w:rPr>
        <w:t>姓名</w:t>
      </w:r>
      <w:r>
        <w:rPr>
          <w:rFonts w:hint="eastAsia" w:ascii="宋体" w:hAnsi="宋体" w:eastAsia="宋体" w:cs="方正书宋_GBK"/>
          <w:b/>
          <w:color w:val="FF0000"/>
          <w:kern w:val="0"/>
          <w:szCs w:val="21"/>
          <w:u w:val="single"/>
          <w:lang w:val="zh-CN"/>
        </w:rPr>
        <w:t>）</w:t>
      </w:r>
      <w:r>
        <w:rPr>
          <w:rFonts w:hint="eastAsia" w:ascii="宋体" w:hAnsi="宋体" w:eastAsia="宋体" w:cs="方正书宋_GBK"/>
          <w:b/>
          <w:color w:val="000000"/>
          <w:kern w:val="0"/>
          <w:szCs w:val="21"/>
          <w:lang w:val="zh-CN"/>
        </w:rPr>
        <w:t>对季度报告内容存在异议，无法保证季度报告的真实、准确</w:t>
      </w:r>
      <w:r>
        <w:rPr>
          <w:rFonts w:ascii="宋体" w:hAnsi="宋体" w:eastAsia="宋体" w:cs="方正书宋_GBK"/>
          <w:b/>
          <w:color w:val="000000"/>
          <w:kern w:val="0"/>
          <w:szCs w:val="21"/>
          <w:lang w:val="zh-CN"/>
        </w:rPr>
        <w:t>、</w:t>
      </w:r>
      <w:r>
        <w:rPr>
          <w:rFonts w:hint="eastAsia" w:ascii="宋体" w:hAnsi="宋体" w:eastAsia="宋体" w:cs="方正书宋_GBK"/>
          <w:b/>
          <w:color w:val="000000"/>
          <w:kern w:val="0"/>
          <w:szCs w:val="21"/>
          <w:lang w:val="zh-CN"/>
        </w:rPr>
        <w:t>完整。除此之外</w:t>
      </w:r>
      <w:r>
        <w:rPr>
          <w:rFonts w:ascii="宋体" w:hAnsi="宋体" w:eastAsia="宋体" w:cs="方正书宋_GBK"/>
          <w:b/>
          <w:color w:val="000000"/>
          <w:kern w:val="0"/>
          <w:szCs w:val="21"/>
          <w:lang w:val="zh-CN"/>
        </w:rPr>
        <w:t>，</w:t>
      </w:r>
      <w:r>
        <w:rPr>
          <w:rFonts w:hint="eastAsia" w:ascii="宋体" w:hAnsi="宋体" w:eastAsia="宋体" w:cs="方正书宋_GBK"/>
          <w:b/>
          <w:color w:val="000000"/>
          <w:kern w:val="0"/>
          <w:szCs w:val="21"/>
          <w:lang w:val="zh-CN"/>
        </w:rPr>
        <w:t>公司控股</w:t>
      </w:r>
      <w:r>
        <w:rPr>
          <w:rFonts w:ascii="宋体" w:hAnsi="宋体" w:eastAsia="宋体" w:cs="方正书宋_GBK"/>
          <w:b/>
          <w:color w:val="000000"/>
          <w:kern w:val="0"/>
          <w:szCs w:val="21"/>
          <w:lang w:val="zh-CN"/>
        </w:rPr>
        <w:t>股东、实际控制人、</w:t>
      </w:r>
      <w:r>
        <w:rPr>
          <w:rFonts w:hint="eastAsia" w:ascii="宋体" w:hAnsi="宋体" w:eastAsia="宋体" w:cs="方正书宋_GBK"/>
          <w:b/>
          <w:color w:val="000000"/>
          <w:kern w:val="0"/>
          <w:szCs w:val="21"/>
          <w:lang w:val="zh-CN"/>
        </w:rPr>
        <w:t>董事、监事、高级管理人员保证本报告所载资料不存在任何虚假记载、误导性陈述或者重大遗漏，并对其内容的真实性、准确性和完整性承担个别及连带责任。</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存在</w:t>
      </w:r>
      <w:r>
        <w:rPr>
          <w:rFonts w:ascii="宋体" w:hAnsi="宋体" w:eastAsia="宋体" w:cs="方正书宋_GBK"/>
          <w:b/>
          <w:color w:val="000000"/>
          <w:kern w:val="0"/>
          <w:szCs w:val="21"/>
          <w:lang w:val="zh-CN"/>
        </w:rPr>
        <w:t>异议或无法保证</w:t>
      </w:r>
      <w:r>
        <w:rPr>
          <w:rFonts w:hint="eastAsia" w:ascii="宋体" w:hAnsi="宋体" w:eastAsia="宋体" w:cs="方正书宋_GBK"/>
          <w:b/>
          <w:color w:val="000000"/>
          <w:kern w:val="0"/>
          <w:szCs w:val="21"/>
          <w:lang w:val="zh-CN"/>
        </w:rPr>
        <w:t>的详细情况（适用</w:t>
      </w:r>
      <w:r>
        <w:rPr>
          <w:rFonts w:ascii="宋体" w:hAnsi="宋体" w:eastAsia="宋体" w:cs="方正书宋_GBK"/>
          <w:b/>
          <w:color w:val="000000"/>
          <w:kern w:val="0"/>
          <w:szCs w:val="21"/>
          <w:lang w:val="zh-CN"/>
        </w:rPr>
        <w:t>/不适用）</w:t>
      </w:r>
    </w:p>
    <w:tbl>
      <w:tblPr>
        <w:tblStyle w:val="46"/>
        <w:tblW w:w="9639" w:type="dxa"/>
        <w:tblInd w:w="-572" w:type="dxa"/>
        <w:tblLayout w:type="autofit"/>
        <w:tblCellMar>
          <w:top w:w="0" w:type="dxa"/>
          <w:left w:w="108" w:type="dxa"/>
          <w:bottom w:w="0" w:type="dxa"/>
          <w:right w:w="108" w:type="dxa"/>
        </w:tblCellMar>
      </w:tblPr>
      <w:tblGrid>
        <w:gridCol w:w="993"/>
        <w:gridCol w:w="1369"/>
        <w:gridCol w:w="1607"/>
        <w:gridCol w:w="5670"/>
      </w:tblGrid>
      <w:tr>
        <w:tblPrEx>
          <w:tblCellMar>
            <w:top w:w="0" w:type="dxa"/>
            <w:left w:w="108" w:type="dxa"/>
            <w:bottom w:w="0" w:type="dxa"/>
            <w:right w:w="108" w:type="dxa"/>
          </w:tblCellMar>
        </w:tblPrEx>
        <w:trPr>
          <w:trHeight w:val="153" w:hRule="atLeast"/>
        </w:trPr>
        <w:tc>
          <w:tcPr>
            <w:tcW w:w="993"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宋体" w:hAnsi="宋体" w:eastAsia="宋体" w:cs="Times New Roman"/>
                <w:color w:val="000000"/>
                <w:szCs w:val="44"/>
              </w:rPr>
            </w:pPr>
            <w:r>
              <w:rPr>
                <w:rFonts w:hint="eastAsia" w:ascii="Times New Roman" w:hAnsi="Times New Roman" w:eastAsia="宋体" w:cs="Times New Roman"/>
                <w:b/>
                <w:color w:val="000000"/>
                <w:kern w:val="0"/>
                <w:sz w:val="22"/>
                <w:szCs w:val="21"/>
              </w:rPr>
              <w:t>姓名</w:t>
            </w:r>
          </w:p>
        </w:tc>
        <w:tc>
          <w:tcPr>
            <w:tcW w:w="1369"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Times New Roman" w:hAnsi="Times New Roman" w:eastAsia="宋体" w:cs="Times New Roman"/>
                <w:b/>
                <w:color w:val="000000"/>
                <w:kern w:val="0"/>
                <w:sz w:val="22"/>
                <w:szCs w:val="21"/>
              </w:rPr>
            </w:pPr>
            <w:r>
              <w:rPr>
                <w:rFonts w:hint="eastAsia" w:ascii="Times New Roman" w:hAnsi="Times New Roman" w:eastAsia="宋体" w:cs="Times New Roman"/>
                <w:b/>
                <w:color w:val="000000"/>
                <w:kern w:val="0"/>
                <w:sz w:val="22"/>
                <w:szCs w:val="21"/>
              </w:rPr>
              <w:t>职务</w:t>
            </w:r>
          </w:p>
        </w:tc>
        <w:tc>
          <w:tcPr>
            <w:tcW w:w="1607"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Times New Roman" w:hAnsi="Times New Roman" w:eastAsia="宋体" w:cs="Times New Roman"/>
                <w:b/>
                <w:color w:val="000000"/>
                <w:kern w:val="0"/>
                <w:sz w:val="22"/>
                <w:szCs w:val="21"/>
              </w:rPr>
            </w:pPr>
            <w:r>
              <w:rPr>
                <w:rFonts w:hint="eastAsia" w:ascii="Times New Roman" w:hAnsi="Times New Roman" w:eastAsia="宋体" w:cs="Times New Roman"/>
                <w:b/>
                <w:color w:val="000000"/>
                <w:kern w:val="0"/>
                <w:sz w:val="22"/>
                <w:szCs w:val="21"/>
              </w:rPr>
              <w:t>董事会或监事会投票情况</w:t>
            </w:r>
          </w:p>
        </w:tc>
        <w:tc>
          <w:tcPr>
            <w:tcW w:w="5670"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Times New Roman" w:hAnsi="Times New Roman" w:eastAsia="宋体" w:cs="Times New Roman"/>
                <w:b/>
                <w:color w:val="000000"/>
                <w:kern w:val="0"/>
                <w:sz w:val="22"/>
                <w:szCs w:val="21"/>
              </w:rPr>
            </w:pPr>
            <w:r>
              <w:rPr>
                <w:rFonts w:hint="eastAsia" w:ascii="Times New Roman" w:hAnsi="Times New Roman" w:eastAsia="宋体" w:cs="Times New Roman"/>
                <w:b/>
                <w:color w:val="000000"/>
                <w:kern w:val="0"/>
                <w:sz w:val="22"/>
                <w:szCs w:val="21"/>
              </w:rPr>
              <w:t>异议理由</w:t>
            </w:r>
          </w:p>
        </w:tc>
      </w:tr>
      <w:tr>
        <w:tblPrEx>
          <w:tblCellMar>
            <w:top w:w="0" w:type="dxa"/>
            <w:left w:w="108" w:type="dxa"/>
            <w:bottom w:w="0" w:type="dxa"/>
            <w:right w:w="108" w:type="dxa"/>
          </w:tblCellMar>
        </w:tblPrEx>
        <w:trPr>
          <w:trHeight w:val="153" w:hRule="atLeast"/>
        </w:trPr>
        <w:tc>
          <w:tcPr>
            <w:tcW w:w="993"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p>
        </w:tc>
        <w:tc>
          <w:tcPr>
            <w:tcW w:w="136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r>
              <w:rPr>
                <w:rFonts w:hint="eastAsia" w:ascii="宋体" w:hAnsi="宋体" w:eastAsia="宋体" w:cs="Times New Roman"/>
                <w:color w:val="000000"/>
                <w:szCs w:val="44"/>
              </w:rPr>
              <w:t>董事/监事/高级管理人员/控股股东或</w:t>
            </w:r>
            <w:r>
              <w:rPr>
                <w:rFonts w:ascii="宋体" w:hAnsi="宋体" w:eastAsia="宋体" w:cs="Times New Roman"/>
                <w:color w:val="000000"/>
                <w:szCs w:val="44"/>
              </w:rPr>
              <w:t>实际控制人</w:t>
            </w:r>
            <w:r>
              <w:rPr>
                <w:rFonts w:hint="eastAsia" w:ascii="宋体" w:hAnsi="宋体" w:eastAsia="宋体" w:cs="Times New Roman"/>
                <w:color w:val="000000"/>
                <w:szCs w:val="44"/>
              </w:rPr>
              <w:t>（可多选）</w:t>
            </w:r>
          </w:p>
        </w:tc>
        <w:tc>
          <w:tcPr>
            <w:tcW w:w="1607"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r>
              <w:rPr>
                <w:rFonts w:hint="eastAsia" w:ascii="宋体" w:hAnsi="宋体" w:eastAsia="宋体" w:cs="Times New Roman"/>
                <w:color w:val="000000"/>
                <w:szCs w:val="44"/>
              </w:rPr>
              <w:t>未出席/反对/弃权/同意/不适用</w:t>
            </w:r>
          </w:p>
        </w:tc>
        <w:tc>
          <w:tcPr>
            <w:tcW w:w="567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r>
              <w:rPr>
                <w:rFonts w:hint="eastAsia" w:ascii="宋体" w:hAnsi="宋体" w:eastAsia="宋体" w:cs="Times New Roman"/>
                <w:i/>
                <w:color w:val="FF0000"/>
                <w:szCs w:val="44"/>
              </w:rPr>
              <w:t>注</w:t>
            </w:r>
            <w:r>
              <w:rPr>
                <w:rFonts w:ascii="宋体" w:hAnsi="宋体" w:eastAsia="宋体" w:cs="Times New Roman"/>
                <w:i/>
                <w:color w:val="FF0000"/>
                <w:szCs w:val="44"/>
              </w:rPr>
              <w:t>:</w:t>
            </w:r>
            <w:r>
              <w:rPr>
                <w:rFonts w:hint="eastAsia" w:ascii="宋体" w:hAnsi="宋体" w:eastAsia="宋体" w:cs="Times New Roman"/>
                <w:i/>
                <w:color w:val="FF0000"/>
                <w:szCs w:val="44"/>
              </w:rPr>
              <w:t>应</w:t>
            </w:r>
            <w:r>
              <w:rPr>
                <w:rFonts w:ascii="宋体" w:hAnsi="宋体" w:eastAsia="宋体" w:cs="Times New Roman"/>
                <w:i/>
                <w:color w:val="FF0000"/>
                <w:szCs w:val="44"/>
              </w:rPr>
              <w:t>说明</w:t>
            </w:r>
            <w:r>
              <w:rPr>
                <w:rFonts w:hint="eastAsia" w:ascii="宋体" w:hAnsi="宋体" w:eastAsia="宋体" w:cs="Times New Roman"/>
                <w:i/>
                <w:color w:val="FF0000"/>
                <w:szCs w:val="44"/>
              </w:rPr>
              <w:t>1、</w:t>
            </w:r>
            <w:r>
              <w:rPr>
                <w:rFonts w:ascii="宋体" w:hAnsi="宋体" w:eastAsia="宋体" w:cs="Times New Roman"/>
                <w:i/>
                <w:color w:val="FF0000"/>
                <w:szCs w:val="44"/>
              </w:rPr>
              <w:t>具体的</w:t>
            </w:r>
            <w:r>
              <w:rPr>
                <w:rFonts w:hint="eastAsia" w:ascii="宋体" w:hAnsi="宋体" w:eastAsia="宋体" w:cs="Times New Roman"/>
                <w:i/>
                <w:color w:val="FF0000"/>
                <w:szCs w:val="44"/>
              </w:rPr>
              <w:t>异议事项及异议原因；2、董监高</w:t>
            </w:r>
            <w:r>
              <w:rPr>
                <w:rFonts w:ascii="宋体" w:hAnsi="宋体" w:eastAsia="宋体" w:cs="Times New Roman"/>
                <w:i/>
                <w:color w:val="FF0000"/>
                <w:szCs w:val="44"/>
              </w:rPr>
              <w:t>或实控</w:t>
            </w:r>
            <w:r>
              <w:rPr>
                <w:rFonts w:hint="eastAsia" w:ascii="宋体" w:hAnsi="宋体" w:eastAsia="宋体" w:cs="Times New Roman"/>
                <w:i/>
                <w:color w:val="FF0000"/>
                <w:szCs w:val="44"/>
              </w:rPr>
              <w:t>人、</w:t>
            </w:r>
            <w:r>
              <w:rPr>
                <w:rFonts w:ascii="宋体" w:hAnsi="宋体" w:eastAsia="宋体" w:cs="Times New Roman"/>
                <w:i/>
                <w:color w:val="FF0000"/>
                <w:szCs w:val="44"/>
              </w:rPr>
              <w:t>控股股东</w:t>
            </w:r>
            <w:r>
              <w:rPr>
                <w:rFonts w:hint="eastAsia" w:ascii="宋体" w:hAnsi="宋体" w:eastAsia="宋体" w:cs="Times New Roman"/>
                <w:i/>
                <w:color w:val="FF0000"/>
                <w:szCs w:val="44"/>
              </w:rPr>
              <w:t>就异议事项与</w:t>
            </w:r>
            <w:r>
              <w:rPr>
                <w:rFonts w:ascii="宋体" w:hAnsi="宋体" w:eastAsia="宋体" w:cs="Times New Roman"/>
                <w:i/>
                <w:color w:val="FF0000"/>
                <w:szCs w:val="44"/>
              </w:rPr>
              <w:t>公司</w:t>
            </w:r>
            <w:r>
              <w:rPr>
                <w:rFonts w:hint="eastAsia" w:ascii="宋体" w:hAnsi="宋体" w:eastAsia="宋体" w:cs="Times New Roman"/>
                <w:i/>
                <w:color w:val="FF0000"/>
                <w:szCs w:val="44"/>
              </w:rPr>
              <w:t>的沟通情况以及履行勤勉尽责义务所采取的尽职调查措施（如适用）。不得仅以未出席</w:t>
            </w:r>
            <w:r>
              <w:rPr>
                <w:rFonts w:ascii="宋体" w:hAnsi="宋体" w:eastAsia="宋体" w:cs="Times New Roman"/>
                <w:i/>
                <w:color w:val="FF0000"/>
                <w:szCs w:val="44"/>
              </w:rPr>
              <w:t>会议</w:t>
            </w:r>
            <w:r>
              <w:rPr>
                <w:rFonts w:hint="eastAsia" w:ascii="宋体" w:hAnsi="宋体" w:eastAsia="宋体" w:cs="Times New Roman"/>
                <w:i/>
                <w:color w:val="FF0000"/>
                <w:szCs w:val="44"/>
              </w:rPr>
              <w:t>、未参与经营管理、业绩亏损、经营恶化、与审计机构存在意见分歧或审计机构将出具非标准审计意见等作为异议理由。</w:t>
            </w:r>
          </w:p>
        </w:tc>
      </w:tr>
      <w:tr>
        <w:tblPrEx>
          <w:tblCellMar>
            <w:top w:w="0" w:type="dxa"/>
            <w:left w:w="108" w:type="dxa"/>
            <w:bottom w:w="0" w:type="dxa"/>
            <w:right w:w="108" w:type="dxa"/>
          </w:tblCellMar>
        </w:tblPrEx>
        <w:trPr>
          <w:trHeight w:val="153" w:hRule="atLeast"/>
        </w:trPr>
        <w:tc>
          <w:tcPr>
            <w:tcW w:w="993"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r>
              <w:rPr>
                <w:rFonts w:hint="eastAsia" w:ascii="宋体" w:hAnsi="宋体" w:eastAsia="宋体" w:cs="Times New Roman"/>
                <w:color w:val="000000"/>
                <w:szCs w:val="44"/>
              </w:rPr>
              <w:t>（自行添行）</w:t>
            </w:r>
          </w:p>
        </w:tc>
        <w:tc>
          <w:tcPr>
            <w:tcW w:w="136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p>
        </w:tc>
        <w:tc>
          <w:tcPr>
            <w:tcW w:w="1607"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p>
        </w:tc>
        <w:tc>
          <w:tcPr>
            <w:tcW w:w="567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p>
        </w:tc>
      </w:tr>
    </w:tbl>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二</w:t>
      </w:r>
      <w:r>
        <w:rPr>
          <w:rFonts w:ascii="宋体" w:hAnsi="宋体" w:eastAsia="宋体" w:cs="方正书宋_GBK"/>
          <w:b/>
          <w:color w:val="000000"/>
          <w:kern w:val="0"/>
          <w:szCs w:val="21"/>
          <w:lang w:val="zh-CN"/>
        </w:rPr>
        <w:t>、</w:t>
      </w:r>
      <w:r>
        <w:rPr>
          <w:rFonts w:hint="eastAsia" w:ascii="宋体" w:hAnsi="宋体" w:eastAsia="宋体" w:cs="方正书宋_GBK"/>
          <w:b/>
          <w:color w:val="000000"/>
          <w:kern w:val="0"/>
          <w:szCs w:val="21"/>
          <w:lang w:val="zh-CN"/>
        </w:rPr>
        <w:t>公司负责人</w:t>
      </w:r>
      <w:r>
        <w:rPr>
          <w:rFonts w:hint="eastAsia" w:ascii="宋体" w:hAnsi="宋体" w:eastAsia="宋体" w:cs="方正书宋_GBK"/>
          <w:b/>
          <w:color w:val="FF0000"/>
          <w:kern w:val="0"/>
          <w:szCs w:val="21"/>
          <w:u w:val="single"/>
          <w:lang w:val="zh-CN"/>
        </w:rPr>
        <w:t>（姓名）</w:t>
      </w:r>
      <w:r>
        <w:rPr>
          <w:rFonts w:hint="eastAsia" w:ascii="宋体" w:hAnsi="宋体" w:eastAsia="宋体" w:cs="方正书宋_GBK"/>
          <w:b/>
          <w:color w:val="000000"/>
          <w:kern w:val="0"/>
          <w:szCs w:val="21"/>
          <w:lang w:val="zh-CN"/>
        </w:rPr>
        <w:t>、主管会计工作负责人</w:t>
      </w:r>
      <w:r>
        <w:rPr>
          <w:rFonts w:hint="eastAsia" w:ascii="宋体" w:hAnsi="宋体" w:eastAsia="宋体" w:cs="方正书宋_GBK"/>
          <w:b/>
          <w:color w:val="FF0000"/>
          <w:kern w:val="0"/>
          <w:szCs w:val="21"/>
          <w:u w:val="single"/>
          <w:lang w:val="zh-CN"/>
        </w:rPr>
        <w:t>（姓名）</w:t>
      </w:r>
      <w:r>
        <w:rPr>
          <w:rFonts w:hint="eastAsia" w:ascii="宋体" w:hAnsi="宋体" w:eastAsia="宋体" w:cs="方正书宋_GBK"/>
          <w:b/>
          <w:color w:val="000000"/>
          <w:kern w:val="0"/>
          <w:szCs w:val="21"/>
          <w:lang w:val="zh-CN"/>
        </w:rPr>
        <w:t>及会计机构负责人（会计主管人员）</w:t>
      </w:r>
      <w:r>
        <w:rPr>
          <w:rFonts w:hint="eastAsia" w:ascii="宋体" w:hAnsi="宋体" w:eastAsia="宋体" w:cs="方正书宋_GBK"/>
          <w:b/>
          <w:color w:val="FF0000"/>
          <w:kern w:val="0"/>
          <w:szCs w:val="21"/>
          <w:u w:val="single"/>
          <w:lang w:val="zh-CN"/>
        </w:rPr>
        <w:t>（姓名）</w:t>
      </w:r>
      <w:r>
        <w:rPr>
          <w:rFonts w:hint="eastAsia" w:ascii="宋体" w:hAnsi="宋体" w:eastAsia="宋体" w:cs="方正书宋_GBK"/>
          <w:b/>
          <w:color w:val="000000"/>
          <w:kern w:val="0"/>
          <w:szCs w:val="21"/>
          <w:lang w:val="zh-CN"/>
        </w:rPr>
        <w:t>保证季度报告中财务报告的真实、准确</w:t>
      </w:r>
      <w:r>
        <w:rPr>
          <w:rFonts w:ascii="宋体" w:hAnsi="宋体" w:eastAsia="宋体" w:cs="方正书宋_GBK"/>
          <w:b/>
          <w:color w:val="000000"/>
          <w:kern w:val="0"/>
          <w:szCs w:val="21"/>
          <w:lang w:val="zh-CN"/>
        </w:rPr>
        <w:t>、</w:t>
      </w:r>
      <w:r>
        <w:rPr>
          <w:rFonts w:hint="eastAsia" w:ascii="宋体" w:hAnsi="宋体" w:eastAsia="宋体" w:cs="方正书宋_GBK"/>
          <w:b/>
          <w:color w:val="000000"/>
          <w:kern w:val="0"/>
          <w:szCs w:val="21"/>
          <w:lang w:val="zh-CN"/>
        </w:rPr>
        <w:t>完整。</w:t>
      </w:r>
    </w:p>
    <w:p>
      <w:pPr>
        <w:autoSpaceDE w:val="0"/>
        <w:autoSpaceDN w:val="0"/>
        <w:adjustRightInd w:val="0"/>
        <w:spacing w:line="484" w:lineRule="atLeast"/>
        <w:textAlignment w:val="center"/>
        <w:rPr>
          <w:rFonts w:ascii="宋体" w:hAnsi="宋体" w:eastAsia="宋体" w:cs="Times New Roman"/>
          <w:b/>
          <w:color w:val="000000"/>
          <w:szCs w:val="21"/>
        </w:rPr>
      </w:pPr>
      <w:r>
        <w:rPr>
          <w:rFonts w:hint="eastAsia" w:ascii="宋体" w:hAnsi="宋体" w:eastAsia="宋体" w:cs="方正书宋_GBK"/>
          <w:b/>
          <w:color w:val="000000"/>
          <w:kern w:val="0"/>
          <w:szCs w:val="21"/>
          <w:lang w:val="zh-CN"/>
        </w:rPr>
        <w:t>三、本季度报告</w:t>
      </w:r>
      <w:r>
        <w:rPr>
          <w:rFonts w:hint="eastAsia" w:ascii="宋体" w:hAnsi="宋体" w:eastAsia="宋体" w:cs="方正书宋_GBK"/>
          <w:b/>
          <w:color w:val="FF0000"/>
          <w:kern w:val="0"/>
          <w:szCs w:val="21"/>
          <w:u w:val="single"/>
          <w:lang w:val="zh-CN"/>
        </w:rPr>
        <w:t>（已经</w:t>
      </w:r>
      <w:r>
        <w:rPr>
          <w:rFonts w:ascii="宋体" w:hAnsi="宋体" w:eastAsia="宋体" w:cs="方正书宋_GBK"/>
          <w:b/>
          <w:color w:val="FF0000"/>
          <w:kern w:val="0"/>
          <w:szCs w:val="21"/>
          <w:u w:val="single"/>
          <w:lang w:val="zh-CN"/>
        </w:rPr>
        <w:t>/</w:t>
      </w:r>
      <w:r>
        <w:rPr>
          <w:rFonts w:hint="eastAsia" w:ascii="宋体" w:hAnsi="宋体" w:eastAsia="宋体" w:cs="方正书宋_GBK"/>
          <w:b/>
          <w:color w:val="FF0000"/>
          <w:kern w:val="0"/>
          <w:szCs w:val="21"/>
          <w:u w:val="single"/>
          <w:lang w:val="zh-CN"/>
        </w:rPr>
        <w:t>未经）</w:t>
      </w:r>
      <w:r>
        <w:rPr>
          <w:rFonts w:hint="eastAsia" w:ascii="宋体" w:hAnsi="宋体" w:eastAsia="宋体" w:cs="方正书宋_GBK"/>
          <w:b/>
          <w:color w:val="000000"/>
          <w:kern w:val="0"/>
          <w:szCs w:val="21"/>
          <w:lang w:val="zh-CN"/>
        </w:rPr>
        <w:t>挂牌公司董事会审议通过</w:t>
      </w:r>
      <w:r>
        <w:rPr>
          <w:rFonts w:ascii="宋体" w:hAnsi="宋体" w:eastAsia="宋体" w:cs="方正书宋_GBK"/>
          <w:b/>
          <w:color w:val="000000"/>
          <w:kern w:val="0"/>
          <w:szCs w:val="21"/>
          <w:lang w:val="zh-CN"/>
        </w:rPr>
        <w:t>,</w:t>
      </w:r>
      <w:r>
        <w:rPr>
          <w:rFonts w:hint="eastAsia" w:ascii="宋体" w:hAnsi="宋体" w:eastAsia="宋体" w:cs="方正书宋_GBK"/>
          <w:b/>
          <w:color w:val="FF0000"/>
          <w:kern w:val="0"/>
          <w:szCs w:val="21"/>
          <w:u w:val="single"/>
          <w:lang w:val="zh-CN"/>
        </w:rPr>
        <w:t>（存在</w:t>
      </w:r>
      <w:r>
        <w:rPr>
          <w:rFonts w:ascii="宋体" w:hAnsi="宋体" w:eastAsia="宋体" w:cs="方正书宋_GBK"/>
          <w:b/>
          <w:color w:val="FF0000"/>
          <w:kern w:val="0"/>
          <w:szCs w:val="21"/>
          <w:u w:val="single"/>
          <w:lang w:val="zh-CN"/>
        </w:rPr>
        <w:t>/</w:t>
      </w:r>
      <w:r>
        <w:rPr>
          <w:rFonts w:hint="eastAsia" w:ascii="宋体" w:hAnsi="宋体" w:eastAsia="宋体" w:cs="方正书宋_GBK"/>
          <w:b/>
          <w:color w:val="FF0000"/>
          <w:kern w:val="0"/>
          <w:szCs w:val="21"/>
          <w:u w:val="single"/>
          <w:lang w:val="zh-CN"/>
        </w:rPr>
        <w:t>不存在）</w:t>
      </w:r>
      <w:r>
        <w:rPr>
          <w:rFonts w:hint="eastAsia" w:ascii="宋体" w:hAnsi="宋体" w:eastAsia="宋体" w:cs="方正书宋_GBK"/>
          <w:b/>
          <w:color w:val="000000"/>
          <w:kern w:val="0"/>
          <w:szCs w:val="21"/>
          <w:lang w:val="zh-CN"/>
        </w:rPr>
        <w:t>未</w:t>
      </w:r>
      <w:r>
        <w:rPr>
          <w:rFonts w:ascii="宋体" w:hAnsi="宋体" w:eastAsia="宋体" w:cs="方正书宋_GBK"/>
          <w:b/>
          <w:color w:val="000000"/>
          <w:kern w:val="0"/>
          <w:szCs w:val="21"/>
          <w:lang w:val="zh-CN"/>
        </w:rPr>
        <w:t>出席</w:t>
      </w:r>
      <w:r>
        <w:rPr>
          <w:rFonts w:hint="eastAsia" w:ascii="宋体" w:hAnsi="宋体" w:eastAsia="宋体" w:cs="方正书宋_GBK"/>
          <w:b/>
          <w:color w:val="000000"/>
          <w:kern w:val="0"/>
          <w:szCs w:val="21"/>
          <w:lang w:val="zh-CN"/>
        </w:rPr>
        <w:t>审议的</w:t>
      </w:r>
      <w:r>
        <w:rPr>
          <w:rFonts w:ascii="宋体" w:hAnsi="宋体" w:eastAsia="宋体" w:cs="方正书宋_GBK"/>
          <w:b/>
          <w:color w:val="000000"/>
          <w:kern w:val="0"/>
          <w:szCs w:val="21"/>
          <w:lang w:val="zh-CN"/>
        </w:rPr>
        <w:t>董事</w:t>
      </w:r>
      <w:r>
        <w:rPr>
          <w:rFonts w:ascii="宋体" w:hAnsi="宋体" w:eastAsia="宋体" w:cs="Times New Roman"/>
          <w:b/>
          <w:color w:val="000000"/>
          <w:szCs w:val="21"/>
        </w:rPr>
        <w:t>。</w:t>
      </w:r>
      <w:r>
        <w:rPr>
          <w:rFonts w:hint="eastAsia" w:ascii="宋体" w:hAnsi="宋体" w:eastAsia="宋体" w:cs="方正书宋_GBK"/>
          <w:b/>
          <w:color w:val="FF0000"/>
          <w:kern w:val="0"/>
          <w:szCs w:val="21"/>
          <w:u w:val="single"/>
          <w:lang w:val="zh-CN"/>
        </w:rPr>
        <w:t>（单独列示</w:t>
      </w:r>
      <w:r>
        <w:rPr>
          <w:rFonts w:ascii="宋体" w:hAnsi="宋体" w:eastAsia="宋体" w:cs="方正书宋_GBK"/>
          <w:b/>
          <w:color w:val="FF0000"/>
          <w:kern w:val="0"/>
          <w:szCs w:val="21"/>
          <w:u w:val="single"/>
          <w:lang w:val="zh-CN"/>
        </w:rPr>
        <w:t>未出席</w:t>
      </w:r>
      <w:r>
        <w:rPr>
          <w:rFonts w:hint="eastAsia" w:ascii="宋体" w:hAnsi="宋体" w:eastAsia="宋体" w:cs="方正书宋_GBK"/>
          <w:b/>
          <w:color w:val="FF0000"/>
          <w:kern w:val="0"/>
          <w:szCs w:val="21"/>
          <w:u w:val="single"/>
          <w:lang w:val="zh-CN"/>
        </w:rPr>
        <w:t>董事会</w:t>
      </w:r>
      <w:r>
        <w:rPr>
          <w:rFonts w:ascii="宋体" w:hAnsi="宋体" w:eastAsia="宋体" w:cs="方正书宋_GBK"/>
          <w:b/>
          <w:color w:val="FF0000"/>
          <w:kern w:val="0"/>
          <w:szCs w:val="21"/>
          <w:u w:val="single"/>
          <w:lang w:val="zh-CN"/>
        </w:rPr>
        <w:t>审议</w:t>
      </w:r>
      <w:r>
        <w:rPr>
          <w:rFonts w:hint="eastAsia" w:ascii="宋体" w:hAnsi="宋体" w:eastAsia="宋体" w:cs="方正书宋_GBK"/>
          <w:b/>
          <w:color w:val="FF0000"/>
          <w:kern w:val="0"/>
          <w:szCs w:val="21"/>
          <w:u w:val="single"/>
          <w:lang w:val="zh-CN"/>
        </w:rPr>
        <w:t>季度报告的董事姓名及</w:t>
      </w:r>
      <w:r>
        <w:rPr>
          <w:rFonts w:ascii="宋体" w:hAnsi="宋体" w:eastAsia="宋体" w:cs="方正书宋_GBK"/>
          <w:b/>
          <w:color w:val="FF0000"/>
          <w:kern w:val="0"/>
          <w:szCs w:val="21"/>
          <w:u w:val="single"/>
          <w:lang w:val="zh-CN"/>
        </w:rPr>
        <w:t>原因</w:t>
      </w:r>
      <w:r>
        <w:rPr>
          <w:rFonts w:hint="eastAsia" w:ascii="宋体" w:hAnsi="宋体" w:eastAsia="宋体" w:cs="方正书宋_GBK"/>
          <w:b/>
          <w:color w:val="FF0000"/>
          <w:kern w:val="0"/>
          <w:szCs w:val="21"/>
          <w:u w:val="single"/>
          <w:lang w:val="zh-CN"/>
        </w:rPr>
        <w:t>，不涉及的可删除此部分。）</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四、【审计情况-未经审计】本季度报告未经会计师事务所审计。</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Times New Roman"/>
          <w:b/>
          <w:color w:val="000000"/>
          <w:szCs w:val="21"/>
        </w:rPr>
        <w:t>【</w:t>
      </w:r>
      <w:r>
        <w:rPr>
          <w:rFonts w:hint="eastAsia" w:ascii="宋体" w:hAnsi="宋体" w:eastAsia="宋体" w:cs="方正书宋_GBK"/>
          <w:b/>
          <w:color w:val="000000"/>
          <w:kern w:val="0"/>
          <w:szCs w:val="21"/>
          <w:lang w:val="zh-CN"/>
        </w:rPr>
        <w:t>标准</w:t>
      </w:r>
      <w:r>
        <w:rPr>
          <w:rFonts w:ascii="宋体" w:hAnsi="宋体" w:eastAsia="宋体" w:cs="方正书宋_GBK"/>
          <w:b/>
          <w:color w:val="000000"/>
          <w:kern w:val="0"/>
          <w:szCs w:val="21"/>
          <w:lang w:val="zh-CN"/>
        </w:rPr>
        <w:t>无保留意见</w:t>
      </w:r>
      <w:r>
        <w:rPr>
          <w:rFonts w:hint="eastAsia" w:ascii="宋体" w:hAnsi="宋体" w:eastAsia="宋体" w:cs="Times New Roman"/>
          <w:b/>
          <w:color w:val="000000"/>
          <w:szCs w:val="21"/>
        </w:rPr>
        <w:t>】</w:t>
      </w:r>
      <w:r>
        <w:rPr>
          <w:rFonts w:hint="eastAsia" w:ascii="宋体" w:hAnsi="宋体" w:eastAsia="宋体" w:cs="方正书宋_GBK"/>
          <w:b/>
          <w:color w:val="FF0000"/>
          <w:kern w:val="0"/>
          <w:szCs w:val="21"/>
          <w:u w:val="single"/>
          <w:lang w:val="zh-CN"/>
        </w:rPr>
        <w:t>（会计师事务所）</w:t>
      </w:r>
      <w:r>
        <w:rPr>
          <w:rFonts w:hint="eastAsia" w:ascii="宋体" w:hAnsi="宋体" w:eastAsia="宋体" w:cs="方正书宋_GBK"/>
          <w:b/>
          <w:color w:val="000000"/>
          <w:kern w:val="0"/>
          <w:szCs w:val="21"/>
          <w:lang w:val="zh-CN"/>
        </w:rPr>
        <w:t>对公司出具了</w:t>
      </w:r>
      <w:r>
        <w:rPr>
          <w:rFonts w:hint="eastAsia" w:ascii="宋体" w:hAnsi="宋体" w:eastAsia="宋体" w:cs="方正书宋_GBK"/>
          <w:b/>
          <w:color w:val="FF0000"/>
          <w:kern w:val="0"/>
          <w:szCs w:val="21"/>
          <w:lang w:val="zh-CN"/>
        </w:rPr>
        <w:t>（</w:t>
      </w:r>
      <w:r>
        <w:rPr>
          <w:rFonts w:hint="eastAsia" w:ascii="宋体" w:hAnsi="宋体" w:eastAsia="宋体" w:cs="方正书宋_GBK"/>
          <w:b/>
          <w:color w:val="FF0000"/>
          <w:kern w:val="0"/>
          <w:szCs w:val="21"/>
          <w:u w:val="single"/>
          <w:lang w:val="zh-CN"/>
        </w:rPr>
        <w:t>标准无保留意见</w:t>
      </w:r>
      <w:r>
        <w:rPr>
          <w:rFonts w:hint="eastAsia" w:ascii="宋体" w:hAnsi="宋体" w:eastAsia="宋体" w:cs="方正书宋_GBK"/>
          <w:b/>
          <w:color w:val="FF0000"/>
          <w:kern w:val="0"/>
          <w:szCs w:val="21"/>
          <w:lang w:val="zh-CN"/>
        </w:rPr>
        <w:t>）</w:t>
      </w:r>
      <w:r>
        <w:rPr>
          <w:rFonts w:hint="eastAsia" w:ascii="宋体" w:hAnsi="宋体" w:eastAsia="宋体" w:cs="方正书宋_GBK"/>
          <w:b/>
          <w:color w:val="000000"/>
          <w:kern w:val="0"/>
          <w:szCs w:val="21"/>
          <w:lang w:val="zh-CN"/>
        </w:rPr>
        <w:t>的审计报告。</w:t>
      </w:r>
    </w:p>
    <w:p>
      <w:pPr>
        <w:spacing w:line="484" w:lineRule="atLeast"/>
        <w:rPr>
          <w:rFonts w:ascii="宋体" w:hAnsi="宋体" w:eastAsia="宋体" w:cs="Times New Roman"/>
          <w:b/>
          <w:color w:val="000000"/>
          <w:szCs w:val="21"/>
        </w:rPr>
      </w:pPr>
      <w:r>
        <w:rPr>
          <w:rFonts w:hint="eastAsia" w:ascii="宋体" w:hAnsi="宋体" w:eastAsia="宋体" w:cs="Times New Roman"/>
          <w:b/>
          <w:color w:val="000000"/>
          <w:szCs w:val="21"/>
        </w:rPr>
        <w:t>【非标准审计</w:t>
      </w:r>
      <w:r>
        <w:rPr>
          <w:rFonts w:ascii="宋体" w:hAnsi="宋体" w:eastAsia="宋体" w:cs="Times New Roman"/>
          <w:b/>
          <w:color w:val="000000"/>
          <w:szCs w:val="21"/>
        </w:rPr>
        <w:t>意见</w:t>
      </w:r>
      <w:r>
        <w:rPr>
          <w:rFonts w:hint="eastAsia" w:ascii="宋体" w:hAnsi="宋体" w:eastAsia="宋体" w:cs="Times New Roman"/>
          <w:b/>
          <w:color w:val="000000"/>
          <w:szCs w:val="21"/>
        </w:rPr>
        <w:t>-</w:t>
      </w:r>
      <w:r>
        <w:rPr>
          <w:rFonts w:ascii="宋体" w:hAnsi="宋体" w:eastAsia="宋体" w:cs="Times New Roman"/>
          <w:b/>
          <w:color w:val="000000"/>
          <w:szCs w:val="21"/>
        </w:rPr>
        <w:t>无特别段落</w:t>
      </w:r>
      <w:r>
        <w:rPr>
          <w:rFonts w:hint="eastAsia" w:ascii="宋体" w:hAnsi="宋体" w:eastAsia="宋体" w:cs="Times New Roman"/>
          <w:b/>
          <w:color w:val="000000"/>
          <w:szCs w:val="21"/>
        </w:rPr>
        <w:t>】</w:t>
      </w:r>
      <w:r>
        <w:rPr>
          <w:rFonts w:hint="eastAsia" w:ascii="宋体" w:hAnsi="宋体" w:eastAsia="宋体" w:cs="Times New Roman"/>
          <w:b/>
          <w:color w:val="FF0000"/>
          <w:szCs w:val="21"/>
          <w:u w:val="single"/>
        </w:rPr>
        <w:t>（会计师事务所）</w:t>
      </w:r>
      <w:r>
        <w:rPr>
          <w:rFonts w:hint="eastAsia" w:ascii="宋体" w:hAnsi="宋体" w:eastAsia="宋体" w:cs="Times New Roman"/>
          <w:b/>
          <w:color w:val="000000"/>
          <w:szCs w:val="21"/>
        </w:rPr>
        <w:t>对公司出具了</w:t>
      </w:r>
      <w:r>
        <w:rPr>
          <w:rFonts w:hint="eastAsia" w:ascii="宋体" w:hAnsi="宋体" w:eastAsia="宋体" w:cs="Times New Roman"/>
          <w:b/>
          <w:color w:val="FF0000"/>
          <w:szCs w:val="21"/>
        </w:rPr>
        <w:t>（</w:t>
      </w:r>
      <w:r>
        <w:rPr>
          <w:rFonts w:ascii="宋体" w:hAnsi="宋体" w:eastAsia="宋体" w:cs="方正书宋_GBK"/>
          <w:b/>
          <w:color w:val="FF0000"/>
          <w:kern w:val="0"/>
          <w:szCs w:val="21"/>
          <w:u w:val="single"/>
          <w:lang w:val="zh-CN"/>
        </w:rPr>
        <w:t>保留意见/否定意见/</w:t>
      </w:r>
      <w:r>
        <w:rPr>
          <w:rFonts w:hint="eastAsia" w:ascii="宋体" w:hAnsi="宋体" w:eastAsia="宋体" w:cs="方正书宋_GBK"/>
          <w:b/>
          <w:color w:val="FF0000"/>
          <w:kern w:val="0"/>
          <w:szCs w:val="21"/>
          <w:u w:val="single"/>
          <w:lang w:val="zh-CN"/>
        </w:rPr>
        <w:t>无法表示意见</w:t>
      </w:r>
      <w:r>
        <w:rPr>
          <w:rFonts w:hint="eastAsia" w:ascii="宋体" w:hAnsi="宋体" w:eastAsia="宋体" w:cs="Times New Roman"/>
          <w:b/>
          <w:color w:val="FF0000"/>
          <w:szCs w:val="21"/>
        </w:rPr>
        <w:t>）</w:t>
      </w:r>
      <w:r>
        <w:rPr>
          <w:rFonts w:hint="eastAsia" w:ascii="宋体" w:hAnsi="宋体" w:eastAsia="宋体" w:cs="Times New Roman"/>
          <w:b/>
          <w:color w:val="000000"/>
          <w:szCs w:val="21"/>
        </w:rPr>
        <w:t>的审计报告</w:t>
      </w:r>
      <w:r>
        <w:rPr>
          <w:rFonts w:ascii="宋体" w:hAnsi="宋体" w:eastAsia="宋体" w:cs="Times New Roman"/>
          <w:b/>
          <w:color w:val="000000"/>
          <w:szCs w:val="21"/>
        </w:rPr>
        <w:t>。</w:t>
      </w:r>
    </w:p>
    <w:p>
      <w:pPr>
        <w:autoSpaceDE w:val="0"/>
        <w:autoSpaceDN w:val="0"/>
        <w:adjustRightInd w:val="0"/>
        <w:spacing w:line="484" w:lineRule="atLeast"/>
        <w:textAlignment w:val="center"/>
        <w:rPr>
          <w:rFonts w:ascii="宋体" w:hAnsi="宋体" w:eastAsia="宋体" w:cs="Times New Roman"/>
          <w:b/>
          <w:color w:val="000000"/>
          <w:kern w:val="0"/>
          <w:szCs w:val="21"/>
          <w:lang w:val="zh-CN"/>
        </w:rPr>
      </w:pPr>
      <w:r>
        <w:rPr>
          <w:rFonts w:hint="eastAsia" w:ascii="宋体" w:hAnsi="宋体" w:eastAsia="宋体" w:cs="Times New Roman"/>
          <w:b/>
          <w:color w:val="000000"/>
          <w:kern w:val="0"/>
          <w:szCs w:val="21"/>
          <w:lang w:val="zh-CN"/>
        </w:rPr>
        <w:t>【非标准审计</w:t>
      </w:r>
      <w:r>
        <w:rPr>
          <w:rFonts w:ascii="宋体" w:hAnsi="宋体" w:eastAsia="宋体" w:cs="Times New Roman"/>
          <w:b/>
          <w:color w:val="000000"/>
          <w:kern w:val="0"/>
          <w:szCs w:val="21"/>
          <w:lang w:val="zh-CN"/>
        </w:rPr>
        <w:t>意见-带特别段落</w:t>
      </w:r>
      <w:r>
        <w:rPr>
          <w:rFonts w:hint="eastAsia" w:ascii="宋体" w:hAnsi="宋体" w:eastAsia="宋体" w:cs="Times New Roman"/>
          <w:b/>
          <w:color w:val="000000"/>
          <w:kern w:val="0"/>
          <w:szCs w:val="21"/>
          <w:lang w:val="zh-CN"/>
        </w:rPr>
        <w:t>】</w:t>
      </w:r>
      <w:r>
        <w:rPr>
          <w:rFonts w:hint="eastAsia" w:ascii="宋体" w:hAnsi="宋体" w:eastAsia="宋体" w:cs="Times New Roman"/>
          <w:b/>
          <w:color w:val="FF0000"/>
          <w:kern w:val="0"/>
          <w:szCs w:val="21"/>
          <w:u w:val="single"/>
          <w:lang w:val="zh-CN"/>
        </w:rPr>
        <w:t>（会计师事务所）</w:t>
      </w:r>
      <w:r>
        <w:rPr>
          <w:rFonts w:hint="eastAsia" w:ascii="宋体" w:hAnsi="宋体" w:eastAsia="宋体" w:cs="Times New Roman"/>
          <w:b/>
          <w:color w:val="000000"/>
          <w:kern w:val="0"/>
          <w:szCs w:val="21"/>
          <w:lang w:val="zh-CN"/>
        </w:rPr>
        <w:t>对公司出具了</w:t>
      </w:r>
      <w:r>
        <w:rPr>
          <w:rFonts w:hint="eastAsia" w:ascii="宋体" w:hAnsi="宋体" w:eastAsia="宋体" w:cs="方正书宋_GBK"/>
          <w:b/>
          <w:color w:val="000000"/>
          <w:kern w:val="0"/>
          <w:szCs w:val="21"/>
          <w:lang w:val="zh-CN"/>
        </w:rPr>
        <w:t>带</w:t>
      </w:r>
      <w:r>
        <w:rPr>
          <w:rFonts w:hint="eastAsia" w:ascii="宋体" w:hAnsi="宋体" w:eastAsia="宋体" w:cs="方正书宋_GBK"/>
          <w:b/>
          <w:color w:val="FF0000"/>
          <w:kern w:val="0"/>
          <w:szCs w:val="21"/>
          <w:u w:val="single"/>
          <w:lang w:val="zh-CN"/>
        </w:rPr>
        <w:t>（强调</w:t>
      </w:r>
      <w:r>
        <w:rPr>
          <w:rFonts w:ascii="宋体" w:hAnsi="宋体" w:eastAsia="宋体" w:cs="方正书宋_GBK"/>
          <w:b/>
          <w:color w:val="FF0000"/>
          <w:kern w:val="0"/>
          <w:szCs w:val="21"/>
          <w:u w:val="single"/>
          <w:lang w:val="zh-CN"/>
        </w:rPr>
        <w:t>事项段/其他</w:t>
      </w:r>
      <w:r>
        <w:rPr>
          <w:rFonts w:hint="eastAsia" w:ascii="宋体" w:hAnsi="宋体" w:eastAsia="宋体" w:cs="方正书宋_GBK"/>
          <w:b/>
          <w:color w:val="FF0000"/>
          <w:kern w:val="0"/>
          <w:szCs w:val="21"/>
          <w:u w:val="single"/>
          <w:lang w:val="zh-CN"/>
        </w:rPr>
        <w:t>事项段</w:t>
      </w:r>
      <w:r>
        <w:rPr>
          <w:rFonts w:ascii="宋体" w:hAnsi="宋体" w:eastAsia="宋体" w:cs="方正书宋_GBK"/>
          <w:b/>
          <w:color w:val="FF0000"/>
          <w:kern w:val="0"/>
          <w:szCs w:val="21"/>
          <w:u w:val="single"/>
          <w:lang w:val="zh-CN"/>
        </w:rPr>
        <w:t>/持续经营重大不确定</w:t>
      </w:r>
      <w:r>
        <w:rPr>
          <w:rFonts w:hint="eastAsia" w:ascii="宋体" w:hAnsi="宋体" w:eastAsia="宋体" w:cs="方正书宋_GBK"/>
          <w:b/>
          <w:color w:val="FF0000"/>
          <w:kern w:val="0"/>
          <w:szCs w:val="21"/>
          <w:u w:val="single"/>
          <w:lang w:val="zh-CN"/>
        </w:rPr>
        <w:t>性</w:t>
      </w:r>
      <w:r>
        <w:rPr>
          <w:rFonts w:ascii="宋体" w:hAnsi="宋体" w:eastAsia="宋体" w:cs="方正书宋_GBK"/>
          <w:b/>
          <w:color w:val="FF0000"/>
          <w:kern w:val="0"/>
          <w:szCs w:val="21"/>
          <w:u w:val="single"/>
          <w:lang w:val="zh-CN"/>
        </w:rPr>
        <w:t>段落/其他信息段落中包含其他信息存在未更正重大错报说明</w:t>
      </w:r>
      <w:r>
        <w:rPr>
          <w:rFonts w:hint="eastAsia" w:ascii="宋体" w:hAnsi="宋体" w:eastAsia="宋体" w:cs="方正书宋_GBK"/>
          <w:b/>
          <w:color w:val="FF0000"/>
          <w:kern w:val="0"/>
          <w:szCs w:val="21"/>
          <w:u w:val="single"/>
          <w:lang w:val="zh-CN"/>
        </w:rPr>
        <w:t>）</w:t>
      </w:r>
      <w:r>
        <w:rPr>
          <w:rFonts w:hint="eastAsia" w:ascii="宋体" w:hAnsi="宋体" w:eastAsia="宋体" w:cs="方正书宋_GBK"/>
          <w:b/>
          <w:color w:val="000000"/>
          <w:kern w:val="0"/>
          <w:szCs w:val="21"/>
          <w:lang w:val="zh-CN"/>
        </w:rPr>
        <w:t>的</w:t>
      </w:r>
      <w:r>
        <w:rPr>
          <w:rFonts w:hint="eastAsia" w:ascii="宋体" w:hAnsi="宋体" w:eastAsia="宋体" w:cs="方正书宋_GBK"/>
          <w:b/>
          <w:color w:val="FF0000"/>
          <w:kern w:val="0"/>
          <w:szCs w:val="21"/>
          <w:u w:val="single"/>
          <w:lang w:val="zh-CN"/>
        </w:rPr>
        <w:t>（无保留意见</w:t>
      </w:r>
      <w:r>
        <w:rPr>
          <w:rFonts w:ascii="宋体" w:hAnsi="宋体" w:eastAsia="宋体" w:cs="方正书宋_GBK"/>
          <w:b/>
          <w:color w:val="FF0000"/>
          <w:kern w:val="0"/>
          <w:szCs w:val="21"/>
          <w:u w:val="single"/>
          <w:lang w:val="zh-CN"/>
        </w:rPr>
        <w:t>/保留意见/否定意见/</w:t>
      </w:r>
      <w:r>
        <w:rPr>
          <w:rFonts w:hint="eastAsia" w:ascii="宋体" w:hAnsi="宋体" w:eastAsia="宋体" w:cs="方正书宋_GBK"/>
          <w:b/>
          <w:color w:val="FF0000"/>
          <w:kern w:val="0"/>
          <w:szCs w:val="21"/>
          <w:u w:val="single"/>
          <w:lang w:val="zh-CN"/>
        </w:rPr>
        <w:t>无法表示意见）</w:t>
      </w:r>
      <w:r>
        <w:rPr>
          <w:rFonts w:hint="eastAsia" w:ascii="宋体" w:hAnsi="宋体" w:eastAsia="宋体" w:cs="Times New Roman"/>
          <w:b/>
          <w:color w:val="000000"/>
          <w:kern w:val="0"/>
          <w:szCs w:val="21"/>
          <w:lang w:val="zh-CN"/>
        </w:rPr>
        <w:t>的审计报告</w:t>
      </w:r>
      <w:r>
        <w:rPr>
          <w:rFonts w:ascii="宋体" w:hAnsi="宋体" w:eastAsia="宋体" w:cs="Times New Roman"/>
          <w:b/>
          <w:color w:val="000000"/>
          <w:kern w:val="0"/>
          <w:szCs w:val="21"/>
          <w:lang w:val="zh-CN"/>
        </w:rPr>
        <w:t>。</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董事会就非标准审计意见的说明（适用</w:t>
      </w:r>
      <w:r>
        <w:rPr>
          <w:rFonts w:ascii="宋体" w:hAnsi="宋体" w:eastAsia="宋体" w:cs="方正书宋_GBK"/>
          <w:b/>
          <w:color w:val="000000"/>
          <w:kern w:val="0"/>
          <w:szCs w:val="21"/>
          <w:lang w:val="zh-CN"/>
        </w:rPr>
        <w:t>/不适用</w:t>
      </w:r>
      <w:r>
        <w:rPr>
          <w:rFonts w:hint="eastAsia" w:ascii="宋体" w:hAnsi="宋体" w:eastAsia="宋体" w:cs="方正书宋_GBK"/>
          <w:b/>
          <w:color w:val="000000"/>
          <w:kern w:val="0"/>
          <w:szCs w:val="21"/>
          <w:lang w:val="zh-CN"/>
        </w:rPr>
        <w:t>）</w:t>
      </w:r>
    </w:p>
    <w:tbl>
      <w:tblPr>
        <w:tblStyle w:val="46"/>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r>
              <w:rPr>
                <w:rFonts w:hint="eastAsia" w:ascii="宋体" w:hAnsi="宋体" w:eastAsia="宋体" w:cs="Times New Roman"/>
                <w:i/>
                <w:color w:val="FF0000"/>
                <w:szCs w:val="21"/>
              </w:rPr>
              <w:t>公司季度报告的财务会计报告被会计师事务所出具非标准审计意见的，董事会应当就所涉及事项作出说明。说明中应当明确说明非标准审计意见涉及事项是否违反企业会计准则及其相关信息披露规范性规定。</w:t>
            </w:r>
          </w:p>
        </w:tc>
      </w:tr>
    </w:tbl>
    <w:p>
      <w:pPr>
        <w:autoSpaceDE w:val="0"/>
        <w:autoSpaceDN w:val="0"/>
        <w:adjustRightInd w:val="0"/>
        <w:spacing w:line="484" w:lineRule="atLeast"/>
        <w:textAlignment w:val="center"/>
        <w:rPr>
          <w:rFonts w:ascii="宋体" w:hAnsi="宋体" w:eastAsia="宋体" w:cs="方正书宋_GBK"/>
          <w:b/>
          <w:color w:val="FF0000"/>
          <w:kern w:val="0"/>
          <w:szCs w:val="21"/>
          <w:lang w:val="zh-CN"/>
        </w:rPr>
      </w:pPr>
      <w:r>
        <w:rPr>
          <w:rFonts w:hint="eastAsia" w:ascii="宋体" w:hAnsi="宋体" w:eastAsia="宋体" w:cs="方正书宋_GBK"/>
          <w:b/>
          <w:color w:val="000000"/>
          <w:kern w:val="0"/>
          <w:szCs w:val="21"/>
          <w:lang w:val="zh-CN"/>
        </w:rPr>
        <w:t>五、本季度报告涉及未来计划等前瞻性陈述，不构成公司对投资者的实质承诺，投资者及相关人士均应当对此保持足够的风险认识，并且应当理解计划、预测与承诺之间的差异。</w:t>
      </w:r>
      <w:r>
        <w:rPr>
          <w:rFonts w:hint="eastAsia" w:ascii="宋体" w:hAnsi="宋体" w:eastAsia="宋体" w:cs="方正书宋_GBK"/>
          <w:b/>
          <w:color w:val="FF0000"/>
          <w:kern w:val="0"/>
          <w:szCs w:val="21"/>
          <w:lang w:val="zh-CN"/>
        </w:rPr>
        <w:t>（不涉及的可删除此段）</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六、未按要求披露的事项及原因</w:t>
      </w:r>
    </w:p>
    <w:tbl>
      <w:tblPr>
        <w:tblStyle w:val="384"/>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8505"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kern w:val="0"/>
                <w:sz w:val="20"/>
                <w:szCs w:val="44"/>
              </w:rPr>
            </w:pPr>
            <w:r>
              <w:rPr>
                <w:rFonts w:hint="eastAsia" w:ascii="宋体" w:hAnsi="宋体" w:eastAsia="宋体" w:cs="Times New Roman"/>
                <w:i/>
                <w:color w:val="FF0000"/>
                <w:kern w:val="0"/>
                <w:sz w:val="20"/>
                <w:szCs w:val="44"/>
              </w:rPr>
              <w:t>注</w:t>
            </w:r>
            <w:r>
              <w:rPr>
                <w:rFonts w:ascii="宋体" w:hAnsi="宋体" w:eastAsia="宋体" w:cs="Times New Roman"/>
                <w:i/>
                <w:color w:val="FF0000"/>
                <w:kern w:val="0"/>
                <w:sz w:val="20"/>
                <w:szCs w:val="44"/>
              </w:rPr>
              <w:t>：</w:t>
            </w:r>
            <w:r>
              <w:rPr>
                <w:rFonts w:hint="eastAsia" w:ascii="宋体" w:hAnsi="宋体" w:eastAsia="宋体" w:cs="Times New Roman"/>
                <w:i/>
                <w:color w:val="FF0000"/>
                <w:kern w:val="0"/>
                <w:sz w:val="20"/>
                <w:szCs w:val="44"/>
              </w:rPr>
              <w:t>由于国家秘密、商业秘密等特殊原因导致季度报告内容与格式准则规定的某些信息确实不便披露的，公司可以不予披露，但应详细说明未按要求进行披露的原因。</w:t>
            </w:r>
            <w:r>
              <w:rPr>
                <w:rFonts w:hint="eastAsia" w:cs="Times New Roman" w:asciiTheme="minorEastAsia" w:hAnsiTheme="minorEastAsia" w:eastAsiaTheme="minorEastAsia"/>
                <w:i/>
                <w:color w:val="FF0000"/>
                <w:kern w:val="0"/>
                <w:sz w:val="20"/>
                <w:szCs w:val="44"/>
              </w:rPr>
              <w:t>如不存在相关</w:t>
            </w:r>
            <w:r>
              <w:rPr>
                <w:rFonts w:cs="Times New Roman" w:asciiTheme="minorEastAsia" w:hAnsiTheme="minorEastAsia" w:eastAsiaTheme="minorEastAsia"/>
                <w:i/>
                <w:color w:val="FF0000"/>
                <w:kern w:val="0"/>
                <w:sz w:val="20"/>
                <w:szCs w:val="44"/>
              </w:rPr>
              <w:t>情形,请</w:t>
            </w:r>
            <w:r>
              <w:rPr>
                <w:rFonts w:hint="eastAsia" w:cs="Times New Roman" w:asciiTheme="minorEastAsia" w:hAnsiTheme="minorEastAsia" w:eastAsiaTheme="minorEastAsia"/>
                <w:i/>
                <w:color w:val="FF0000"/>
                <w:kern w:val="0"/>
                <w:sz w:val="20"/>
                <w:szCs w:val="44"/>
              </w:rPr>
              <w:t>明确说明本报告</w:t>
            </w:r>
            <w:r>
              <w:rPr>
                <w:rFonts w:cs="Times New Roman" w:asciiTheme="minorEastAsia" w:hAnsiTheme="minorEastAsia" w:eastAsiaTheme="minorEastAsia"/>
                <w:i/>
                <w:color w:val="FF0000"/>
                <w:kern w:val="0"/>
                <w:sz w:val="20"/>
                <w:szCs w:val="44"/>
              </w:rPr>
              <w:t>不存在</w:t>
            </w:r>
            <w:r>
              <w:rPr>
                <w:rFonts w:hint="eastAsia" w:cs="Times New Roman" w:asciiTheme="minorEastAsia" w:hAnsiTheme="minorEastAsia" w:eastAsiaTheme="minorEastAsia"/>
                <w:i/>
                <w:color w:val="FF0000"/>
                <w:kern w:val="0"/>
                <w:sz w:val="20"/>
                <w:szCs w:val="44"/>
              </w:rPr>
              <w:t>未按要求进行披露的事项。</w:t>
            </w:r>
          </w:p>
        </w:tc>
      </w:tr>
    </w:tbl>
    <w:p>
      <w:pPr>
        <w:rPr>
          <w:rFonts w:ascii="Calibri" w:hAnsi="Calibri" w:eastAsia="宋体" w:cs="Times New Roman"/>
          <w:b/>
        </w:rPr>
      </w:pPr>
      <w:r>
        <w:rPr>
          <w:rFonts w:hint="eastAsia" w:ascii="Calibri" w:hAnsi="Calibri" w:eastAsia="宋体" w:cs="Times New Roman"/>
          <w:b/>
        </w:rPr>
        <w:t>【备查文件目录】</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127"/>
        <w:gridCol w:w="75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tcPr>
          <w:p>
            <w:pPr>
              <w:jc w:val="center"/>
              <w:rPr>
                <w:rFonts w:ascii="Calibri" w:hAnsi="Calibri" w:eastAsia="宋体" w:cs="Times New Roman"/>
              </w:rPr>
            </w:pPr>
            <w:r>
              <w:rPr>
                <w:rFonts w:hint="eastAsia" w:ascii="Calibri" w:hAnsi="Calibri" w:eastAsia="宋体" w:cs="Times New Roman"/>
              </w:rPr>
              <w:t>文件存放地点</w:t>
            </w:r>
          </w:p>
        </w:tc>
        <w:tc>
          <w:tcPr>
            <w:tcW w:w="7512" w:type="dxa"/>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restart"/>
          </w:tcPr>
          <w:p>
            <w:pPr>
              <w:jc w:val="center"/>
              <w:rPr>
                <w:rFonts w:ascii="Calibri" w:hAnsi="Calibri" w:eastAsia="宋体" w:cs="Times New Roman"/>
              </w:rPr>
            </w:pPr>
          </w:p>
          <w:p>
            <w:pPr>
              <w:jc w:val="center"/>
              <w:rPr>
                <w:rFonts w:ascii="Calibri" w:hAnsi="Calibri" w:eastAsia="宋体" w:cs="Times New Roman"/>
              </w:rPr>
            </w:pPr>
            <w:r>
              <w:rPr>
                <w:rFonts w:hint="eastAsia" w:ascii="Calibri" w:hAnsi="Calibri" w:eastAsia="宋体" w:cs="Times New Roman"/>
              </w:rPr>
              <w:t>备查文件</w:t>
            </w:r>
          </w:p>
        </w:tc>
        <w:tc>
          <w:tcPr>
            <w:tcW w:w="7512" w:type="dxa"/>
          </w:tcPr>
          <w:p>
            <w:pPr>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continue"/>
          </w:tcPr>
          <w:p>
            <w:pPr>
              <w:rPr>
                <w:rFonts w:ascii="Calibri" w:hAnsi="Calibri" w:eastAsia="宋体" w:cs="Times New Roman"/>
              </w:rPr>
            </w:pPr>
          </w:p>
        </w:tc>
        <w:tc>
          <w:tcPr>
            <w:tcW w:w="7512" w:type="dxa"/>
          </w:tcPr>
          <w:p>
            <w:pPr>
              <w:rPr>
                <w:rFonts w:ascii="Calibri" w:hAnsi="Calibri" w:eastAsia="宋体" w:cs="Times New Roman"/>
              </w:rPr>
            </w:pPr>
            <w:r>
              <w:rPr>
                <w:rFonts w:ascii="Calibri" w:hAnsi="Calibri" w:eastAsia="宋体" w:cs="Times New Roman"/>
              </w:rPr>
              <w:t>2</w:t>
            </w:r>
            <w:r>
              <w:rPr>
                <w:rFonts w:hint="eastAsia" w:ascii="Calibri" w:hAnsi="Calibri" w:eastAsia="宋体" w:cs="Times New Roman"/>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continue"/>
          </w:tcPr>
          <w:p>
            <w:pPr>
              <w:rPr>
                <w:rFonts w:ascii="Calibri" w:hAnsi="Calibri" w:eastAsia="宋体" w:cs="Times New Roman"/>
              </w:rPr>
            </w:pPr>
          </w:p>
        </w:tc>
        <w:tc>
          <w:tcPr>
            <w:tcW w:w="7512" w:type="dxa"/>
          </w:tcPr>
          <w:p>
            <w:pPr>
              <w:rPr>
                <w:rFonts w:ascii="Calibri" w:hAnsi="Calibri" w:eastAsia="宋体" w:cs="Times New Roman"/>
              </w:rPr>
            </w:pPr>
            <w:r>
              <w:rPr>
                <w:rFonts w:hint="eastAsia" w:ascii="Calibri" w:hAnsi="Calibri" w:eastAsia="宋体" w:cs="Times New Roman"/>
              </w:rPr>
              <w:t>自动添行</w:t>
            </w:r>
            <w:r>
              <w:rPr>
                <w:rFonts w:ascii="Calibri" w:hAnsi="Calibri" w:eastAsia="宋体" w:cs="Times New Roman"/>
              </w:rPr>
              <w:t>…</w:t>
            </w:r>
          </w:p>
        </w:tc>
      </w:tr>
    </w:tbl>
    <w:p>
      <w:pPr>
        <w:rPr>
          <w:rFonts w:ascii="Calibri" w:hAnsi="Calibri" w:eastAsia="宋体" w:cs="Times New Roman"/>
        </w:rPr>
      </w:pPr>
    </w:p>
    <w:p>
      <w:pPr>
        <w:sectPr>
          <w:pgSz w:w="11907" w:h="16839"/>
          <w:pgMar w:top="1440" w:right="1797" w:bottom="1440" w:left="1797" w:header="851" w:footer="992" w:gutter="0"/>
          <w:pgNumType w:fmt="numberInDash"/>
          <w:cols w:space="425" w:num="1"/>
          <w:docGrid w:type="lines" w:linePitch="312" w:charSpace="0"/>
        </w:sectPr>
      </w:pPr>
    </w:p>
    <w:p>
      <w:pPr>
        <w:pStyle w:val="44"/>
        <w:rPr>
          <w:rFonts w:ascii="黑体" w:hAnsi="黑体" w:eastAsia="黑体"/>
          <w:b w:val="0"/>
          <w:sz w:val="36"/>
          <w:szCs w:val="36"/>
        </w:rPr>
      </w:pPr>
      <w:bookmarkStart w:id="1" w:name="_Toc505095878"/>
      <w:r>
        <w:rPr>
          <w:rFonts w:hint="eastAsia" w:ascii="黑体" w:hAnsi="黑体" w:eastAsia="黑体"/>
          <w:b w:val="0"/>
          <w:sz w:val="36"/>
          <w:szCs w:val="36"/>
        </w:rPr>
        <w:t>第二节 公司基本情况</w:t>
      </w:r>
      <w:bookmarkEnd w:id="1"/>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行业信息</w:t>
      </w:r>
    </w:p>
    <w:p>
      <w:pPr>
        <w:rPr>
          <w:rFonts w:ascii="Calibri" w:hAnsi="Calibri" w:eastAsia="宋体" w:cs="Times New Roman"/>
        </w:rPr>
      </w:pP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适用</w:t>
      </w:r>
      <w:r>
        <w:rPr>
          <w:rFonts w:ascii="Calibri" w:hAnsi="Calibri" w:eastAsia="宋体" w:cs="Times New Roman"/>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不适用</w:t>
      </w:r>
    </w:p>
    <w:tbl>
      <w:tblPr>
        <w:tblStyle w:val="46"/>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rPr>
          <w:trHeight w:val="1019" w:hRule="atLeast"/>
        </w:trPr>
        <w:tc>
          <w:tcPr>
            <w:tcW w:w="964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000000"/>
                <w:szCs w:val="44"/>
              </w:rPr>
            </w:pPr>
            <w:r>
              <w:rPr>
                <w:rFonts w:hint="eastAsia" w:ascii="宋体" w:hAnsi="宋体" w:eastAsia="宋体" w:cs="Times New Roman"/>
                <w:i/>
                <w:color w:val="FF0000"/>
                <w:szCs w:val="44"/>
              </w:rPr>
              <w:t>注：类金融</w:t>
            </w:r>
            <w:r>
              <w:rPr>
                <w:rFonts w:ascii="宋体" w:hAnsi="宋体" w:eastAsia="宋体" w:cs="Times New Roman"/>
                <w:i/>
                <w:color w:val="FF0000"/>
                <w:szCs w:val="44"/>
              </w:rPr>
              <w:t>公司</w:t>
            </w:r>
            <w:r>
              <w:rPr>
                <w:rFonts w:hint="eastAsia" w:ascii="宋体" w:hAnsi="宋体" w:eastAsia="宋体" w:cs="Times New Roman"/>
                <w:i/>
                <w:color w:val="FF0000"/>
                <w:szCs w:val="44"/>
              </w:rPr>
              <w:t>适用</w:t>
            </w:r>
            <w:r>
              <w:rPr>
                <w:rFonts w:ascii="宋体" w:hAnsi="宋体" w:eastAsia="宋体" w:cs="Times New Roman"/>
                <w:i/>
                <w:color w:val="FF0000"/>
                <w:szCs w:val="44"/>
              </w:rPr>
              <w:t>。</w:t>
            </w:r>
            <w:r>
              <w:rPr>
                <w:rFonts w:hint="eastAsia" w:ascii="宋体" w:hAnsi="宋体" w:eastAsia="宋体" w:cs="Times New Roman"/>
                <w:i/>
                <w:color w:val="FF0000"/>
                <w:szCs w:val="44"/>
              </w:rPr>
              <w:t>私募</w:t>
            </w:r>
            <w:r>
              <w:rPr>
                <w:rFonts w:ascii="宋体" w:hAnsi="宋体" w:eastAsia="宋体" w:cs="Times New Roman"/>
                <w:i/>
                <w:color w:val="FF0000"/>
                <w:szCs w:val="44"/>
              </w:rPr>
              <w:t>管理机构应当披露</w:t>
            </w:r>
            <w:r>
              <w:rPr>
                <w:rFonts w:hint="eastAsia" w:ascii="宋体" w:hAnsi="宋体" w:eastAsia="宋体" w:cs="Times New Roman"/>
                <w:i/>
                <w:color w:val="FF0000"/>
                <w:szCs w:val="44"/>
              </w:rPr>
              <w:t>在管</w:t>
            </w:r>
            <w:r>
              <w:rPr>
                <w:rFonts w:ascii="宋体" w:hAnsi="宋体" w:eastAsia="宋体" w:cs="Times New Roman"/>
                <w:i/>
                <w:color w:val="FF0000"/>
                <w:szCs w:val="44"/>
              </w:rPr>
              <w:t>存续基金的基本情况和项目投资情况等</w:t>
            </w:r>
            <w:r>
              <w:rPr>
                <w:rFonts w:hint="eastAsia" w:ascii="宋体" w:hAnsi="宋体" w:eastAsia="宋体" w:cs="Times New Roman"/>
                <w:i/>
                <w:color w:val="FF0000"/>
                <w:szCs w:val="44"/>
              </w:rPr>
              <w:t>；</w:t>
            </w:r>
            <w:r>
              <w:rPr>
                <w:rFonts w:ascii="宋体" w:hAnsi="宋体" w:eastAsia="宋体" w:cs="Times New Roman"/>
                <w:i/>
                <w:color w:val="FF0000"/>
                <w:szCs w:val="44"/>
              </w:rPr>
              <w:t>其他</w:t>
            </w:r>
            <w:r>
              <w:rPr>
                <w:rFonts w:hint="eastAsia" w:ascii="宋体" w:hAnsi="宋体" w:eastAsia="宋体" w:cs="Times New Roman"/>
                <w:i/>
                <w:color w:val="FF0000"/>
                <w:szCs w:val="44"/>
              </w:rPr>
              <w:t>具有金融</w:t>
            </w:r>
            <w:r>
              <w:rPr>
                <w:rFonts w:ascii="宋体" w:hAnsi="宋体" w:eastAsia="宋体" w:cs="Times New Roman"/>
                <w:i/>
                <w:color w:val="FF0000"/>
                <w:szCs w:val="44"/>
              </w:rPr>
              <w:t>属性</w:t>
            </w:r>
            <w:r>
              <w:rPr>
                <w:rFonts w:hint="eastAsia" w:ascii="宋体" w:hAnsi="宋体" w:eastAsia="宋体" w:cs="Times New Roman"/>
                <w:i/>
                <w:color w:val="FF0000"/>
                <w:szCs w:val="44"/>
              </w:rPr>
              <w:t>的</w:t>
            </w:r>
            <w:r>
              <w:rPr>
                <w:rFonts w:ascii="宋体" w:hAnsi="宋体" w:eastAsia="宋体" w:cs="Times New Roman"/>
                <w:i/>
                <w:color w:val="FF0000"/>
                <w:szCs w:val="44"/>
              </w:rPr>
              <w:t>企业</w:t>
            </w:r>
            <w:r>
              <w:rPr>
                <w:rFonts w:hint="eastAsia" w:ascii="宋体" w:hAnsi="宋体" w:eastAsia="宋体" w:cs="Times New Roman"/>
                <w:i/>
                <w:color w:val="FF0000"/>
                <w:szCs w:val="44"/>
              </w:rPr>
              <w:t>应当披露</w:t>
            </w:r>
            <w:r>
              <w:rPr>
                <w:rFonts w:ascii="宋体" w:hAnsi="宋体" w:eastAsia="宋体" w:cs="Times New Roman"/>
                <w:i/>
                <w:color w:val="FF0000"/>
                <w:szCs w:val="44"/>
              </w:rPr>
              <w:t>合法合规经营、监管指标、主要财务数据</w:t>
            </w:r>
            <w:r>
              <w:rPr>
                <w:rFonts w:hint="eastAsia" w:ascii="宋体" w:hAnsi="宋体" w:eastAsia="宋体" w:cs="Times New Roman"/>
                <w:i/>
                <w:color w:val="FF0000"/>
                <w:szCs w:val="44"/>
              </w:rPr>
              <w:t>、</w:t>
            </w:r>
            <w:r>
              <w:rPr>
                <w:rFonts w:ascii="宋体" w:hAnsi="宋体" w:eastAsia="宋体" w:cs="Times New Roman"/>
                <w:i/>
                <w:color w:val="FF0000"/>
                <w:szCs w:val="44"/>
              </w:rPr>
              <w:t>风险因素及其风险防控</w:t>
            </w:r>
            <w:r>
              <w:rPr>
                <w:rFonts w:hint="eastAsia" w:ascii="宋体" w:hAnsi="宋体" w:eastAsia="宋体" w:cs="Times New Roman"/>
                <w:i/>
                <w:color w:val="FF0000"/>
                <w:szCs w:val="44"/>
              </w:rPr>
              <w:t>机制</w:t>
            </w:r>
            <w:r>
              <w:rPr>
                <w:rFonts w:ascii="宋体" w:hAnsi="宋体" w:eastAsia="宋体" w:cs="Times New Roman"/>
                <w:i/>
                <w:color w:val="FF0000"/>
                <w:szCs w:val="44"/>
              </w:rPr>
              <w:t>等，</w:t>
            </w:r>
            <w:r>
              <w:rPr>
                <w:rFonts w:hint="eastAsia" w:ascii="宋体" w:hAnsi="宋体" w:eastAsia="宋体" w:cs="Times New Roman"/>
                <w:i/>
                <w:color w:val="FF0000"/>
                <w:szCs w:val="44"/>
              </w:rPr>
              <w:t>披露</w:t>
            </w:r>
            <w:r>
              <w:rPr>
                <w:rFonts w:ascii="宋体" w:hAnsi="宋体" w:eastAsia="宋体" w:cs="Times New Roman"/>
                <w:i/>
                <w:color w:val="FF0000"/>
                <w:szCs w:val="44"/>
              </w:rPr>
              <w:t>口径应与往期</w:t>
            </w:r>
            <w:r>
              <w:rPr>
                <w:rFonts w:hint="eastAsia" w:ascii="宋体" w:hAnsi="宋体" w:eastAsia="宋体" w:cs="Times New Roman"/>
                <w:i/>
                <w:color w:val="FF0000"/>
                <w:szCs w:val="44"/>
              </w:rPr>
              <w:t>定期</w:t>
            </w:r>
            <w:r>
              <w:rPr>
                <w:rFonts w:ascii="宋体" w:hAnsi="宋体" w:eastAsia="宋体" w:cs="Times New Roman"/>
                <w:i/>
                <w:color w:val="FF0000"/>
                <w:szCs w:val="44"/>
              </w:rPr>
              <w:t>报告及公开转让说明书的披露口径一致。</w:t>
            </w: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主要</w:t>
      </w:r>
      <w:r>
        <w:rPr>
          <w:rFonts w:ascii="微软雅黑" w:hAnsi="微软雅黑" w:eastAsia="微软雅黑"/>
          <w:b/>
          <w:color w:val="000000" w:themeColor="text1"/>
          <w:sz w:val="22"/>
          <w:szCs w:val="44"/>
          <w14:textFill>
            <w14:solidFill>
              <w14:schemeClr w14:val="tx1"/>
            </w14:solidFill>
          </w14:textFill>
        </w:rPr>
        <w:t>财务数据</w:t>
      </w:r>
    </w:p>
    <w:p>
      <w:pPr>
        <w:pStyle w:val="19"/>
        <w:kinsoku w:val="0"/>
        <w:overflowPunct w:val="0"/>
        <w:spacing w:before="18"/>
        <w:ind w:right="16"/>
        <w:jc w:val="right"/>
      </w:pPr>
      <w:r>
        <w:rPr>
          <w:rFonts w:hint="eastAsia"/>
        </w:rPr>
        <w:t>单位：元</w:t>
      </w:r>
    </w:p>
    <w:tbl>
      <w:tblPr>
        <w:tblStyle w:val="46"/>
        <w:tblW w:w="9782" w:type="dxa"/>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296"/>
        <w:gridCol w:w="2382"/>
        <w:gridCol w:w="198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3119" w:type="dxa"/>
            <w:shd w:val="pct10" w:color="auto" w:fill="auto"/>
            <w:vAlign w:val="center"/>
          </w:tcPr>
          <w:p>
            <w:pPr>
              <w:jc w:val="center"/>
              <w:rPr>
                <w:b/>
                <w:sz w:val="22"/>
              </w:rPr>
            </w:pPr>
            <w:r>
              <w:rPr>
                <w:rFonts w:hint="eastAsia"/>
                <w:b/>
                <w:sz w:val="22"/>
              </w:rPr>
              <w:t>项目</w:t>
            </w:r>
          </w:p>
        </w:tc>
        <w:tc>
          <w:tcPr>
            <w:tcW w:w="2296" w:type="dxa"/>
            <w:shd w:val="pct10" w:color="auto" w:fill="auto"/>
            <w:vAlign w:val="center"/>
          </w:tcPr>
          <w:p>
            <w:pPr>
              <w:jc w:val="center"/>
              <w:rPr>
                <w:b/>
                <w:sz w:val="22"/>
              </w:rPr>
            </w:pPr>
            <w:r>
              <w:rPr>
                <w:rFonts w:hint="eastAsia"/>
                <w:b/>
                <w:sz w:val="22"/>
              </w:rPr>
              <w:t>报告期末</w:t>
            </w:r>
          </w:p>
          <w:p>
            <w:pPr>
              <w:rPr>
                <w:b/>
                <w:sz w:val="22"/>
              </w:rPr>
            </w:pPr>
            <w:r>
              <w:rPr>
                <w:rFonts w:hint="eastAsia"/>
                <w:b/>
                <w:sz w:val="22"/>
              </w:rPr>
              <w:t>（2023年9月30日）</w:t>
            </w:r>
          </w:p>
        </w:tc>
        <w:tc>
          <w:tcPr>
            <w:tcW w:w="2382" w:type="dxa"/>
            <w:shd w:val="pct10" w:color="auto" w:fill="auto"/>
            <w:vAlign w:val="center"/>
          </w:tcPr>
          <w:p>
            <w:pPr>
              <w:jc w:val="center"/>
              <w:rPr>
                <w:b/>
                <w:sz w:val="22"/>
              </w:rPr>
            </w:pPr>
            <w:r>
              <w:rPr>
                <w:rFonts w:hint="eastAsia"/>
                <w:b/>
                <w:sz w:val="22"/>
              </w:rPr>
              <w:t>上年期末</w:t>
            </w:r>
          </w:p>
          <w:p>
            <w:pPr>
              <w:rPr>
                <w:b/>
                <w:sz w:val="22"/>
              </w:rPr>
            </w:pPr>
            <w:r>
              <w:rPr>
                <w:rFonts w:hint="eastAsia"/>
                <w:b/>
                <w:sz w:val="22"/>
              </w:rPr>
              <w:t>（2022年12月31日）</w:t>
            </w:r>
          </w:p>
        </w:tc>
        <w:tc>
          <w:tcPr>
            <w:tcW w:w="1985" w:type="dxa"/>
            <w:shd w:val="pct10" w:color="auto" w:fill="auto"/>
            <w:vAlign w:val="center"/>
          </w:tcPr>
          <w:p>
            <w:pPr>
              <w:jc w:val="center"/>
              <w:rPr>
                <w:b/>
                <w:sz w:val="22"/>
              </w:rPr>
            </w:pPr>
            <w:r>
              <w:rPr>
                <w:rFonts w:hint="eastAsia"/>
                <w:b/>
                <w:sz w:val="22"/>
              </w:rPr>
              <w:t>报告期末比上年期末增减比例%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trPr>
        <w:tc>
          <w:tcPr>
            <w:tcW w:w="3119" w:type="dxa"/>
          </w:tcPr>
          <w:p>
            <w:pPr>
              <w:rPr>
                <w:sz w:val="22"/>
              </w:rPr>
            </w:pPr>
            <w:r>
              <w:rPr>
                <w:rFonts w:hint="eastAsia" w:asciiTheme="minorEastAsia" w:hAnsiTheme="minorEastAsia"/>
                <w:color w:val="000000" w:themeColor="text1"/>
                <w:kern w:val="0"/>
                <w:sz w:val="22"/>
                <w14:textFill>
                  <w14:solidFill>
                    <w14:schemeClr w14:val="tx1"/>
                  </w14:solidFill>
                </w14:textFill>
              </w:rPr>
              <w:t>资产总计</w:t>
            </w:r>
          </w:p>
        </w:tc>
        <w:tc>
          <w:tcPr>
            <w:tcW w:w="2296" w:type="dxa"/>
          </w:tcPr>
          <w:p>
            <w:pPr>
              <w:rPr>
                <w:sz w:val="22"/>
              </w:rPr>
            </w:pPr>
          </w:p>
        </w:tc>
        <w:tc>
          <w:tcPr>
            <w:tcW w:w="2382" w:type="dxa"/>
          </w:tcPr>
          <w:p>
            <w:pPr>
              <w:rPr>
                <w:sz w:val="22"/>
              </w:rPr>
            </w:pPr>
          </w:p>
        </w:tc>
        <w:tc>
          <w:tcPr>
            <w:tcW w:w="1985"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sz w:val="22"/>
              </w:rPr>
            </w:pPr>
            <w:r>
              <w:rPr>
                <w:rFonts w:hint="eastAsia"/>
                <w:sz w:val="22"/>
              </w:rPr>
              <w:t>归属于挂牌公司股东的净资产</w:t>
            </w:r>
          </w:p>
        </w:tc>
        <w:tc>
          <w:tcPr>
            <w:tcW w:w="2296" w:type="dxa"/>
          </w:tcPr>
          <w:p>
            <w:pPr>
              <w:rPr>
                <w:sz w:val="22"/>
              </w:rPr>
            </w:pPr>
          </w:p>
        </w:tc>
        <w:tc>
          <w:tcPr>
            <w:tcW w:w="2382" w:type="dxa"/>
          </w:tcPr>
          <w:p>
            <w:pPr>
              <w:rPr>
                <w:sz w:val="22"/>
              </w:rPr>
            </w:pPr>
          </w:p>
        </w:tc>
        <w:tc>
          <w:tcPr>
            <w:tcW w:w="1985"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sz w:val="22"/>
              </w:rPr>
            </w:pPr>
            <w:r>
              <w:rPr>
                <w:rFonts w:hint="eastAsia"/>
                <w:sz w:val="22"/>
              </w:rPr>
              <w:t>资产负债率</w:t>
            </w:r>
            <w:r>
              <w:rPr>
                <w:rFonts w:hint="eastAsia" w:asciiTheme="minorEastAsia" w:hAnsiTheme="minorEastAsia"/>
                <w:color w:val="000000" w:themeColor="text1"/>
                <w:kern w:val="0"/>
                <w:sz w:val="22"/>
                <w14:textFill>
                  <w14:solidFill>
                    <w14:schemeClr w14:val="tx1"/>
                  </w14:solidFill>
                </w14:textFill>
              </w:rPr>
              <w:t>%</w:t>
            </w:r>
            <w:r>
              <w:rPr>
                <w:rFonts w:hint="eastAsia"/>
                <w:sz w:val="22"/>
              </w:rPr>
              <w:t>（母公司）</w:t>
            </w:r>
          </w:p>
        </w:tc>
        <w:tc>
          <w:tcPr>
            <w:tcW w:w="2296" w:type="dxa"/>
          </w:tcPr>
          <w:p>
            <w:pPr>
              <w:rPr>
                <w:sz w:val="22"/>
              </w:rPr>
            </w:pPr>
          </w:p>
        </w:tc>
        <w:tc>
          <w:tcPr>
            <w:tcW w:w="2382" w:type="dxa"/>
          </w:tcPr>
          <w:p>
            <w:pPr>
              <w:rPr>
                <w:sz w:val="22"/>
              </w:rPr>
            </w:pPr>
          </w:p>
        </w:tc>
        <w:tc>
          <w:tcPr>
            <w:tcW w:w="1985" w:type="dxa"/>
          </w:tcPr>
          <w:p>
            <w:pPr>
              <w:rPr>
                <w:sz w:val="22"/>
              </w:rPr>
            </w:pPr>
            <w:r>
              <w:rPr>
                <w:rFonts w:hint="eastAsia"/>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sz w:val="22"/>
              </w:rPr>
            </w:pPr>
            <w:r>
              <w:rPr>
                <w:rFonts w:hint="eastAsia"/>
                <w:sz w:val="22"/>
              </w:rPr>
              <w:t>资产负债率</w:t>
            </w:r>
            <w:r>
              <w:rPr>
                <w:rFonts w:hint="eastAsia" w:asciiTheme="minorEastAsia" w:hAnsiTheme="minorEastAsia"/>
                <w:color w:val="000000" w:themeColor="text1"/>
                <w:kern w:val="0"/>
                <w:sz w:val="22"/>
                <w14:textFill>
                  <w14:solidFill>
                    <w14:schemeClr w14:val="tx1"/>
                  </w14:solidFill>
                </w14:textFill>
              </w:rPr>
              <w:t>%</w:t>
            </w:r>
            <w:r>
              <w:rPr>
                <w:rFonts w:hint="eastAsia"/>
                <w:sz w:val="22"/>
              </w:rPr>
              <w:t>（合并）</w:t>
            </w:r>
          </w:p>
        </w:tc>
        <w:tc>
          <w:tcPr>
            <w:tcW w:w="2296" w:type="dxa"/>
          </w:tcPr>
          <w:p>
            <w:pPr>
              <w:rPr>
                <w:sz w:val="22"/>
              </w:rPr>
            </w:pPr>
          </w:p>
        </w:tc>
        <w:tc>
          <w:tcPr>
            <w:tcW w:w="2382" w:type="dxa"/>
          </w:tcPr>
          <w:p>
            <w:pPr>
              <w:rPr>
                <w:sz w:val="22"/>
              </w:rPr>
            </w:pPr>
          </w:p>
        </w:tc>
        <w:tc>
          <w:tcPr>
            <w:tcW w:w="1985" w:type="dxa"/>
          </w:tcPr>
          <w:p>
            <w:pPr>
              <w:rPr>
                <w:sz w:val="22"/>
              </w:rPr>
            </w:pPr>
            <w:r>
              <w:rPr>
                <w:rFonts w:hint="eastAsia"/>
                <w:sz w:val="22"/>
              </w:rPr>
              <w:t>-</w:t>
            </w:r>
          </w:p>
        </w:tc>
      </w:tr>
    </w:tbl>
    <w:p/>
    <w:tbl>
      <w:tblPr>
        <w:tblStyle w:val="46"/>
        <w:tblW w:w="980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126"/>
        <w:gridCol w:w="2410"/>
        <w:gridCol w:w="21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shd w:val="pct10" w:color="auto" w:fill="auto"/>
            <w:vAlign w:val="center"/>
          </w:tcPr>
          <w:p>
            <w:pPr>
              <w:jc w:val="center"/>
              <w:rPr>
                <w:rFonts w:hint="eastAsia" w:eastAsiaTheme="minorEastAsia"/>
                <w:b/>
                <w:sz w:val="22"/>
                <w:lang w:eastAsia="zh-CN"/>
              </w:rPr>
            </w:pPr>
            <w:r>
              <w:rPr>
                <w:rFonts w:hint="eastAsia"/>
                <w:b/>
                <w:sz w:val="22"/>
                <w:lang w:eastAsia="zh-CN"/>
              </w:rPr>
              <w:t>项目</w:t>
            </w:r>
          </w:p>
        </w:tc>
        <w:tc>
          <w:tcPr>
            <w:tcW w:w="2126" w:type="dxa"/>
            <w:shd w:val="pct10" w:color="auto" w:fill="auto"/>
            <w:vAlign w:val="center"/>
          </w:tcPr>
          <w:p>
            <w:pPr>
              <w:jc w:val="center"/>
              <w:rPr>
                <w:b/>
                <w:sz w:val="22"/>
              </w:rPr>
            </w:pPr>
            <w:r>
              <w:rPr>
                <w:b/>
                <w:sz w:val="22"/>
              </w:rPr>
              <w:t>年初至</w:t>
            </w:r>
            <w:r>
              <w:rPr>
                <w:rFonts w:hint="eastAsia"/>
                <w:b/>
                <w:sz w:val="22"/>
              </w:rPr>
              <w:t>报告期末</w:t>
            </w:r>
          </w:p>
          <w:p>
            <w:pPr>
              <w:jc w:val="center"/>
              <w:rPr>
                <w:b/>
                <w:sz w:val="22"/>
              </w:rPr>
            </w:pPr>
            <w:r>
              <w:rPr>
                <w:rFonts w:hint="eastAsia"/>
                <w:b/>
                <w:sz w:val="22"/>
              </w:rPr>
              <w:t>（202</w:t>
            </w:r>
            <w:r>
              <w:rPr>
                <w:b/>
                <w:sz w:val="22"/>
              </w:rPr>
              <w:t>3</w:t>
            </w:r>
            <w:r>
              <w:rPr>
                <w:rFonts w:hint="eastAsia"/>
                <w:b/>
                <w:sz w:val="22"/>
              </w:rPr>
              <w:t>年</w:t>
            </w:r>
            <w:r>
              <w:rPr>
                <w:b/>
                <w:sz w:val="22"/>
              </w:rPr>
              <w:t>1-9</w:t>
            </w:r>
            <w:r>
              <w:rPr>
                <w:rFonts w:hint="eastAsia"/>
                <w:b/>
                <w:sz w:val="22"/>
              </w:rPr>
              <w:t>月）</w:t>
            </w:r>
          </w:p>
        </w:tc>
        <w:tc>
          <w:tcPr>
            <w:tcW w:w="2410" w:type="dxa"/>
            <w:shd w:val="pct10" w:color="auto" w:fill="auto"/>
            <w:vAlign w:val="center"/>
          </w:tcPr>
          <w:p>
            <w:pPr>
              <w:ind w:firstLine="552" w:firstLineChars="250"/>
              <w:rPr>
                <w:b/>
                <w:sz w:val="22"/>
              </w:rPr>
            </w:pPr>
            <w:r>
              <w:rPr>
                <w:rFonts w:hint="eastAsia"/>
                <w:b/>
                <w:sz w:val="22"/>
              </w:rPr>
              <w:t>上年同期</w:t>
            </w:r>
          </w:p>
          <w:p>
            <w:pPr>
              <w:jc w:val="center"/>
              <w:rPr>
                <w:b/>
                <w:sz w:val="22"/>
              </w:rPr>
            </w:pPr>
            <w:r>
              <w:rPr>
                <w:rFonts w:hint="eastAsia"/>
                <w:b/>
                <w:sz w:val="22"/>
              </w:rPr>
              <w:t>（202</w:t>
            </w:r>
            <w:r>
              <w:rPr>
                <w:b/>
                <w:sz w:val="22"/>
              </w:rPr>
              <w:t>2</w:t>
            </w:r>
            <w:r>
              <w:rPr>
                <w:rFonts w:hint="eastAsia"/>
                <w:b/>
                <w:sz w:val="22"/>
              </w:rPr>
              <w:t>年1-9月）</w:t>
            </w:r>
          </w:p>
        </w:tc>
        <w:tc>
          <w:tcPr>
            <w:tcW w:w="2146" w:type="dxa"/>
            <w:shd w:val="pct10" w:color="auto" w:fill="auto"/>
            <w:vAlign w:val="center"/>
          </w:tcPr>
          <w:p>
            <w:pPr>
              <w:jc w:val="center"/>
              <w:rPr>
                <w:b/>
                <w:sz w:val="22"/>
              </w:rPr>
            </w:pPr>
            <w:r>
              <w:rPr>
                <w:rFonts w:hint="eastAsia"/>
                <w:b/>
                <w:sz w:val="22"/>
              </w:rPr>
              <w:t>年初至报告期末</w:t>
            </w:r>
            <w:r>
              <w:rPr>
                <w:b/>
                <w:sz w:val="22"/>
              </w:rPr>
              <w:t>比</w:t>
            </w:r>
            <w:r>
              <w:rPr>
                <w:rFonts w:hint="eastAsia"/>
                <w:b/>
                <w:sz w:val="22"/>
              </w:rPr>
              <w:t>上年同期增减比例%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营业收入</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归属于挂牌公司股东的净利润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归属于挂牌公司股东的扣除非经常性损益后的净利润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经营活动产生的现金流量净额</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基本每股收益</w:t>
            </w:r>
            <w:r>
              <w:rPr>
                <w:rFonts w:hint="eastAsia" w:ascii="Times New Roman" w:hAnsi="Times New Roman" w:cs="Times New Roman"/>
                <w:sz w:val="22"/>
              </w:rPr>
              <w:t>（元</w:t>
            </w:r>
            <w:r>
              <w:rPr>
                <w:rFonts w:ascii="Times New Roman" w:hAnsi="Times New Roman" w:cs="Times New Roman"/>
                <w:sz w:val="22"/>
              </w:rPr>
              <w:t>/</w:t>
            </w:r>
            <w:r>
              <w:rPr>
                <w:rFonts w:hint="eastAsia" w:ascii="Times New Roman" w:hAnsi="Times New Roman" w:cs="Times New Roman"/>
                <w:sz w:val="22"/>
              </w:rPr>
              <w:t>股）</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挂牌公司股东的净利润计算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rFonts w:ascii="Times New Roman" w:hAnsi="Times New Roman" w:cs="Times New Roman"/>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挂牌公司股东的扣</w:t>
            </w:r>
            <w:r>
              <w:rPr>
                <w:rFonts w:hint="eastAsia" w:asciiTheme="minorEastAsia" w:hAnsiTheme="minorEastAsia"/>
                <w:color w:val="000000" w:themeColor="text1"/>
                <w:kern w:val="0"/>
                <w:sz w:val="22"/>
                <w14:textFill>
                  <w14:solidFill>
                    <w14:schemeClr w14:val="tx1"/>
                  </w14:solidFill>
                </w14:textFill>
              </w:rPr>
              <w:t>除非经常性</w:t>
            </w:r>
            <w:r>
              <w:rPr>
                <w:rFonts w:asciiTheme="minorEastAsia" w:hAnsiTheme="minorEastAsia"/>
                <w:color w:val="000000" w:themeColor="text1"/>
                <w:kern w:val="0"/>
                <w:sz w:val="22"/>
                <w14:textFill>
                  <w14:solidFill>
                    <w14:schemeClr w14:val="tx1"/>
                  </w14:solidFill>
                </w14:textFill>
              </w:rPr>
              <w:t>损益后的净利润计算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bl>
    <w:p>
      <w:pPr>
        <w:rPr>
          <w:rFonts w:ascii="宋体" w:hAnsi="宋体" w:eastAsia="宋体" w:cs="Times New Roman"/>
          <w:b/>
          <w:color w:val="000000"/>
          <w:szCs w:val="44"/>
        </w:rPr>
      </w:pPr>
    </w:p>
    <w:tbl>
      <w:tblPr>
        <w:tblStyle w:val="46"/>
        <w:tblW w:w="980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126"/>
        <w:gridCol w:w="2410"/>
        <w:gridCol w:w="21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shd w:val="pct10" w:color="auto" w:fill="auto"/>
            <w:vAlign w:val="center"/>
          </w:tcPr>
          <w:p>
            <w:pPr>
              <w:jc w:val="center"/>
              <w:rPr>
                <w:b/>
                <w:sz w:val="22"/>
              </w:rPr>
            </w:pPr>
            <w:r>
              <w:rPr>
                <w:rFonts w:hint="eastAsia"/>
                <w:b/>
                <w:sz w:val="22"/>
              </w:rPr>
              <w:t>项目</w:t>
            </w:r>
          </w:p>
        </w:tc>
        <w:tc>
          <w:tcPr>
            <w:tcW w:w="2126" w:type="dxa"/>
            <w:shd w:val="pct10" w:color="auto" w:fill="auto"/>
            <w:vAlign w:val="center"/>
          </w:tcPr>
          <w:p>
            <w:pPr>
              <w:jc w:val="center"/>
              <w:rPr>
                <w:b/>
                <w:sz w:val="22"/>
              </w:rPr>
            </w:pPr>
            <w:r>
              <w:rPr>
                <w:rFonts w:hint="eastAsia"/>
                <w:b/>
                <w:sz w:val="22"/>
              </w:rPr>
              <w:t>本报告期</w:t>
            </w:r>
          </w:p>
          <w:p>
            <w:pPr>
              <w:jc w:val="center"/>
              <w:rPr>
                <w:b/>
                <w:sz w:val="22"/>
              </w:rPr>
            </w:pPr>
            <w:r>
              <w:rPr>
                <w:rFonts w:hint="eastAsia"/>
                <w:b/>
                <w:sz w:val="22"/>
              </w:rPr>
              <w:t>（2023年</w:t>
            </w:r>
            <w:r>
              <w:rPr>
                <w:b/>
                <w:sz w:val="22"/>
              </w:rPr>
              <w:t>7-9</w:t>
            </w:r>
            <w:r>
              <w:rPr>
                <w:rFonts w:hint="eastAsia"/>
                <w:b/>
                <w:sz w:val="22"/>
              </w:rPr>
              <w:t>月）</w:t>
            </w:r>
          </w:p>
        </w:tc>
        <w:tc>
          <w:tcPr>
            <w:tcW w:w="2410" w:type="dxa"/>
            <w:shd w:val="pct10" w:color="auto" w:fill="auto"/>
            <w:vAlign w:val="center"/>
          </w:tcPr>
          <w:p>
            <w:pPr>
              <w:ind w:firstLine="552" w:firstLineChars="250"/>
              <w:rPr>
                <w:b/>
                <w:sz w:val="22"/>
              </w:rPr>
            </w:pPr>
            <w:r>
              <w:rPr>
                <w:rFonts w:hint="eastAsia"/>
                <w:b/>
                <w:sz w:val="22"/>
              </w:rPr>
              <w:t>上年同期</w:t>
            </w:r>
          </w:p>
          <w:p>
            <w:pPr>
              <w:jc w:val="center"/>
              <w:rPr>
                <w:b/>
                <w:sz w:val="22"/>
              </w:rPr>
            </w:pPr>
            <w:r>
              <w:rPr>
                <w:rFonts w:hint="eastAsia"/>
                <w:b/>
                <w:sz w:val="22"/>
              </w:rPr>
              <w:t>（2022年7-9月）</w:t>
            </w:r>
          </w:p>
        </w:tc>
        <w:tc>
          <w:tcPr>
            <w:tcW w:w="2146" w:type="dxa"/>
            <w:shd w:val="pct10" w:color="auto" w:fill="auto"/>
            <w:vAlign w:val="center"/>
          </w:tcPr>
          <w:p>
            <w:pPr>
              <w:jc w:val="center"/>
              <w:rPr>
                <w:b/>
                <w:sz w:val="22"/>
              </w:rPr>
            </w:pPr>
            <w:r>
              <w:rPr>
                <w:rFonts w:hint="eastAsia"/>
                <w:b/>
                <w:sz w:val="22"/>
              </w:rPr>
              <w:t>本报告期</w:t>
            </w:r>
            <w:r>
              <w:rPr>
                <w:b/>
                <w:sz w:val="22"/>
              </w:rPr>
              <w:t>比</w:t>
            </w:r>
            <w:r>
              <w:rPr>
                <w:rFonts w:hint="eastAsia"/>
                <w:b/>
                <w:sz w:val="22"/>
              </w:rPr>
              <w:t>上年同期增减比例%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营业收入</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归属于挂牌公司股东的净利润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归属于挂牌公司股东的扣除非经常性损益后的净利润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基本每股收益</w:t>
            </w:r>
            <w:r>
              <w:rPr>
                <w:rFonts w:hint="eastAsia" w:ascii="Times New Roman" w:hAnsi="Times New Roman" w:cs="Times New Roman"/>
                <w:sz w:val="22"/>
              </w:rPr>
              <w:t>（元</w:t>
            </w:r>
            <w:r>
              <w:rPr>
                <w:rFonts w:ascii="Times New Roman" w:hAnsi="Times New Roman" w:cs="Times New Roman"/>
                <w:sz w:val="22"/>
              </w:rPr>
              <w:t>/</w:t>
            </w:r>
            <w:r>
              <w:rPr>
                <w:rFonts w:hint="eastAsia" w:ascii="Times New Roman" w:hAnsi="Times New Roman" w:cs="Times New Roman"/>
                <w:sz w:val="22"/>
              </w:rPr>
              <w:t>股）</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挂牌公司股东的净利润计算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rFonts w:ascii="Times New Roman" w:hAnsi="Times New Roman" w:cs="Times New Roman"/>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挂牌公司股东的扣</w:t>
            </w:r>
            <w:r>
              <w:rPr>
                <w:rFonts w:hint="eastAsia" w:asciiTheme="minorEastAsia" w:hAnsiTheme="minorEastAsia"/>
                <w:color w:val="000000" w:themeColor="text1"/>
                <w:kern w:val="0"/>
                <w:sz w:val="22"/>
                <w14:textFill>
                  <w14:solidFill>
                    <w14:schemeClr w14:val="tx1"/>
                  </w14:solidFill>
                </w14:textFill>
              </w:rPr>
              <w:t>除非经常性</w:t>
            </w:r>
            <w:r>
              <w:rPr>
                <w:rFonts w:asciiTheme="minorEastAsia" w:hAnsiTheme="minorEastAsia"/>
                <w:color w:val="000000" w:themeColor="text1"/>
                <w:kern w:val="0"/>
                <w:sz w:val="22"/>
                <w14:textFill>
                  <w14:solidFill>
                    <w14:schemeClr w14:val="tx1"/>
                  </w14:solidFill>
                </w14:textFill>
              </w:rPr>
              <w:t>损益后的净利润计算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bl>
    <w:p>
      <w:pPr>
        <w:rPr>
          <w:rFonts w:ascii="宋体" w:hAnsi="宋体" w:eastAsia="宋体" w:cs="Times New Roman"/>
          <w:b/>
          <w:color w:val="000000"/>
          <w:szCs w:val="44"/>
        </w:rPr>
      </w:pPr>
      <w:r>
        <w:rPr>
          <w:rFonts w:hint="eastAsia" w:ascii="宋体" w:hAnsi="宋体" w:eastAsia="宋体" w:cs="Times New Roman"/>
          <w:b/>
          <w:color w:val="000000"/>
          <w:szCs w:val="44"/>
        </w:rPr>
        <w:t>财务数据重大变动原因</w:t>
      </w:r>
      <w:r>
        <w:rPr>
          <w:rFonts w:ascii="宋体" w:hAnsi="宋体" w:eastAsia="宋体" w:cs="Times New Roman"/>
          <w:b/>
          <w:color w:val="000000"/>
          <w:szCs w:val="44"/>
        </w:rPr>
        <w:t>：</w:t>
      </w:r>
    </w:p>
    <w:p>
      <w:pPr>
        <w:rPr>
          <w:b/>
        </w:rPr>
      </w:pPr>
      <w:r>
        <w:rPr>
          <w:rFonts w:hint="eastAsia"/>
        </w:rPr>
        <w:t>□  适用  □  不适用</w:t>
      </w:r>
    </w:p>
    <w:tbl>
      <w:tblPr>
        <w:tblStyle w:val="123"/>
        <w:tblW w:w="9638"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9638" w:type="dxa"/>
          </w:tcPr>
          <w:p>
            <w:pPr>
              <w:tabs>
                <w:tab w:val="left" w:pos="5140"/>
              </w:tabs>
              <w:rPr>
                <w:rFonts w:ascii="宋体" w:hAnsi="宋体" w:eastAsia="宋体" w:cs="Times New Roman"/>
                <w:color w:val="000000"/>
                <w:szCs w:val="44"/>
              </w:rPr>
            </w:pPr>
            <w:r>
              <w:rPr>
                <w:rFonts w:hint="eastAsia" w:ascii="宋体" w:hAnsi="宋体" w:eastAsia="宋体" w:cs="Times New Roman"/>
                <w:i/>
                <w:color w:val="FF0000"/>
                <w:szCs w:val="44"/>
              </w:rPr>
              <w:t>注：公司主要会计数据、财务指标与上年度期末或上年同期相比增减变动幅度超过</w:t>
            </w:r>
            <w:r>
              <w:rPr>
                <w:rFonts w:ascii="宋体" w:hAnsi="宋体" w:eastAsia="宋体" w:cs="Times New Roman"/>
                <w:i/>
                <w:color w:val="FF0000"/>
                <w:szCs w:val="44"/>
              </w:rPr>
              <w:t>30%的，应当说明情况及主要原因。</w:t>
            </w:r>
          </w:p>
        </w:tc>
      </w:tr>
    </w:tbl>
    <w:p>
      <w:pPr>
        <w:rPr>
          <w:b/>
        </w:rPr>
      </w:pPr>
    </w:p>
    <w:p>
      <w:pPr>
        <w:rPr>
          <w:b/>
        </w:rPr>
      </w:pPr>
      <w:r>
        <w:rPr>
          <w:rFonts w:hint="eastAsia"/>
          <w:b/>
        </w:rPr>
        <w:t>年初至报告期末</w:t>
      </w:r>
      <w:r>
        <w:rPr>
          <w:b/>
        </w:rPr>
        <w:t>（1-9</w:t>
      </w:r>
      <w:r>
        <w:rPr>
          <w:rFonts w:hint="eastAsia"/>
          <w:b/>
        </w:rPr>
        <w:t>月</w:t>
      </w:r>
      <w:r>
        <w:rPr>
          <w:b/>
        </w:rPr>
        <w:t>）</w:t>
      </w:r>
      <w:r>
        <w:rPr>
          <w:rFonts w:hint="eastAsia"/>
          <w:b/>
        </w:rPr>
        <w:t>非经常性损益项目和金额：</w:t>
      </w:r>
    </w:p>
    <w:p>
      <w:pPr>
        <w:rPr>
          <w:b/>
        </w:rPr>
      </w:pPr>
      <w:r>
        <w:rPr>
          <w:rFonts w:hint="eastAsia"/>
        </w:rPr>
        <w:t>□  适用  □  不适用</w:t>
      </w:r>
    </w:p>
    <w:p>
      <w:pPr>
        <w:jc w:val="right"/>
        <w:rPr>
          <w:rFonts w:ascii="微软雅黑" w:hAnsi="微软雅黑" w:eastAsia="微软雅黑"/>
          <w:b/>
          <w:sz w:val="22"/>
          <w:szCs w:val="44"/>
        </w:rPr>
      </w:pPr>
      <w:r>
        <w:rPr>
          <w:rFonts w:hint="eastAsia"/>
        </w:rPr>
        <w:t>单位：元</w:t>
      </w:r>
    </w:p>
    <w:tbl>
      <w:tblPr>
        <w:tblStyle w:val="46"/>
        <w:tblW w:w="938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5246"/>
        <w:gridCol w:w="413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trPr>
        <w:tc>
          <w:tcPr>
            <w:tcW w:w="5246"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项目</w:t>
            </w:r>
          </w:p>
        </w:tc>
        <w:tc>
          <w:tcPr>
            <w:tcW w:w="4134"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金额</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6"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5"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非经常性损益合计</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所得税</w:t>
            </w:r>
            <w:r>
              <w:rPr>
                <w:rFonts w:asciiTheme="minorEastAsia" w:hAnsiTheme="minorEastAsia"/>
                <w:color w:val="000000" w:themeColor="text1"/>
                <w:kern w:val="0"/>
                <w:sz w:val="22"/>
                <w14:textFill>
                  <w14:solidFill>
                    <w14:schemeClr w14:val="tx1"/>
                  </w14:solidFill>
                </w14:textFill>
              </w:rPr>
              <w:t>影响数</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少数股东权益影响额（税后）</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3"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w:t>
            </w:r>
            <w:r>
              <w:rPr>
                <w:rFonts w:asciiTheme="minorEastAsia" w:hAnsiTheme="minorEastAsia"/>
                <w:b/>
                <w:color w:val="000000" w:themeColor="text1"/>
                <w:kern w:val="0"/>
                <w:sz w:val="22"/>
                <w14:textFill>
                  <w14:solidFill>
                    <w14:schemeClr w14:val="tx1"/>
                  </w14:solidFill>
                </w14:textFill>
              </w:rPr>
              <w:t>损益净额</w:t>
            </w:r>
          </w:p>
        </w:tc>
        <w:tc>
          <w:tcPr>
            <w:tcW w:w="4134" w:type="dxa"/>
          </w:tcPr>
          <w:p>
            <w:pPr>
              <w:rPr>
                <w:rFonts w:asciiTheme="minorEastAsia" w:hAnsiTheme="minorEastAsia"/>
                <w:color w:val="000000" w:themeColor="text1"/>
                <w:kern w:val="0"/>
                <w:sz w:val="22"/>
                <w14:textFill>
                  <w14:solidFill>
                    <w14:schemeClr w14:val="tx1"/>
                  </w14:solidFill>
                </w14:textFill>
              </w:rPr>
            </w:pPr>
          </w:p>
        </w:tc>
      </w:tr>
    </w:tbl>
    <w:p>
      <w:pPr>
        <w:pStyle w:val="64"/>
        <w:kinsoku w:val="0"/>
        <w:overflowPunct w:val="0"/>
        <w:autoSpaceDE w:val="0"/>
        <w:autoSpaceDN w:val="0"/>
        <w:adjustRightInd w:val="0"/>
        <w:ind w:left="-567" w:leftChars="-270" w:right="-766" w:firstLine="0" w:firstLineChars="0"/>
        <w:rPr>
          <w:rFonts w:eastAsiaTheme="minorEastAsia"/>
        </w:rPr>
      </w:pPr>
      <w:r>
        <w:rPr>
          <w:rFonts w:hint="eastAsia" w:asciiTheme="minorEastAsia" w:hAnsiTheme="minorEastAsia" w:eastAsiaTheme="minorEastAsia"/>
          <w:i/>
          <w:color w:val="FF0000"/>
          <w:szCs w:val="21"/>
        </w:rPr>
        <w:t>注：在报告期内公司因派发股票股利、公积金转增股本但不影响股东权益金额的，应当根据相关会计准则的规定按最新股本调整并列报基本每股收益和稀释每股收益。</w:t>
      </w:r>
    </w:p>
    <w:p/>
    <w:p>
      <w:pPr>
        <w:ind w:left="-567" w:leftChars="-270" w:firstLine="426" w:firstLineChars="193"/>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（三）报告期期末的普通股</w:t>
      </w:r>
      <w:r>
        <w:rPr>
          <w:rFonts w:ascii="微软雅黑" w:hAnsi="微软雅黑" w:eastAsia="微软雅黑"/>
          <w:b/>
          <w:color w:val="000000" w:themeColor="text1"/>
          <w:sz w:val="22"/>
          <w:szCs w:val="44"/>
          <w14:textFill>
            <w14:solidFill>
              <w14:schemeClr w14:val="tx1"/>
            </w14:solidFill>
          </w14:textFill>
        </w:rPr>
        <w:t>股本结构、</w:t>
      </w:r>
      <w:r>
        <w:rPr>
          <w:rFonts w:hint="eastAsia" w:ascii="微软雅黑" w:hAnsi="微软雅黑" w:eastAsia="微软雅黑"/>
          <w:b/>
          <w:color w:val="000000" w:themeColor="text1"/>
          <w:sz w:val="22"/>
          <w:szCs w:val="44"/>
          <w14:textFill>
            <w14:solidFill>
              <w14:schemeClr w14:val="tx1"/>
            </w14:solidFill>
          </w14:textFill>
        </w:rPr>
        <w:t>前十名</w:t>
      </w:r>
      <w:r>
        <w:rPr>
          <w:rFonts w:ascii="微软雅黑" w:hAnsi="微软雅黑" w:eastAsia="微软雅黑"/>
          <w:b/>
          <w:color w:val="000000" w:themeColor="text1"/>
          <w:sz w:val="22"/>
          <w:szCs w:val="44"/>
          <w14:textFill>
            <w14:solidFill>
              <w14:schemeClr w14:val="tx1"/>
            </w14:solidFill>
          </w14:textFill>
        </w:rPr>
        <w:t>股东情况</w:t>
      </w:r>
    </w:p>
    <w:p>
      <w:pPr>
        <w:jc w:val="right"/>
      </w:pPr>
      <w:r>
        <w:rPr>
          <w:rFonts w:hint="eastAsia"/>
        </w:rPr>
        <w:t>单位</w:t>
      </w:r>
      <w:r>
        <w:t>：股</w:t>
      </w:r>
    </w:p>
    <w:tbl>
      <w:tblPr>
        <w:tblStyle w:val="46"/>
        <w:tblW w:w="5724"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27"/>
        <w:gridCol w:w="3557"/>
        <w:gridCol w:w="981"/>
        <w:gridCol w:w="993"/>
        <w:gridCol w:w="1346"/>
        <w:gridCol w:w="1107"/>
        <w:gridCol w:w="94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000" w:type="pct"/>
            <w:gridSpan w:val="7"/>
            <w:shd w:val="pct10" w:color="auto" w:fill="auto"/>
            <w:vAlign w:val="center"/>
          </w:tcPr>
          <w:p>
            <w:pPr>
              <w:jc w:val="center"/>
              <w:rPr>
                <w:b/>
                <w:sz w:val="22"/>
              </w:rPr>
            </w:pPr>
            <w:r>
              <w:rPr>
                <w:rFonts w:hint="eastAsia"/>
                <w:b/>
                <w:sz w:val="22"/>
              </w:rPr>
              <w:t>普通股股本结构</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restart"/>
            <w:shd w:val="pct10" w:color="auto" w:fill="auto"/>
            <w:vAlign w:val="center"/>
          </w:tcPr>
          <w:p>
            <w:pPr>
              <w:jc w:val="center"/>
              <w:rPr>
                <w:b/>
                <w:sz w:val="22"/>
              </w:rPr>
            </w:pPr>
            <w:r>
              <w:rPr>
                <w:rFonts w:hint="eastAsia"/>
                <w:b/>
                <w:sz w:val="22"/>
              </w:rPr>
              <w:t>股份性质</w:t>
            </w:r>
          </w:p>
        </w:tc>
        <w:tc>
          <w:tcPr>
            <w:tcW w:w="1012" w:type="pct"/>
            <w:gridSpan w:val="2"/>
            <w:shd w:val="pct10" w:color="auto" w:fill="auto"/>
            <w:vAlign w:val="center"/>
          </w:tcPr>
          <w:p>
            <w:pPr>
              <w:jc w:val="center"/>
              <w:rPr>
                <w:b/>
                <w:sz w:val="22"/>
              </w:rPr>
            </w:pPr>
            <w:r>
              <w:rPr>
                <w:rFonts w:hint="eastAsia"/>
                <w:b/>
                <w:sz w:val="22"/>
              </w:rPr>
              <w:t>期初</w:t>
            </w:r>
          </w:p>
        </w:tc>
        <w:tc>
          <w:tcPr>
            <w:tcW w:w="690" w:type="pct"/>
            <w:vMerge w:val="restart"/>
            <w:shd w:val="pct10" w:color="auto" w:fill="auto"/>
            <w:vAlign w:val="center"/>
          </w:tcPr>
          <w:p>
            <w:pPr>
              <w:jc w:val="center"/>
              <w:rPr>
                <w:b/>
                <w:sz w:val="22"/>
              </w:rPr>
            </w:pPr>
            <w:r>
              <w:rPr>
                <w:rFonts w:hint="eastAsia"/>
                <w:b/>
                <w:sz w:val="22"/>
              </w:rPr>
              <w:t>本期</w:t>
            </w:r>
          </w:p>
          <w:p>
            <w:pPr>
              <w:jc w:val="center"/>
              <w:rPr>
                <w:b/>
                <w:sz w:val="22"/>
              </w:rPr>
            </w:pPr>
            <w:r>
              <w:rPr>
                <w:rFonts w:hint="eastAsia"/>
                <w:b/>
                <w:sz w:val="22"/>
              </w:rPr>
              <w:t>变动</w:t>
            </w:r>
          </w:p>
        </w:tc>
        <w:tc>
          <w:tcPr>
            <w:tcW w:w="1052" w:type="pct"/>
            <w:gridSpan w:val="2"/>
            <w:shd w:val="pct10" w:color="auto" w:fill="auto"/>
            <w:vAlign w:val="center"/>
          </w:tcPr>
          <w:p>
            <w:pPr>
              <w:jc w:val="center"/>
              <w:rPr>
                <w:b/>
                <w:sz w:val="22"/>
              </w:rPr>
            </w:pPr>
            <w:r>
              <w:rPr>
                <w:rFonts w:hint="eastAsia"/>
                <w:b/>
                <w:sz w:val="22"/>
              </w:rPr>
              <w:t>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continue"/>
            <w:shd w:val="pct10" w:color="auto" w:fill="auto"/>
            <w:vAlign w:val="center"/>
          </w:tcPr>
          <w:p>
            <w:pPr>
              <w:ind w:right="420" w:firstLine="1104" w:firstLineChars="500"/>
              <w:rPr>
                <w:b/>
                <w:sz w:val="22"/>
              </w:rPr>
            </w:pPr>
          </w:p>
        </w:tc>
        <w:tc>
          <w:tcPr>
            <w:tcW w:w="503" w:type="pct"/>
            <w:shd w:val="pct10" w:color="auto" w:fill="auto"/>
            <w:vAlign w:val="center"/>
          </w:tcPr>
          <w:p>
            <w:pPr>
              <w:jc w:val="center"/>
              <w:rPr>
                <w:b/>
                <w:sz w:val="22"/>
              </w:rPr>
            </w:pPr>
            <w:r>
              <w:rPr>
                <w:rFonts w:hint="eastAsia"/>
                <w:b/>
                <w:sz w:val="22"/>
              </w:rPr>
              <w:t>数量</w:t>
            </w:r>
          </w:p>
        </w:tc>
        <w:tc>
          <w:tcPr>
            <w:tcW w:w="509" w:type="pct"/>
            <w:shd w:val="pct10" w:color="auto" w:fill="auto"/>
            <w:vAlign w:val="center"/>
          </w:tcPr>
          <w:p>
            <w:pPr>
              <w:jc w:val="center"/>
              <w:rPr>
                <w:b/>
                <w:sz w:val="22"/>
              </w:rPr>
            </w:pPr>
            <w:r>
              <w:rPr>
                <w:rFonts w:hint="eastAsia"/>
                <w:b/>
                <w:sz w:val="22"/>
              </w:rPr>
              <w:t>比例%</w:t>
            </w:r>
          </w:p>
        </w:tc>
        <w:tc>
          <w:tcPr>
            <w:tcW w:w="690" w:type="pct"/>
            <w:vMerge w:val="continue"/>
            <w:shd w:val="pct10" w:color="auto" w:fill="auto"/>
            <w:vAlign w:val="center"/>
          </w:tcPr>
          <w:p>
            <w:pPr>
              <w:ind w:right="420"/>
              <w:rPr>
                <w:b/>
                <w:sz w:val="22"/>
              </w:rPr>
            </w:pPr>
          </w:p>
        </w:tc>
        <w:tc>
          <w:tcPr>
            <w:tcW w:w="567" w:type="pct"/>
            <w:shd w:val="pct10" w:color="auto" w:fill="auto"/>
            <w:vAlign w:val="center"/>
          </w:tcPr>
          <w:p>
            <w:pPr>
              <w:jc w:val="center"/>
              <w:rPr>
                <w:b/>
                <w:sz w:val="22"/>
              </w:rPr>
            </w:pPr>
            <w:r>
              <w:rPr>
                <w:rFonts w:hint="eastAsia"/>
                <w:b/>
                <w:sz w:val="22"/>
              </w:rPr>
              <w:t>数量</w:t>
            </w:r>
          </w:p>
        </w:tc>
        <w:tc>
          <w:tcPr>
            <w:tcW w:w="484" w:type="pct"/>
            <w:shd w:val="pct10" w:color="auto" w:fill="auto"/>
            <w:vAlign w:val="center"/>
          </w:tcPr>
          <w:p>
            <w:pPr>
              <w:jc w:val="center"/>
              <w:rPr>
                <w:b/>
                <w:sz w:val="22"/>
              </w:rPr>
            </w:pPr>
            <w:r>
              <w:rPr>
                <w:rFonts w:hint="eastAsia"/>
                <w:b/>
                <w:sz w:val="22"/>
              </w:rPr>
              <w:t>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24" w:type="pct"/>
            <w:vMerge w:val="restart"/>
            <w:vAlign w:val="center"/>
          </w:tcPr>
          <w:p>
            <w:pPr>
              <w:jc w:val="center"/>
              <w:rPr>
                <w:sz w:val="22"/>
              </w:rPr>
            </w:pPr>
            <w:r>
              <w:rPr>
                <w:rFonts w:hint="eastAsia"/>
                <w:sz w:val="22"/>
              </w:rPr>
              <w:t>无限售条件股份</w:t>
            </w:r>
          </w:p>
        </w:tc>
        <w:tc>
          <w:tcPr>
            <w:tcW w:w="1822" w:type="pct"/>
          </w:tcPr>
          <w:p>
            <w:pPr>
              <w:jc w:val="left"/>
              <w:rPr>
                <w:sz w:val="22"/>
              </w:rPr>
            </w:pPr>
            <w:r>
              <w:rPr>
                <w:rFonts w:hint="eastAsia"/>
                <w:sz w:val="22"/>
              </w:rPr>
              <w:t>无限售股份总数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restart"/>
            <w:vAlign w:val="center"/>
          </w:tcPr>
          <w:p>
            <w:pPr>
              <w:jc w:val="center"/>
              <w:rPr>
                <w:sz w:val="22"/>
              </w:rPr>
            </w:pPr>
            <w:r>
              <w:rPr>
                <w:rFonts w:hint="eastAsia"/>
                <w:sz w:val="22"/>
              </w:rPr>
              <w:t>有限售条件股份</w:t>
            </w:r>
          </w:p>
        </w:tc>
        <w:tc>
          <w:tcPr>
            <w:tcW w:w="1822" w:type="pct"/>
          </w:tcPr>
          <w:p>
            <w:pPr>
              <w:jc w:val="left"/>
              <w:rPr>
                <w:sz w:val="22"/>
              </w:rPr>
            </w:pPr>
            <w:r>
              <w:rPr>
                <w:rFonts w:hint="eastAsia"/>
                <w:sz w:val="22"/>
              </w:rPr>
              <w:t>有限售股份总数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总股本</w:t>
            </w:r>
          </w:p>
        </w:tc>
        <w:tc>
          <w:tcPr>
            <w:tcW w:w="503" w:type="pct"/>
            <w:vAlign w:val="center"/>
          </w:tcPr>
          <w:p>
            <w:pPr>
              <w:jc w:val="right"/>
              <w:rPr>
                <w:b/>
                <w:sz w:val="22"/>
              </w:rPr>
            </w:pPr>
          </w:p>
        </w:tc>
        <w:tc>
          <w:tcPr>
            <w:tcW w:w="509" w:type="pct"/>
            <w:vAlign w:val="center"/>
          </w:tcPr>
          <w:p>
            <w:pPr>
              <w:jc w:val="center"/>
              <w:rPr>
                <w:b/>
                <w:sz w:val="22"/>
              </w:rPr>
            </w:pPr>
            <w:r>
              <w:rPr>
                <w:rFonts w:hint="eastAsia"/>
                <w:b/>
                <w:sz w:val="22"/>
              </w:rPr>
              <w:t>—</w:t>
            </w:r>
          </w:p>
        </w:tc>
        <w:tc>
          <w:tcPr>
            <w:tcW w:w="690" w:type="pct"/>
            <w:vAlign w:val="center"/>
          </w:tcPr>
          <w:p>
            <w:pPr>
              <w:jc w:val="right"/>
              <w:rPr>
                <w:b/>
                <w:sz w:val="22"/>
              </w:rPr>
            </w:pPr>
          </w:p>
        </w:tc>
        <w:tc>
          <w:tcPr>
            <w:tcW w:w="567" w:type="pct"/>
            <w:vAlign w:val="center"/>
          </w:tcPr>
          <w:p>
            <w:pPr>
              <w:jc w:val="right"/>
              <w:rPr>
                <w:b/>
                <w:sz w:val="22"/>
              </w:rPr>
            </w:pPr>
          </w:p>
        </w:tc>
        <w:tc>
          <w:tcPr>
            <w:tcW w:w="484" w:type="pct"/>
            <w:vAlign w:val="center"/>
          </w:tcPr>
          <w:p>
            <w:pPr>
              <w:jc w:val="center"/>
              <w:rPr>
                <w:b/>
                <w:sz w:val="22"/>
              </w:rPr>
            </w:pPr>
            <w:r>
              <w:rPr>
                <w:rFonts w:hint="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普通股股东人数</w:t>
            </w:r>
          </w:p>
        </w:tc>
        <w:tc>
          <w:tcPr>
            <w:tcW w:w="2753" w:type="pct"/>
            <w:gridSpan w:val="5"/>
            <w:vAlign w:val="center"/>
          </w:tcPr>
          <w:p>
            <w:pPr>
              <w:jc w:val="center"/>
              <w:rPr>
                <w:b/>
                <w:sz w:val="22"/>
              </w:rPr>
            </w:pPr>
            <w:r>
              <w:rPr>
                <w:rFonts w:hint="eastAsia" w:ascii="Calibri" w:hAnsi="Calibri" w:eastAsia="宋体" w:cs="Times New Roman"/>
                <w:color w:val="FF0000"/>
                <w:sz w:val="22"/>
              </w:rPr>
              <w:t>此项必填</w:t>
            </w:r>
          </w:p>
        </w:tc>
      </w:tr>
    </w:tbl>
    <w:p>
      <w:pPr>
        <w:rPr>
          <w:rFonts w:ascii="Calibri" w:hAnsi="Calibri" w:eastAsia="宋体" w:cs="Times New Roman"/>
          <w:i/>
          <w:color w:val="FF0000"/>
        </w:rPr>
      </w:pPr>
      <w:r>
        <w:rPr>
          <w:rFonts w:hint="eastAsia" w:ascii="Calibri" w:hAnsi="Calibri" w:eastAsia="宋体" w:cs="Times New Roman"/>
          <w:i/>
          <w:color w:val="FF0000"/>
        </w:rPr>
        <w:t>注</w:t>
      </w:r>
      <w:r>
        <w:rPr>
          <w:rFonts w:ascii="Calibri" w:hAnsi="Calibri" w:eastAsia="宋体" w:cs="Times New Roman"/>
          <w:i/>
          <w:color w:val="FF0000"/>
        </w:rPr>
        <w:t>：</w:t>
      </w:r>
      <w:r>
        <w:rPr>
          <w:rFonts w:hint="eastAsia" w:ascii="Calibri" w:hAnsi="Calibri" w:eastAsia="宋体" w:cs="Times New Roman"/>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pPr>
        <w:jc w:val="right"/>
        <w:rPr>
          <w:rFonts w:ascii="Calibri" w:hAnsi="Calibri" w:eastAsia="宋体" w:cs="Times New Roman"/>
          <w:i/>
          <w:color w:val="FF0000"/>
        </w:rPr>
      </w:pPr>
      <w:r>
        <w:rPr>
          <w:rFonts w:hint="eastAsia"/>
        </w:rPr>
        <w:t>单位</w:t>
      </w:r>
      <w:r>
        <w:t>：股</w:t>
      </w:r>
    </w:p>
    <w:tbl>
      <w:tblPr>
        <w:tblStyle w:val="46"/>
        <w:tblW w:w="5636"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82"/>
        <w:gridCol w:w="728"/>
        <w:gridCol w:w="876"/>
        <w:gridCol w:w="724"/>
        <w:gridCol w:w="876"/>
        <w:gridCol w:w="1020"/>
        <w:gridCol w:w="1164"/>
        <w:gridCol w:w="1310"/>
        <w:gridCol w:w="1164"/>
        <w:gridCol w:w="116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5000" w:type="pct"/>
            <w:gridSpan w:val="10"/>
            <w:shd w:val="clear" w:color="auto" w:fill="D4D4D4" w:themeFill="accent3" w:themeFillTint="66"/>
            <w:vAlign w:val="center"/>
          </w:tcPr>
          <w:p>
            <w:pPr>
              <w:jc w:val="center"/>
              <w:rPr>
                <w:b/>
                <w:sz w:val="22"/>
              </w:rPr>
            </w:pPr>
            <w:r>
              <w:rPr>
                <w:rFonts w:hint="eastAsia"/>
                <w:b/>
                <w:sz w:val="22"/>
              </w:rPr>
              <w:t>普通股前十名</w:t>
            </w:r>
            <w:r>
              <w:rPr>
                <w:b/>
                <w:sz w:val="22"/>
              </w:rPr>
              <w:t>股东情况</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303"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379"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456"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期初</w:t>
            </w:r>
            <w:r>
              <w:rPr>
                <w:rFonts w:hint="eastAsia" w:asciiTheme="minorEastAsia" w:hAnsiTheme="minorEastAsia"/>
                <w:b/>
                <w:sz w:val="22"/>
              </w:rPr>
              <w:t>持股数</w:t>
            </w:r>
          </w:p>
        </w:tc>
        <w:tc>
          <w:tcPr>
            <w:tcW w:w="377"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持股变动</w:t>
            </w:r>
          </w:p>
        </w:tc>
        <w:tc>
          <w:tcPr>
            <w:tcW w:w="456"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期末</w:t>
            </w:r>
            <w:r>
              <w:rPr>
                <w:rFonts w:hint="eastAsia" w:asciiTheme="minorEastAsia" w:hAnsiTheme="minorEastAsia"/>
                <w:b/>
                <w:sz w:val="22"/>
              </w:rPr>
              <w:t>持股数</w:t>
            </w:r>
          </w:p>
        </w:tc>
        <w:tc>
          <w:tcPr>
            <w:tcW w:w="531" w:type="pct"/>
            <w:shd w:val="clear" w:color="auto" w:fill="D4D4D4" w:themeFill="accent3" w:themeFillTint="66"/>
            <w:vAlign w:val="center"/>
          </w:tcPr>
          <w:p>
            <w:pPr>
              <w:jc w:val="center"/>
              <w:rPr>
                <w:rFonts w:asciiTheme="minorEastAsia" w:hAnsiTheme="minorEastAsia"/>
                <w:b/>
                <w:sz w:val="22"/>
              </w:rPr>
            </w:pPr>
            <w:r>
              <w:rPr>
                <w:rFonts w:hint="eastAsia"/>
                <w:b/>
                <w:sz w:val="22"/>
              </w:rPr>
              <w:t>期末</w:t>
            </w:r>
            <w:r>
              <w:rPr>
                <w:rFonts w:hint="eastAsia" w:asciiTheme="minorEastAsia" w:hAnsiTheme="minorEastAsia"/>
                <w:b/>
                <w:sz w:val="22"/>
              </w:rPr>
              <w:t>持</w:t>
            </w:r>
          </w:p>
          <w:p>
            <w:pPr>
              <w:spacing w:line="360" w:lineRule="auto"/>
              <w:jc w:val="center"/>
              <w:rPr>
                <w:rFonts w:asciiTheme="minorEastAsia" w:hAnsiTheme="minorEastAsia"/>
                <w:b/>
                <w:sz w:val="22"/>
              </w:rPr>
            </w:pPr>
            <w:r>
              <w:rPr>
                <w:rFonts w:hint="eastAsia" w:asciiTheme="minorEastAsia" w:hAnsiTheme="minorEastAsia"/>
                <w:b/>
                <w:sz w:val="22"/>
              </w:rPr>
              <w:t>股比例%</w:t>
            </w:r>
          </w:p>
        </w:tc>
        <w:tc>
          <w:tcPr>
            <w:tcW w:w="606" w:type="pct"/>
            <w:shd w:val="clear" w:color="auto" w:fill="D4D4D4"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限售股份数量</w:t>
            </w:r>
          </w:p>
        </w:tc>
        <w:tc>
          <w:tcPr>
            <w:tcW w:w="682" w:type="pct"/>
            <w:shd w:val="clear" w:color="auto" w:fill="D4D4D4"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无限售股份数量</w:t>
            </w:r>
          </w:p>
        </w:tc>
        <w:tc>
          <w:tcPr>
            <w:tcW w:w="606"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期末持有的质押股份数量</w:t>
            </w:r>
          </w:p>
        </w:tc>
        <w:tc>
          <w:tcPr>
            <w:tcW w:w="604" w:type="pct"/>
            <w:shd w:val="clear" w:color="auto" w:fill="D4D4D4" w:themeFill="accent3" w:themeFillTint="66"/>
          </w:tcPr>
          <w:p>
            <w:pPr>
              <w:jc w:val="center"/>
              <w:rPr>
                <w:rFonts w:asciiTheme="minorEastAsia" w:hAnsiTheme="minorEastAsia"/>
                <w:b/>
                <w:sz w:val="22"/>
              </w:rPr>
            </w:pPr>
          </w:p>
          <w:p>
            <w:pPr>
              <w:jc w:val="center"/>
              <w:rPr>
                <w:rFonts w:asciiTheme="minorEastAsia" w:hAnsiTheme="minorEastAsia"/>
                <w:b/>
                <w:sz w:val="22"/>
              </w:rPr>
            </w:pPr>
            <w:r>
              <w:rPr>
                <w:rFonts w:hint="eastAsia" w:asciiTheme="minorEastAsia" w:hAnsiTheme="minorEastAsia"/>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303" w:type="pct"/>
          </w:tcPr>
          <w:p>
            <w:pPr>
              <w:jc w:val="center"/>
              <w:rPr>
                <w:rFonts w:asciiTheme="minorEastAsia" w:hAnsiTheme="minorEastAsia"/>
                <w:b/>
                <w:sz w:val="22"/>
              </w:rPr>
            </w:pPr>
            <w:r>
              <w:rPr>
                <w:rFonts w:asciiTheme="minorEastAsia" w:hAnsiTheme="minorEastAsia"/>
                <w:sz w:val="22"/>
              </w:rPr>
              <w:t>1</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303" w:type="pct"/>
          </w:tcPr>
          <w:p>
            <w:pPr>
              <w:jc w:val="center"/>
              <w:rPr>
                <w:rFonts w:asciiTheme="minorEastAsia" w:hAnsiTheme="minorEastAsia"/>
                <w:b/>
                <w:sz w:val="22"/>
              </w:rPr>
            </w:pPr>
            <w:r>
              <w:rPr>
                <w:rFonts w:asciiTheme="minorEastAsia" w:hAnsiTheme="minorEastAsia"/>
                <w:sz w:val="22"/>
              </w:rPr>
              <w:t>2</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303" w:type="pct"/>
          </w:tcPr>
          <w:p>
            <w:pPr>
              <w:jc w:val="center"/>
              <w:rPr>
                <w:rFonts w:asciiTheme="minorEastAsia" w:hAnsiTheme="minorEastAsia"/>
                <w:b/>
                <w:sz w:val="22"/>
              </w:rPr>
            </w:pPr>
            <w:r>
              <w:rPr>
                <w:rFonts w:asciiTheme="minorEastAsia" w:hAnsiTheme="minorEastAsia"/>
                <w:sz w:val="22"/>
              </w:rPr>
              <w:t>3</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303" w:type="pct"/>
          </w:tcPr>
          <w:p>
            <w:pPr>
              <w:jc w:val="center"/>
              <w:rPr>
                <w:rFonts w:asciiTheme="minorEastAsia" w:hAnsiTheme="minorEastAsia"/>
                <w:b/>
                <w:sz w:val="22"/>
              </w:rPr>
            </w:pPr>
            <w:r>
              <w:rPr>
                <w:rFonts w:asciiTheme="minorEastAsia" w:hAnsiTheme="minorEastAsia"/>
                <w:sz w:val="22"/>
              </w:rPr>
              <w:t>4</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303" w:type="pct"/>
          </w:tcPr>
          <w:p>
            <w:pPr>
              <w:jc w:val="center"/>
              <w:rPr>
                <w:rFonts w:asciiTheme="minorEastAsia" w:hAnsiTheme="minorEastAsia"/>
                <w:b/>
                <w:sz w:val="22"/>
              </w:rPr>
            </w:pPr>
            <w:r>
              <w:rPr>
                <w:rFonts w:asciiTheme="minorEastAsia" w:hAnsiTheme="minorEastAsia"/>
                <w:sz w:val="22"/>
              </w:rPr>
              <w:t>5</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303" w:type="pct"/>
          </w:tcPr>
          <w:p>
            <w:pPr>
              <w:jc w:val="center"/>
              <w:rPr>
                <w:rFonts w:asciiTheme="minorEastAsia" w:hAnsiTheme="minorEastAsia"/>
                <w:b/>
                <w:sz w:val="22"/>
              </w:rPr>
            </w:pPr>
            <w:r>
              <w:rPr>
                <w:rFonts w:asciiTheme="minorEastAsia" w:hAnsiTheme="minorEastAsia"/>
                <w:sz w:val="22"/>
              </w:rPr>
              <w:t>6</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303" w:type="pct"/>
          </w:tcPr>
          <w:p>
            <w:pPr>
              <w:jc w:val="center"/>
              <w:rPr>
                <w:rFonts w:asciiTheme="minorEastAsia" w:hAnsiTheme="minorEastAsia"/>
                <w:b/>
                <w:sz w:val="22"/>
              </w:rPr>
            </w:pPr>
            <w:r>
              <w:rPr>
                <w:rFonts w:asciiTheme="minorEastAsia" w:hAnsiTheme="minorEastAsia"/>
                <w:sz w:val="22"/>
              </w:rPr>
              <w:t>7</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303" w:type="pct"/>
          </w:tcPr>
          <w:p>
            <w:pPr>
              <w:jc w:val="center"/>
              <w:rPr>
                <w:rFonts w:asciiTheme="minorEastAsia" w:hAnsiTheme="minorEastAsia"/>
                <w:b/>
                <w:sz w:val="22"/>
              </w:rPr>
            </w:pPr>
            <w:r>
              <w:rPr>
                <w:rFonts w:asciiTheme="minorEastAsia" w:hAnsiTheme="minorEastAsia"/>
                <w:sz w:val="22"/>
              </w:rPr>
              <w:t>8</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03" w:type="pct"/>
          </w:tcPr>
          <w:p>
            <w:pPr>
              <w:jc w:val="center"/>
              <w:rPr>
                <w:rFonts w:asciiTheme="minorEastAsia" w:hAnsiTheme="minorEastAsia"/>
                <w:b/>
                <w:sz w:val="22"/>
              </w:rPr>
            </w:pPr>
            <w:r>
              <w:rPr>
                <w:rFonts w:asciiTheme="minorEastAsia" w:hAnsiTheme="minorEastAsia"/>
                <w:sz w:val="22"/>
              </w:rPr>
              <w:t>9</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303" w:type="pct"/>
          </w:tcPr>
          <w:p>
            <w:pPr>
              <w:jc w:val="center"/>
              <w:rPr>
                <w:rFonts w:asciiTheme="minorEastAsia" w:hAnsiTheme="minorEastAsia"/>
                <w:b/>
                <w:sz w:val="22"/>
              </w:rPr>
            </w:pPr>
            <w:r>
              <w:rPr>
                <w:rFonts w:asciiTheme="minorEastAsia" w:hAnsiTheme="minorEastAsia"/>
                <w:sz w:val="22"/>
              </w:rPr>
              <w:t>10</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682" w:type="pct"/>
            <w:gridSpan w:val="2"/>
            <w:vAlign w:val="center"/>
          </w:tcPr>
          <w:p>
            <w:pPr>
              <w:jc w:val="center"/>
              <w:rPr>
                <w:rFonts w:asciiTheme="minorEastAsia" w:hAnsiTheme="minorEastAsia"/>
                <w:b/>
                <w:sz w:val="22"/>
              </w:rPr>
            </w:pPr>
            <w:r>
              <w:rPr>
                <w:rFonts w:hint="eastAsia" w:asciiTheme="minorEastAsia" w:hAnsiTheme="minorEastAsia"/>
                <w:b/>
                <w:sz w:val="22"/>
              </w:rPr>
              <w:t>合计</w:t>
            </w: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54" w:hRule="atLeast"/>
          <w:jc w:val="center"/>
        </w:trPr>
        <w:tc>
          <w:tcPr>
            <w:tcW w:w="5000" w:type="pct"/>
            <w:gridSpan w:val="10"/>
          </w:tcPr>
          <w:p>
            <w:pPr>
              <w:ind w:right="420"/>
              <w:rPr>
                <w:rFonts w:asciiTheme="minorEastAsia" w:hAnsiTheme="minorEastAsia"/>
                <w:b/>
                <w:sz w:val="22"/>
              </w:rPr>
            </w:pPr>
            <w:r>
              <w:rPr>
                <w:rFonts w:hint="eastAsia" w:asciiTheme="minorEastAsia" w:hAnsiTheme="minorEastAsia"/>
                <w:sz w:val="22"/>
              </w:rPr>
              <w:t>普通股前</w:t>
            </w:r>
            <w:r>
              <w:rPr>
                <w:rFonts w:asciiTheme="minorEastAsia" w:hAnsiTheme="minorEastAsia"/>
                <w:sz w:val="22"/>
              </w:rPr>
              <w:t>十名</w:t>
            </w:r>
            <w:r>
              <w:rPr>
                <w:rFonts w:hint="eastAsia"/>
                <w:color w:val="000000" w:themeColor="text1"/>
                <w:sz w:val="22"/>
                <w14:textFill>
                  <w14:solidFill>
                    <w14:schemeClr w14:val="tx1"/>
                  </w14:solidFill>
                </w14:textFill>
              </w:rPr>
              <w:t>股东间相互关系说明：</w:t>
            </w:r>
          </w:p>
        </w:tc>
      </w:tr>
    </w:tbl>
    <w:p>
      <w:pPr>
        <w:tabs>
          <w:tab w:val="left" w:pos="5140"/>
        </w:tabs>
        <w:ind w:left="-283" w:leftChars="-135"/>
        <w:outlineLvl w:val="1"/>
        <w:rPr>
          <w:rFonts w:ascii="微软雅黑" w:hAnsi="微软雅黑" w:eastAsia="微软雅黑" w:cs="Times New Roman"/>
          <w:b/>
          <w:color w:val="000000"/>
          <w:sz w:val="22"/>
          <w:szCs w:val="44"/>
        </w:rPr>
        <w:sectPr>
          <w:pgSz w:w="11906" w:h="16838"/>
          <w:pgMar w:top="1440" w:right="1800" w:bottom="1440" w:left="1800" w:header="851" w:footer="992" w:gutter="0"/>
          <w:pgNumType w:fmt="numberInDash"/>
          <w:cols w:space="425" w:num="1"/>
          <w:docGrid w:type="lines" w:linePitch="312" w:charSpace="0"/>
        </w:sectPr>
      </w:pPr>
    </w:p>
    <w:p>
      <w:pPr>
        <w:pStyle w:val="44"/>
        <w:ind w:firstLine="180" w:firstLineChars="50"/>
        <w:rPr>
          <w:rFonts w:ascii="黑体" w:hAnsi="黑体" w:eastAsia="黑体"/>
          <w:b w:val="0"/>
          <w:sz w:val="36"/>
          <w:szCs w:val="36"/>
        </w:rPr>
      </w:pPr>
      <w:bookmarkStart w:id="2" w:name="_Toc505095879"/>
      <w:r>
        <w:rPr>
          <w:rFonts w:hint="eastAsia" w:ascii="黑体" w:hAnsi="黑体" w:eastAsia="黑体"/>
          <w:b w:val="0"/>
          <w:sz w:val="36"/>
          <w:szCs w:val="36"/>
        </w:rPr>
        <w:t>第三节 重</w:t>
      </w:r>
      <w:bookmarkEnd w:id="2"/>
      <w:r>
        <w:rPr>
          <w:rFonts w:hint="eastAsia" w:ascii="黑体" w:hAnsi="黑体" w:eastAsia="黑体"/>
          <w:b w:val="0"/>
          <w:sz w:val="36"/>
          <w:szCs w:val="36"/>
        </w:rPr>
        <w:t>大事件</w:t>
      </w:r>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（一）重大事项的合规情况</w:t>
      </w:r>
    </w:p>
    <w:p>
      <w:pPr>
        <w:ind w:firstLine="315" w:firstLineChars="150"/>
      </w:pPr>
      <w:r>
        <w:rPr>
          <w:rFonts w:hint="eastAsia"/>
        </w:rPr>
        <w:t xml:space="preserve">□  适用  </w:t>
      </w:r>
      <w:r>
        <w:t xml:space="preserve">   </w:t>
      </w:r>
      <w:r>
        <w:rPr>
          <w:rFonts w:hint="eastAsia"/>
        </w:rPr>
        <w:t>□  不适用</w:t>
      </w:r>
      <w:r>
        <w:t xml:space="preserve"> </w:t>
      </w:r>
    </w:p>
    <w:tbl>
      <w:tblPr>
        <w:tblStyle w:val="46"/>
        <w:tblW w:w="9639"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928"/>
        <w:gridCol w:w="1312"/>
        <w:gridCol w:w="1665"/>
        <w:gridCol w:w="1367"/>
        <w:gridCol w:w="136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asciiTheme="minorEastAsia" w:hAnsiTheme="minorEastAsia"/>
                <w:b/>
                <w:color w:val="000000" w:themeColor="text1"/>
                <w:sz w:val="22"/>
                <w14:textFill>
                  <w14:solidFill>
                    <w14:schemeClr w14:val="tx1"/>
                  </w14:solidFill>
                </w14:textFill>
              </w:rPr>
              <w:t>事项</w:t>
            </w:r>
          </w:p>
        </w:tc>
        <w:tc>
          <w:tcPr>
            <w:tcW w:w="1312"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报告期内是否</w:t>
            </w:r>
            <w:r>
              <w:rPr>
                <w:rFonts w:asciiTheme="minorEastAsia" w:hAnsiTheme="minorEastAsia"/>
                <w:b/>
                <w:color w:val="000000" w:themeColor="text1"/>
                <w:sz w:val="22"/>
                <w14:textFill>
                  <w14:solidFill>
                    <w14:schemeClr w14:val="tx1"/>
                  </w14:solidFill>
                </w14:textFill>
              </w:rPr>
              <w:t>存在</w:t>
            </w:r>
          </w:p>
        </w:tc>
        <w:tc>
          <w:tcPr>
            <w:tcW w:w="1665"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是否经过</w:t>
            </w:r>
            <w:r>
              <w:rPr>
                <w:rFonts w:asciiTheme="minorEastAsia" w:hAnsiTheme="minorEastAsia"/>
                <w:b/>
                <w:color w:val="000000" w:themeColor="text1"/>
                <w:sz w:val="22"/>
                <w14:textFill>
                  <w14:solidFill>
                    <w14:schemeClr w14:val="tx1"/>
                  </w14:solidFill>
                </w14:textFill>
              </w:rPr>
              <w:t>内部审议程序</w:t>
            </w:r>
          </w:p>
        </w:tc>
        <w:tc>
          <w:tcPr>
            <w:tcW w:w="1367"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是否及时履行披露</w:t>
            </w:r>
            <w:r>
              <w:rPr>
                <w:rFonts w:asciiTheme="minorEastAsia" w:hAnsiTheme="minorEastAsia"/>
                <w:b/>
                <w:color w:val="000000" w:themeColor="text1"/>
                <w:sz w:val="22"/>
                <w14:textFill>
                  <w14:solidFill>
                    <w14:schemeClr w14:val="tx1"/>
                  </w14:solidFill>
                </w14:textFill>
              </w:rPr>
              <w:t>义务</w:t>
            </w:r>
          </w:p>
        </w:tc>
        <w:tc>
          <w:tcPr>
            <w:tcW w:w="1367"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临时</w:t>
            </w:r>
            <w:r>
              <w:rPr>
                <w:rFonts w:asciiTheme="minorEastAsia" w:hAnsiTheme="minorEastAsia"/>
                <w:b/>
                <w:color w:val="000000" w:themeColor="text1"/>
                <w:sz w:val="22"/>
                <w14:textFill>
                  <w14:solidFill>
                    <w14:schemeClr w14:val="tx1"/>
                  </w14:solidFill>
                </w14:textFill>
              </w:rPr>
              <w:t>公告</w:t>
            </w:r>
            <w:r>
              <w:rPr>
                <w:rFonts w:hint="eastAsia" w:asciiTheme="minorEastAsia" w:hAnsiTheme="minorEastAsia"/>
                <w:b/>
                <w:color w:val="000000" w:themeColor="text1"/>
                <w:sz w:val="22"/>
                <w14:textFill>
                  <w14:solidFill>
                    <w14:schemeClr w14:val="tx1"/>
                  </w14:solidFill>
                </w14:textFill>
              </w:rPr>
              <w:t>查询索引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诉讼、仲裁事项</w:t>
            </w:r>
          </w:p>
        </w:tc>
        <w:tc>
          <w:tcPr>
            <w:tcW w:w="1312"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（是/否）</w:t>
            </w:r>
          </w:p>
        </w:tc>
        <w:tc>
          <w:tcPr>
            <w:tcW w:w="1665"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（已事前</w:t>
            </w:r>
            <w:r>
              <w:rPr>
                <w:rFonts w:asciiTheme="minorEastAsia" w:hAnsiTheme="minorEastAsia"/>
                <w:color w:val="FF0000"/>
                <w:sz w:val="22"/>
              </w:rPr>
              <w:t>及时</w:t>
            </w:r>
            <w:r>
              <w:rPr>
                <w:rFonts w:hint="eastAsia" w:asciiTheme="minorEastAsia" w:hAnsiTheme="minorEastAsia"/>
                <w:color w:val="FF0000"/>
                <w:sz w:val="22"/>
              </w:rPr>
              <w:t>履行/已事后</w:t>
            </w:r>
            <w:r>
              <w:rPr>
                <w:rFonts w:asciiTheme="minorEastAsia" w:hAnsiTheme="minorEastAsia"/>
                <w:color w:val="FF0000"/>
                <w:sz w:val="22"/>
              </w:rPr>
              <w:t>补充</w:t>
            </w:r>
            <w:r>
              <w:rPr>
                <w:rFonts w:hint="eastAsia" w:asciiTheme="minorEastAsia" w:hAnsiTheme="minorEastAsia"/>
                <w:color w:val="FF0000"/>
                <w:sz w:val="22"/>
              </w:rPr>
              <w:t>履行/尚未履行/不适用）</w:t>
            </w:r>
          </w:p>
        </w:tc>
        <w:tc>
          <w:tcPr>
            <w:tcW w:w="1367"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（是/否/不适用）</w:t>
            </w: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提供</w:t>
            </w:r>
            <w:r>
              <w:rPr>
                <w:rFonts w:asciiTheme="minorEastAsia" w:hAnsiTheme="minorEastAsia"/>
                <w:color w:val="000000" w:themeColor="text1"/>
                <w:sz w:val="22"/>
                <w14:textFill>
                  <w14:solidFill>
                    <w14:schemeClr w14:val="tx1"/>
                  </w14:solidFill>
                </w14:textFill>
              </w:rPr>
              <w:t>担保事项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sz w:val="22"/>
              </w:rPr>
              <w:t>股东及其关联方占用或转移公司资金、资产</w:t>
            </w:r>
            <w:r>
              <w:rPr>
                <w:rFonts w:hint="eastAsia" w:asciiTheme="minorEastAsia" w:hAnsiTheme="minorEastAsia"/>
                <w:sz w:val="22"/>
              </w:rPr>
              <w:t>及其他</w:t>
            </w:r>
            <w:r>
              <w:rPr>
                <w:rFonts w:asciiTheme="minorEastAsia" w:hAnsiTheme="minorEastAsia"/>
                <w:sz w:val="22"/>
              </w:rPr>
              <w:t>资源</w:t>
            </w:r>
            <w:r>
              <w:rPr>
                <w:rFonts w:hint="eastAsia" w:asciiTheme="minorEastAsia" w:hAnsiTheme="minorEastAsia"/>
                <w:sz w:val="22"/>
              </w:rPr>
              <w:t>的</w:t>
            </w:r>
            <w:r>
              <w:rPr>
                <w:rFonts w:asciiTheme="minorEastAsia" w:hAnsiTheme="minorEastAsia"/>
                <w:sz w:val="22"/>
              </w:rPr>
              <w:t>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sz w:val="22"/>
              </w:rPr>
              <w:t>日常性关联交易</w:t>
            </w:r>
            <w:r>
              <w:rPr>
                <w:rFonts w:hint="eastAsia" w:asciiTheme="minorEastAsia" w:hAnsiTheme="minorEastAsia"/>
                <w:sz w:val="22"/>
              </w:rPr>
              <w:t>的预计</w:t>
            </w:r>
            <w:r>
              <w:rPr>
                <w:rFonts w:asciiTheme="minorEastAsia" w:hAnsiTheme="minorEastAsia"/>
                <w:sz w:val="22"/>
              </w:rPr>
              <w:t>及执行情况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sz w:val="22"/>
              </w:rPr>
            </w:pPr>
            <w:r>
              <w:rPr>
                <w:rFonts w:hint="eastAsia" w:asciiTheme="minorEastAsia" w:hAnsiTheme="minorEastAsia"/>
                <w:sz w:val="22"/>
              </w:rPr>
              <w:t>其他</w:t>
            </w:r>
            <w:r>
              <w:rPr>
                <w:rFonts w:asciiTheme="minorEastAsia" w:hAnsiTheme="minorEastAsia"/>
                <w:sz w:val="22"/>
              </w:rPr>
              <w:t>重大</w:t>
            </w:r>
            <w:r>
              <w:rPr>
                <w:rFonts w:hint="eastAsia" w:asciiTheme="minorEastAsia" w:hAnsiTheme="minorEastAsia"/>
                <w:sz w:val="22"/>
              </w:rPr>
              <w:t>关联交易事项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资产被查封、扣押、冻结或者被抵押、质押的情况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其他重大事项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bl>
    <w:p>
      <w:pPr>
        <w:tabs>
          <w:tab w:val="left" w:pos="5140"/>
        </w:tabs>
        <w:rPr>
          <w:rFonts w:cs="Times New Roman" w:asciiTheme="minorEastAsia" w:hAnsiTheme="minorEastAsia"/>
          <w:i/>
          <w:color w:val="FF0000"/>
          <w:szCs w:val="21"/>
        </w:rPr>
      </w:pPr>
      <w:r>
        <w:rPr>
          <w:rFonts w:hint="eastAsia" w:cs="Times New Roman" w:asciiTheme="minorEastAsia" w:hAnsiTheme="minorEastAsia"/>
          <w:i/>
          <w:color w:val="FF0000"/>
          <w:szCs w:val="21"/>
        </w:rPr>
        <w:t>注</w:t>
      </w:r>
      <w:r>
        <w:rPr>
          <w:rFonts w:cs="Times New Roman" w:asciiTheme="minorEastAsia" w:hAnsiTheme="minorEastAsia"/>
          <w:i/>
          <w:color w:val="FF0000"/>
          <w:szCs w:val="21"/>
        </w:rPr>
        <w:t>：</w:t>
      </w:r>
    </w:p>
    <w:p>
      <w:pPr>
        <w:tabs>
          <w:tab w:val="left" w:pos="5140"/>
        </w:tabs>
        <w:rPr>
          <w:rFonts w:asciiTheme="minorEastAsia" w:hAnsiTheme="minorEastAsia"/>
          <w:i/>
          <w:color w:val="FF0000"/>
          <w:szCs w:val="21"/>
        </w:rPr>
      </w:pPr>
      <w:r>
        <w:rPr>
          <w:rFonts w:asciiTheme="minorEastAsia" w:hAnsiTheme="minorEastAsia"/>
          <w:i/>
          <w:color w:val="FF0000"/>
          <w:szCs w:val="21"/>
        </w:rPr>
        <w:t>1</w:t>
      </w:r>
      <w:r>
        <w:rPr>
          <w:rFonts w:hint="eastAsia" w:asciiTheme="minorEastAsia" w:hAnsiTheme="minorEastAsia"/>
          <w:i/>
          <w:color w:val="FF0000"/>
          <w:szCs w:val="21"/>
        </w:rPr>
        <w:t>、如报告期内某一重大事项多次发生的，只要有一次未经内部审议程序的，相应表格中要填</w:t>
      </w:r>
      <w:r>
        <w:rPr>
          <w:rFonts w:asciiTheme="minorEastAsia" w:hAnsiTheme="minorEastAsia"/>
          <w:i/>
          <w:color w:val="FF0000"/>
          <w:szCs w:val="21"/>
        </w:rPr>
        <w:t>“</w:t>
      </w:r>
      <w:r>
        <w:rPr>
          <w:rFonts w:hint="eastAsia" w:asciiTheme="minorEastAsia" w:hAnsiTheme="minorEastAsia"/>
          <w:i/>
          <w:color w:val="FF0000"/>
          <w:sz w:val="22"/>
        </w:rPr>
        <w:t>已事后补充履行</w:t>
      </w:r>
      <w:r>
        <w:rPr>
          <w:rFonts w:asciiTheme="minorEastAsia" w:hAnsiTheme="minorEastAsia"/>
          <w:i/>
          <w:color w:val="FF0000"/>
          <w:szCs w:val="21"/>
        </w:rPr>
        <w:t>”</w:t>
      </w:r>
      <w:r>
        <w:rPr>
          <w:rFonts w:hint="eastAsia" w:asciiTheme="minorEastAsia" w:hAnsiTheme="minorEastAsia"/>
          <w:i/>
          <w:color w:val="FF0000"/>
          <w:szCs w:val="21"/>
        </w:rPr>
        <w:t>、</w:t>
      </w:r>
      <w:r>
        <w:rPr>
          <w:rFonts w:asciiTheme="minorEastAsia" w:hAnsiTheme="minorEastAsia"/>
          <w:i/>
          <w:color w:val="FF0000"/>
          <w:szCs w:val="21"/>
        </w:rPr>
        <w:t>“</w:t>
      </w:r>
      <w:r>
        <w:rPr>
          <w:rFonts w:hint="eastAsia" w:asciiTheme="minorEastAsia" w:hAnsiTheme="minorEastAsia"/>
          <w:i/>
          <w:color w:val="FF0000"/>
          <w:sz w:val="22"/>
        </w:rPr>
        <w:t>尚未履行</w:t>
      </w:r>
      <w:r>
        <w:rPr>
          <w:rFonts w:asciiTheme="minorEastAsia" w:hAnsiTheme="minorEastAsia"/>
          <w:i/>
          <w:color w:val="FF0000"/>
          <w:szCs w:val="21"/>
        </w:rPr>
        <w:t>”</w:t>
      </w:r>
      <w:r>
        <w:rPr>
          <w:rFonts w:hint="eastAsia" w:asciiTheme="minorEastAsia" w:hAnsiTheme="minorEastAsia"/>
          <w:i/>
          <w:color w:val="FF0000"/>
          <w:szCs w:val="21"/>
        </w:rPr>
        <w:t>；只要有一次未及时履行披露义务的，相应表格中要填</w:t>
      </w:r>
      <w:r>
        <w:rPr>
          <w:rFonts w:asciiTheme="minorEastAsia" w:hAnsiTheme="minorEastAsia"/>
          <w:i/>
          <w:color w:val="FF0000"/>
          <w:szCs w:val="21"/>
        </w:rPr>
        <w:t>“</w:t>
      </w:r>
      <w:r>
        <w:rPr>
          <w:rFonts w:hint="eastAsia" w:asciiTheme="minorEastAsia" w:hAnsiTheme="minorEastAsia"/>
          <w:i/>
          <w:color w:val="FF0000"/>
          <w:szCs w:val="21"/>
        </w:rPr>
        <w:t>否</w:t>
      </w:r>
      <w:r>
        <w:rPr>
          <w:rFonts w:asciiTheme="minorEastAsia" w:hAnsiTheme="minorEastAsia"/>
          <w:i/>
          <w:color w:val="FF0000"/>
          <w:szCs w:val="21"/>
        </w:rPr>
        <w:t>”</w:t>
      </w:r>
      <w:r>
        <w:rPr>
          <w:rFonts w:hint="eastAsia" w:asciiTheme="minorEastAsia" w:hAnsiTheme="minorEastAsia"/>
          <w:i/>
          <w:color w:val="FF0000"/>
          <w:szCs w:val="21"/>
        </w:rPr>
        <w:t>。具体违规事项在下面方框中作详细说明；</w:t>
      </w:r>
    </w:p>
    <w:p>
      <w:pPr>
        <w:tabs>
          <w:tab w:val="left" w:pos="5140"/>
        </w:tabs>
        <w:rPr>
          <w:rFonts w:asciiTheme="minorEastAsia" w:hAnsiTheme="minorEastAsia"/>
          <w:i/>
          <w:color w:val="FF0000"/>
          <w:szCs w:val="21"/>
        </w:rPr>
      </w:pPr>
      <w:r>
        <w:rPr>
          <w:rFonts w:hint="eastAsia" w:asciiTheme="minorEastAsia" w:hAnsiTheme="minorEastAsia"/>
          <w:i/>
          <w:color w:val="FF0000"/>
          <w:szCs w:val="21"/>
        </w:rPr>
        <w:t>2、重大事项包含报告期发生内或以前期间发生但延续到报告期的重大事项；</w:t>
      </w:r>
    </w:p>
    <w:p>
      <w:pPr>
        <w:tabs>
          <w:tab w:val="left" w:pos="5140"/>
        </w:tabs>
        <w:rPr>
          <w:rFonts w:cs="Times New Roman" w:asciiTheme="minorEastAsia" w:hAnsiTheme="minorEastAsia"/>
          <w:i/>
          <w:color w:val="FF0000"/>
          <w:szCs w:val="21"/>
        </w:rPr>
      </w:pPr>
      <w:r>
        <w:rPr>
          <w:rFonts w:cs="Times New Roman" w:asciiTheme="minorEastAsia" w:hAnsiTheme="minorEastAsia"/>
          <w:i/>
          <w:color w:val="FF0000"/>
          <w:szCs w:val="21"/>
        </w:rPr>
        <w:t>3</w:t>
      </w:r>
      <w:r>
        <w:rPr>
          <w:rFonts w:hint="eastAsia" w:cs="Times New Roman" w:asciiTheme="minorEastAsia" w:hAnsiTheme="minorEastAsia"/>
          <w:i/>
          <w:color w:val="FF0000"/>
          <w:szCs w:val="21"/>
        </w:rPr>
        <w:t>、挂牌公司发生的日常性关联交易包括购买原材料、燃料、动力，销售产品、商品，提供或者接受劳务，委托或者受托销售，存贷款业务等，不包括《公司治理规则》第八十条规定的交易事项；</w:t>
      </w:r>
    </w:p>
    <w:p>
      <w:pPr>
        <w:tabs>
          <w:tab w:val="left" w:pos="5140"/>
        </w:tabs>
        <w:rPr>
          <w:rFonts w:asciiTheme="minorEastAsia" w:hAnsiTheme="minorEastAsia"/>
          <w:i/>
          <w:color w:val="FF0000"/>
          <w:szCs w:val="44"/>
        </w:rPr>
      </w:pPr>
      <w:r>
        <w:rPr>
          <w:rFonts w:asciiTheme="minorEastAsia" w:hAnsiTheme="minorEastAsia"/>
          <w:i/>
          <w:color w:val="FF0000"/>
          <w:szCs w:val="21"/>
        </w:rPr>
        <w:t>4</w:t>
      </w:r>
      <w:r>
        <w:rPr>
          <w:rFonts w:hint="eastAsia" w:asciiTheme="minorEastAsia" w:hAnsiTheme="minorEastAsia"/>
          <w:i/>
          <w:color w:val="FF0000"/>
          <w:szCs w:val="21"/>
        </w:rPr>
        <w:t>、其他</w:t>
      </w:r>
      <w:r>
        <w:rPr>
          <w:rFonts w:asciiTheme="minorEastAsia" w:hAnsiTheme="minorEastAsia"/>
          <w:i/>
          <w:color w:val="FF0000"/>
          <w:szCs w:val="21"/>
        </w:rPr>
        <w:t>重大关联交易，</w:t>
      </w:r>
      <w:r>
        <w:rPr>
          <w:rFonts w:hint="eastAsia" w:asciiTheme="minorEastAsia" w:hAnsiTheme="minorEastAsia"/>
          <w:i/>
          <w:color w:val="FF0000"/>
          <w:szCs w:val="21"/>
        </w:rPr>
        <w:t>是指挂牌公司或者其控股子公司等其他主体与公司关联方发生《公司治理规则》第八十条规定的交易事项。</w:t>
      </w:r>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（二）重大事项详情、进展情况及其他重大事项</w:t>
      </w:r>
    </w:p>
    <w:p>
      <w:r>
        <w:rPr>
          <w:rFonts w:hint="eastAsia"/>
        </w:rPr>
        <w:t xml:space="preserve">□  适用  </w:t>
      </w:r>
      <w:r>
        <w:t xml:space="preserve">   </w:t>
      </w:r>
      <w:r>
        <w:rPr>
          <w:rFonts w:hint="eastAsia"/>
        </w:rPr>
        <w:t>□  不适用</w:t>
      </w:r>
      <w:r>
        <w:t xml:space="preserve"> </w:t>
      </w:r>
    </w:p>
    <w:tbl>
      <w:tblPr>
        <w:tblStyle w:val="47"/>
        <w:tblW w:w="963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7" w:hRule="atLeast"/>
        </w:trPr>
        <w:tc>
          <w:tcPr>
            <w:tcW w:w="9639" w:type="dxa"/>
          </w:tcPr>
          <w:p>
            <w:pPr>
              <w:rPr>
                <w:rFonts w:cs="Times New Roman" w:asciiTheme="minorEastAsia" w:hAnsiTheme="minorEastAsia"/>
                <w:i/>
                <w:color w:val="FF0000"/>
                <w:szCs w:val="21"/>
              </w:rPr>
            </w:pPr>
            <w:r>
              <w:rPr>
                <w:rFonts w:hint="eastAsia" w:cs="Times New Roman" w:asciiTheme="minorEastAsia" w:hAnsiTheme="minorEastAsia"/>
                <w:i/>
                <w:color w:val="FF0000"/>
                <w:szCs w:val="21"/>
              </w:rPr>
              <w:t>此处</w:t>
            </w:r>
            <w:r>
              <w:rPr>
                <w:rFonts w:cs="Times New Roman" w:asciiTheme="minorEastAsia" w:hAnsiTheme="minorEastAsia"/>
                <w:i/>
                <w:color w:val="FF0000"/>
                <w:szCs w:val="21"/>
              </w:rPr>
              <w:t>披露的内容包括：</w:t>
            </w:r>
          </w:p>
          <w:p>
            <w:pPr>
              <w:rPr>
                <w:rFonts w:cs="Times New Roman" w:asciiTheme="minorEastAsia" w:hAnsiTheme="minorEastAsia"/>
                <w:i/>
                <w:color w:val="FF0000"/>
                <w:szCs w:val="21"/>
              </w:rPr>
            </w:pPr>
            <w:r>
              <w:rPr>
                <w:rFonts w:hint="eastAsia" w:cs="Times New Roman" w:asciiTheme="minorEastAsia" w:hAnsiTheme="minorEastAsia"/>
                <w:i/>
                <w:color w:val="FF0000"/>
                <w:szCs w:val="21"/>
              </w:rPr>
              <w:t>（1）如果存在未经</w:t>
            </w:r>
            <w:r>
              <w:rPr>
                <w:rFonts w:cs="Times New Roman" w:asciiTheme="minorEastAsia" w:hAnsiTheme="minorEastAsia"/>
                <w:i/>
                <w:color w:val="FF0000"/>
                <w:szCs w:val="21"/>
              </w:rPr>
              <w:t>内部审议</w:t>
            </w:r>
            <w:r>
              <w:rPr>
                <w:rFonts w:hint="eastAsia" w:cs="Times New Roman" w:asciiTheme="minorEastAsia" w:hAnsiTheme="minorEastAsia"/>
                <w:i/>
                <w:color w:val="FF0000"/>
                <w:szCs w:val="21"/>
              </w:rPr>
              <w:t>程序</w:t>
            </w:r>
            <w:r>
              <w:rPr>
                <w:rFonts w:cs="Times New Roman" w:asciiTheme="minorEastAsia" w:hAnsiTheme="minorEastAsia"/>
                <w:i/>
                <w:color w:val="FF0000"/>
                <w:szCs w:val="21"/>
              </w:rPr>
              <w:t>审议或未及时履行披露</w:t>
            </w:r>
            <w:r>
              <w:rPr>
                <w:rFonts w:hint="eastAsia" w:cs="Times New Roman" w:asciiTheme="minorEastAsia" w:hAnsiTheme="minorEastAsia"/>
                <w:i/>
                <w:color w:val="FF0000"/>
                <w:szCs w:val="21"/>
              </w:rPr>
              <w:t>义务</w:t>
            </w:r>
            <w:r>
              <w:rPr>
                <w:rFonts w:cs="Times New Roman" w:asciiTheme="minorEastAsia" w:hAnsiTheme="minorEastAsia"/>
                <w:i/>
                <w:color w:val="FF0000"/>
                <w:szCs w:val="21"/>
              </w:rPr>
              <w:t>的</w:t>
            </w:r>
            <w:r>
              <w:rPr>
                <w:rFonts w:hint="eastAsia" w:cs="Times New Roman" w:asciiTheme="minorEastAsia" w:hAnsiTheme="minorEastAsia"/>
                <w:i/>
                <w:color w:val="FF0000"/>
                <w:szCs w:val="21"/>
              </w:rPr>
              <w:t>重大事项</w:t>
            </w:r>
            <w:r>
              <w:rPr>
                <w:rFonts w:cs="Times New Roman" w:asciiTheme="minorEastAsia" w:hAnsiTheme="minorEastAsia"/>
                <w:i/>
                <w:color w:val="FF0000"/>
                <w:szCs w:val="21"/>
              </w:rPr>
              <w:t>，需要</w:t>
            </w:r>
            <w:r>
              <w:rPr>
                <w:rFonts w:hint="eastAsia" w:cs="Times New Roman" w:asciiTheme="minorEastAsia" w:hAnsiTheme="minorEastAsia"/>
                <w:i/>
                <w:color w:val="FF0000"/>
                <w:szCs w:val="21"/>
              </w:rPr>
              <w:t>按</w:t>
            </w:r>
            <w:r>
              <w:rPr>
                <w:rFonts w:cs="Times New Roman" w:asciiTheme="minorEastAsia" w:hAnsiTheme="minorEastAsia"/>
                <w:i/>
                <w:color w:val="FF0000"/>
                <w:szCs w:val="21"/>
              </w:rPr>
              <w:t>重大事项的</w:t>
            </w:r>
            <w:r>
              <w:rPr>
                <w:rFonts w:hint="eastAsia" w:cs="Times New Roman" w:asciiTheme="minorEastAsia" w:hAnsiTheme="minorEastAsia"/>
                <w:i/>
                <w:color w:val="FF0000"/>
                <w:szCs w:val="21"/>
              </w:rPr>
              <w:t>不同性质</w:t>
            </w:r>
            <w:r>
              <w:rPr>
                <w:rFonts w:cs="Times New Roman" w:asciiTheme="minorEastAsia" w:hAnsiTheme="minorEastAsia"/>
                <w:i/>
                <w:color w:val="FF0000"/>
                <w:szCs w:val="21"/>
              </w:rPr>
              <w:t>分类</w:t>
            </w:r>
            <w:r>
              <w:rPr>
                <w:rFonts w:hint="eastAsia" w:cs="Times New Roman" w:asciiTheme="minorEastAsia" w:hAnsiTheme="minorEastAsia"/>
                <w:i/>
                <w:color w:val="FF0000"/>
                <w:szCs w:val="21"/>
              </w:rPr>
              <w:t>详细说明；</w:t>
            </w:r>
          </w:p>
          <w:p>
            <w:pPr>
              <w:rPr>
                <w:rFonts w:cs="Times New Roman" w:asciiTheme="minorEastAsia" w:hAnsiTheme="minorEastAsia"/>
                <w:i/>
                <w:color w:val="FF0000"/>
                <w:szCs w:val="21"/>
              </w:rPr>
            </w:pPr>
            <w:r>
              <w:rPr>
                <w:rFonts w:hint="eastAsia" w:cs="Times New Roman" w:asciiTheme="minorEastAsia" w:hAnsiTheme="minorEastAsia"/>
                <w:i/>
                <w:color w:val="FF0000"/>
                <w:szCs w:val="21"/>
              </w:rPr>
              <w:t>（2）若前述重大事项对本报告期或以后期间的公司财务状况和经营成果产生重大影响，对投资者投资决策产生重大影响，应当披露该重大事项进展情况，并说明其影响和解决方案。公司已在临时报告披露且无后续进展的，仅需披露该事项概述，并提供临时报告披露网站的查询索引；</w:t>
            </w:r>
          </w:p>
          <w:p>
            <w:pPr>
              <w:tabs>
                <w:tab w:val="left" w:pos="5140"/>
              </w:tabs>
              <w:rPr>
                <w:rFonts w:asciiTheme="minorEastAsia" w:hAnsiTheme="minorEastAsia"/>
                <w:i/>
                <w:color w:val="000000" w:themeColor="text1"/>
                <w:szCs w:val="44"/>
                <w14:textFill>
                  <w14:solidFill>
                    <w14:schemeClr w14:val="tx1"/>
                  </w14:solidFill>
                </w14:textFill>
              </w:rPr>
            </w:pPr>
            <w:r>
              <w:rPr>
                <w:rFonts w:cs="Times New Roman" w:asciiTheme="minorEastAsia" w:hAnsiTheme="minorEastAsia"/>
                <w:i/>
                <w:color w:val="FF0000"/>
                <w:szCs w:val="21"/>
              </w:rPr>
              <w:t>（3）</w:t>
            </w:r>
            <w:r>
              <w:rPr>
                <w:rFonts w:hint="eastAsia" w:asciiTheme="minorEastAsia" w:hAnsiTheme="minorEastAsia"/>
                <w:i/>
                <w:color w:val="FF0000"/>
                <w:szCs w:val="44"/>
              </w:rPr>
              <w:t>公司应当披露其他发生可能对挂牌公司股票或其他证券品种交易价格产生较大影响，或者对投资者作出投资决策有较大影响的重大事件，以及公司董事会判断为重大事件的事项。</w:t>
            </w:r>
          </w:p>
        </w:tc>
      </w:tr>
    </w:tbl>
    <w:p>
      <w:pPr>
        <w:tabs>
          <w:tab w:val="center" w:pos="4132"/>
        </w:tabs>
        <w:rPr>
          <w:b/>
        </w:rPr>
        <w:sectPr>
          <w:pgSz w:w="11906" w:h="16838"/>
          <w:pgMar w:top="1440" w:right="1841" w:bottom="1440" w:left="1800" w:header="851" w:footer="992" w:gutter="0"/>
          <w:cols w:space="425" w:num="1"/>
          <w:docGrid w:type="lines" w:linePitch="312" w:charSpace="0"/>
        </w:sectPr>
      </w:pPr>
    </w:p>
    <w:p>
      <w:pPr>
        <w:pStyle w:val="44"/>
        <w:rPr>
          <w:rFonts w:ascii="黑体" w:hAnsi="黑体" w:eastAsia="黑体"/>
          <w:b w:val="0"/>
          <w:sz w:val="36"/>
          <w:szCs w:val="36"/>
        </w:rPr>
      </w:pPr>
      <w:r>
        <w:rPr>
          <w:rFonts w:hint="eastAsia" w:ascii="黑体" w:hAnsi="黑体" w:eastAsia="黑体"/>
          <w:b w:val="0"/>
          <w:sz w:val="36"/>
          <w:szCs w:val="36"/>
        </w:rPr>
        <w:t>第四节 财务会计报告</w:t>
      </w:r>
    </w:p>
    <w:p>
      <w:pPr>
        <w:pStyle w:val="64"/>
        <w:tabs>
          <w:tab w:val="left" w:pos="5140"/>
        </w:tabs>
        <w:ind w:firstLine="0" w:firstLineChars="0"/>
        <w:outlineLvl w:val="1"/>
        <w:rPr>
          <w:rFonts w:ascii="微软雅黑" w:hAnsi="微软雅黑" w:eastAsia="微软雅黑"/>
          <w:b/>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（一）财务</w:t>
      </w:r>
      <w:r>
        <w:rPr>
          <w:rFonts w:ascii="微软雅黑" w:hAnsi="微软雅黑" w:eastAsia="微软雅黑"/>
          <w:b/>
          <w:color w:val="000000" w:themeColor="text1"/>
          <w:sz w:val="22"/>
          <w14:textFill>
            <w14:solidFill>
              <w14:schemeClr w14:val="tx1"/>
            </w14:solidFill>
          </w14:textFill>
        </w:rPr>
        <w:t>报告</w:t>
      </w:r>
      <w:r>
        <w:rPr>
          <w:rFonts w:hint="eastAsia" w:ascii="微软雅黑" w:hAnsi="微软雅黑" w:eastAsia="微软雅黑"/>
          <w:b/>
          <w:color w:val="000000" w:themeColor="text1"/>
          <w:sz w:val="22"/>
          <w14:textFill>
            <w14:solidFill>
              <w14:schemeClr w14:val="tx1"/>
            </w14:solidFill>
          </w14:textFill>
        </w:rPr>
        <w:t>的</w:t>
      </w:r>
      <w:r>
        <w:rPr>
          <w:rFonts w:ascii="微软雅黑" w:hAnsi="微软雅黑" w:eastAsia="微软雅黑"/>
          <w:b/>
          <w:color w:val="000000" w:themeColor="text1"/>
          <w:sz w:val="22"/>
          <w14:textFill>
            <w14:solidFill>
              <w14:schemeClr w14:val="tx1"/>
            </w14:solidFill>
          </w14:textFill>
        </w:rPr>
        <w:t>审计情况</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77"/>
        <w:gridCol w:w="666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是否审计</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（是/否）注：选择“否”，无需披露表格后续内容</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审计意见</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下拉</w:t>
            </w:r>
            <w:r>
              <w:rPr>
                <w:rFonts w:asciiTheme="minorEastAsia" w:hAnsiTheme="minorEastAsia"/>
                <w:color w:val="FF0000"/>
                <w:sz w:val="22"/>
              </w:rPr>
              <w:t>选项</w:t>
            </w:r>
            <w:r>
              <w:rPr>
                <w:rFonts w:hint="eastAsia" w:asciiTheme="minorEastAsia" w:hAnsiTheme="minorEastAsia"/>
                <w:color w:val="FF0000"/>
                <w:sz w:val="22"/>
              </w:rPr>
              <w:t>（</w:t>
            </w:r>
            <w:r>
              <w:rPr>
                <w:rFonts w:asciiTheme="minorEastAsia" w:hAnsiTheme="minorEastAsia"/>
                <w:color w:val="FF0000"/>
                <w:sz w:val="22"/>
              </w:rPr>
              <w:t>单选）:</w:t>
            </w:r>
            <w:r>
              <w:rPr>
                <w:rFonts w:hint="eastAsia" w:asciiTheme="minorEastAsia" w:hAnsiTheme="minorEastAsia"/>
                <w:color w:val="FF0000"/>
                <w:sz w:val="22"/>
              </w:rPr>
              <w:t>无保留意见，保留意见、否定意见、无法表示意见</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w:t>
            </w:r>
            <w:r>
              <w:rPr>
                <w:rFonts w:hint="eastAsia" w:asciiTheme="minorEastAsia" w:hAnsiTheme="minorEastAsia"/>
                <w:color w:val="000000" w:themeColor="text1"/>
                <w:sz w:val="22"/>
                <w14:textFill>
                  <w14:solidFill>
                    <w14:schemeClr w14:val="tx1"/>
                  </w14:solidFill>
                </w14:textFill>
              </w:rPr>
              <w:t>中的</w:t>
            </w:r>
            <w:r>
              <w:rPr>
                <w:rFonts w:asciiTheme="minorEastAsia" w:hAnsiTheme="minorEastAsia"/>
                <w:color w:val="000000" w:themeColor="text1"/>
                <w:sz w:val="22"/>
                <w14:textFill>
                  <w14:solidFill>
                    <w14:schemeClr w14:val="tx1"/>
                  </w14:solidFill>
                </w14:textFill>
              </w:rPr>
              <w:t>特别段落</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下拉</w:t>
            </w:r>
            <w:r>
              <w:rPr>
                <w:rFonts w:asciiTheme="minorEastAsia" w:hAnsiTheme="minorEastAsia"/>
                <w:color w:val="FF0000"/>
                <w:sz w:val="22"/>
              </w:rPr>
              <w:t>选项（多选）：</w:t>
            </w:r>
            <w:r>
              <w:rPr>
                <w:rFonts w:hint="eastAsia" w:asciiTheme="minorEastAsia" w:hAnsiTheme="minorEastAsia"/>
                <w:color w:val="FF0000"/>
                <w:sz w:val="22"/>
              </w:rPr>
              <w:t>无、强调</w:t>
            </w:r>
            <w:r>
              <w:rPr>
                <w:rFonts w:asciiTheme="minorEastAsia" w:hAnsiTheme="minorEastAsia"/>
                <w:color w:val="FF0000"/>
                <w:sz w:val="22"/>
              </w:rPr>
              <w:t>事项段、其他</w:t>
            </w:r>
            <w:r>
              <w:rPr>
                <w:rFonts w:hint="eastAsia" w:asciiTheme="minorEastAsia" w:hAnsiTheme="minorEastAsia"/>
                <w:color w:val="FF0000"/>
                <w:sz w:val="22"/>
              </w:rPr>
              <w:t>事项段</w:t>
            </w:r>
            <w:r>
              <w:rPr>
                <w:rFonts w:asciiTheme="minorEastAsia" w:hAnsiTheme="minorEastAsia"/>
                <w:color w:val="FF0000"/>
                <w:sz w:val="22"/>
              </w:rPr>
              <w:t>、持续经营重大不确定</w:t>
            </w:r>
            <w:r>
              <w:rPr>
                <w:rFonts w:hint="eastAsia" w:asciiTheme="minorEastAsia" w:hAnsiTheme="minorEastAsia"/>
                <w:color w:val="FF0000"/>
                <w:sz w:val="22"/>
              </w:rPr>
              <w:t>性</w:t>
            </w:r>
            <w:r>
              <w:rPr>
                <w:rFonts w:asciiTheme="minorEastAsia" w:hAnsiTheme="minorEastAsia"/>
                <w:color w:val="FF0000"/>
                <w:sz w:val="22"/>
              </w:rPr>
              <w:t>段落、其他信息段落中包含其他信息存在未更正重大错报说明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审计报告编号</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机构名称</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（请填写会计师事务所全称。填写示例：立信会计师事务所（特殊普通合伙）。</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机构地址</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报告日期</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注册会计师</w:t>
            </w:r>
            <w:r>
              <w:rPr>
                <w:rFonts w:asciiTheme="minorEastAsia" w:hAnsiTheme="minorEastAsia"/>
                <w:color w:val="000000" w:themeColor="text1"/>
                <w:sz w:val="22"/>
                <w14:textFill>
                  <w14:solidFill>
                    <w14:schemeClr w14:val="tx1"/>
                  </w14:solidFill>
                </w14:textFill>
              </w:rPr>
              <w:t>姓名</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会计师事务所是否变更</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（是/否）注：本次</w:t>
            </w:r>
            <w:r>
              <w:rPr>
                <w:rFonts w:asciiTheme="minorEastAsia" w:hAnsiTheme="minorEastAsia"/>
                <w:color w:val="FF0000"/>
                <w:sz w:val="22"/>
              </w:rPr>
              <w:t>与</w:t>
            </w:r>
            <w:r>
              <w:rPr>
                <w:rFonts w:hint="eastAsia" w:asciiTheme="minorEastAsia" w:hAnsiTheme="minorEastAsia"/>
                <w:color w:val="FF0000"/>
                <w:sz w:val="22"/>
              </w:rPr>
              <w:t>最近</w:t>
            </w:r>
            <w:r>
              <w:rPr>
                <w:rFonts w:asciiTheme="minorEastAsia" w:hAnsiTheme="minorEastAsia"/>
                <w:color w:val="FF0000"/>
                <w:sz w:val="22"/>
              </w:rPr>
              <w:t>一期</w:t>
            </w:r>
            <w:r>
              <w:rPr>
                <w:rFonts w:hint="eastAsia" w:asciiTheme="minorEastAsia" w:hAnsiTheme="minorEastAsia"/>
                <w:color w:val="FF0000"/>
                <w:sz w:val="22"/>
              </w:rPr>
              <w:t>披露</w:t>
            </w:r>
            <w:r>
              <w:rPr>
                <w:rFonts w:asciiTheme="minorEastAsia" w:hAnsiTheme="minorEastAsia"/>
                <w:color w:val="FF0000"/>
                <w:sz w:val="22"/>
              </w:rPr>
              <w:t>的</w:t>
            </w:r>
            <w:r>
              <w:rPr>
                <w:rFonts w:hint="eastAsia" w:asciiTheme="minorEastAsia" w:hAnsiTheme="minorEastAsia"/>
                <w:color w:val="FF0000"/>
                <w:sz w:val="22"/>
              </w:rPr>
              <w:t>经</w:t>
            </w:r>
            <w:r>
              <w:rPr>
                <w:rFonts w:asciiTheme="minorEastAsia" w:hAnsiTheme="minorEastAsia"/>
                <w:color w:val="FF0000"/>
                <w:sz w:val="22"/>
              </w:rPr>
              <w:t>审计定期报告的</w:t>
            </w:r>
            <w:r>
              <w:rPr>
                <w:rFonts w:hint="eastAsia" w:asciiTheme="minorEastAsia" w:hAnsiTheme="minorEastAsia"/>
                <w:color w:val="FF0000"/>
                <w:sz w:val="22"/>
              </w:rPr>
              <w:t>会计师事务所</w:t>
            </w:r>
            <w:r>
              <w:rPr>
                <w:rFonts w:asciiTheme="minorEastAsia" w:hAnsiTheme="minorEastAsia"/>
                <w:color w:val="FF0000"/>
                <w:sz w:val="22"/>
              </w:rPr>
              <w:t>是否发生变更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56" w:hRule="atLeast"/>
        </w:trPr>
        <w:tc>
          <w:tcPr>
            <w:tcW w:w="9639" w:type="dxa"/>
            <w:gridSpan w:val="2"/>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审计报告正文</w:t>
            </w:r>
            <w:r>
              <w:rPr>
                <w:rFonts w:asciiTheme="minorEastAsia" w:hAnsiTheme="minorEastAsia"/>
                <w:color w:val="000000" w:themeColor="text1"/>
                <w:sz w:val="22"/>
                <w14:textFill>
                  <w14:solidFill>
                    <w14:schemeClr w14:val="tx1"/>
                  </w14:solidFill>
                </w14:textFill>
              </w:rPr>
              <w:t>：</w:t>
            </w:r>
          </w:p>
          <w:p>
            <w:pPr>
              <w:tabs>
                <w:tab w:val="left" w:pos="5140"/>
              </w:tabs>
              <w:rPr>
                <w:rFonts w:asciiTheme="minorEastAsia" w:hAnsiTheme="minorEastAsia"/>
                <w:color w:val="000000" w:themeColor="text1"/>
                <w:sz w:val="22"/>
                <w14:textFill>
                  <w14:solidFill>
                    <w14:schemeClr w14:val="tx1"/>
                  </w14:solidFill>
                </w14:textFill>
              </w:rPr>
            </w:pPr>
            <w:r>
              <w:rPr>
                <w:rFonts w:hint="eastAsia"/>
                <w:color w:val="FF0000"/>
              </w:rPr>
              <w:t>注：若公司财务报告经注册会计师审计，请粘贴审计报告正文</w:t>
            </w:r>
          </w:p>
        </w:tc>
      </w:tr>
    </w:tbl>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（二）</w:t>
      </w:r>
      <w:r>
        <w:rPr>
          <w:rFonts w:ascii="宋体" w:hAnsi="宋体" w:eastAsia="宋体" w:cs="Times New Roman"/>
          <w:b/>
          <w:color w:val="000000"/>
          <w:szCs w:val="21"/>
        </w:rPr>
        <w:t>财务报表</w:t>
      </w: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一般公司：</w:t>
      </w:r>
    </w:p>
    <w:p>
      <w:pPr>
        <w:pStyle w:val="64"/>
        <w:widowControl/>
        <w:numPr>
          <w:ilvl w:val="0"/>
          <w:numId w:val="1"/>
        </w:numPr>
        <w:ind w:left="360" w:right="272" w:firstLineChars="0"/>
        <w:jc w:val="left"/>
        <w:outlineLvl w:val="2"/>
        <w:rPr>
          <w:sz w:val="22"/>
        </w:rPr>
      </w:pPr>
      <w:r>
        <w:rPr>
          <w:rFonts w:hint="eastAsia" w:ascii="宋体" w:hAnsi="宋体"/>
          <w:b/>
          <w:bCs/>
          <w:color w:val="000000"/>
          <w:szCs w:val="18"/>
        </w:rPr>
        <w:t>合并资产负债表</w:t>
      </w:r>
      <w:r>
        <w:rPr>
          <w:rFonts w:ascii="宋体" w:hAnsi="宋体"/>
          <w:b/>
          <w:bCs/>
          <w:color w:val="000000"/>
          <w:szCs w:val="18"/>
        </w:rPr>
        <w:t xml:space="preserve"> </w:t>
      </w:r>
      <w:r>
        <w:rPr>
          <w:rFonts w:hint="eastAsia"/>
          <w:sz w:val="22"/>
        </w:rPr>
        <w:t xml:space="preserve">                                            </w:t>
      </w:r>
    </w:p>
    <w:p>
      <w:pPr>
        <w:tabs>
          <w:tab w:val="left" w:pos="5140"/>
        </w:tabs>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Arial" w:hAnsi="Arial" w:eastAsia="黑体" w:cs="Times New Roman"/>
          <w:b/>
          <w:bCs/>
          <w:sz w:val="22"/>
          <w:lang w:val="zh-CN" w:eastAsia="zh-CN"/>
        </w:rPr>
        <w:t xml:space="preserve">                                        </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0"/>
        <w:gridCol w:w="3442"/>
        <w:gridCol w:w="344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31"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2023年9月30日</w:t>
            </w:r>
          </w:p>
        </w:tc>
        <w:tc>
          <w:tcPr>
            <w:tcW w:w="1730"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tcBorders>
              <w:bottom w:val="single" w:color="5B9BD5" w:sz="4" w:space="0"/>
            </w:tcBorders>
            <w:shd w:val="pct10" w:color="auto" w:fill="FFFFFF"/>
          </w:tcPr>
          <w:p>
            <w:pPr>
              <w:jc w:val="left"/>
              <w:rPr>
                <w:rFonts w:ascii="宋体" w:hAnsi="宋体" w:eastAsia="宋体" w:cs="Times New Roman"/>
                <w:b/>
                <w:sz w:val="18"/>
                <w:szCs w:val="18"/>
              </w:rPr>
            </w:pPr>
            <w:r>
              <w:rPr>
                <w:rFonts w:hint="eastAsia" w:ascii="宋体" w:hAnsi="宋体" w:eastAsia="宋体" w:cs="Times New Roman"/>
                <w:b/>
                <w:sz w:val="18"/>
                <w:szCs w:val="18"/>
              </w:rPr>
              <w:t>流动资产：</w:t>
            </w:r>
          </w:p>
        </w:tc>
        <w:tc>
          <w:tcPr>
            <w:tcW w:w="1731" w:type="pct"/>
            <w:shd w:val="pct10" w:color="auto" w:fill="FFFFFF"/>
          </w:tcPr>
          <w:p>
            <w:pPr>
              <w:jc w:val="center"/>
              <w:rPr>
                <w:rFonts w:ascii="宋体" w:hAnsi="宋体" w:eastAsia="宋体" w:cs="Times New Roman"/>
                <w:b/>
                <w:sz w:val="18"/>
                <w:szCs w:val="18"/>
              </w:rPr>
            </w:pPr>
          </w:p>
        </w:tc>
        <w:tc>
          <w:tcPr>
            <w:tcW w:w="1730" w:type="pct"/>
            <w:shd w:val="pct10" w:color="auto" w:fill="FFFFFF"/>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结算备付金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应收票据</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应收账款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ind w:firstLine="540" w:firstLineChars="300"/>
              <w:rPr>
                <w:rFonts w:ascii="宋体" w:hAnsi="宋体" w:eastAsia="宋体" w:cs="Times New Roman"/>
                <w:sz w:val="18"/>
                <w:szCs w:val="18"/>
              </w:rPr>
            </w:pPr>
            <w:r>
              <w:rPr>
                <w:rFonts w:hint="eastAsia" w:ascii="Calibri" w:hAnsi="Calibri" w:eastAsia="宋体" w:cs="Times New Roman"/>
                <w:sz w:val="18"/>
                <w:szCs w:val="18"/>
              </w:rPr>
              <w:t>应收股利</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jc w:val="left"/>
              <w:rPr>
                <w:rFonts w:ascii="宋体" w:hAnsi="宋体" w:eastAsia="宋体" w:cs="宋体"/>
                <w:b/>
                <w:sz w:val="18"/>
                <w:szCs w:val="18"/>
              </w:rPr>
            </w:pPr>
            <w:r>
              <w:rPr>
                <w:rFonts w:hint="eastAsia" w:ascii="宋体" w:hAnsi="宋体" w:eastAsia="宋体" w:cs="Times New Roman"/>
                <w:b/>
                <w:sz w:val="18"/>
                <w:szCs w:val="18"/>
              </w:rPr>
              <w:t>非流动资产：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发放贷款及垫款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其他非流动资产</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53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向中央银行借款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拆入资金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widowControl/>
              <w:jc w:val="left"/>
              <w:rPr>
                <w:rFonts w:ascii="Calibri" w:hAnsi="Calibri" w:eastAsia="宋体" w:cs="Times New Roman"/>
                <w:sz w:val="18"/>
                <w:szCs w:val="18"/>
              </w:rPr>
            </w:pPr>
            <w:r>
              <w:rPr>
                <w:rFonts w:hint="eastAsia" w:ascii="Calibri" w:hAnsi="Calibri" w:eastAsia="宋体" w:cs="Times New Roman"/>
                <w:sz w:val="18"/>
                <w:szCs w:val="18"/>
              </w:rPr>
              <w:t>应付票据</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应付账款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预收款项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吸收存款及同业存放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代理买卖</w:t>
            </w:r>
            <w:r>
              <w:rPr>
                <w:rFonts w:ascii="宋体" w:hAnsi="宋体" w:eastAsia="宋体" w:cs="Times New Roman"/>
                <w:sz w:val="18"/>
                <w:szCs w:val="18"/>
              </w:rPr>
              <w:t>证券款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代理承销</w:t>
            </w:r>
            <w:r>
              <w:rPr>
                <w:rFonts w:ascii="宋体" w:hAnsi="宋体" w:eastAsia="宋体" w:cs="Times New Roman"/>
                <w:sz w:val="18"/>
                <w:szCs w:val="18"/>
              </w:rPr>
              <w:t>证券款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其他应付款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其中：应付利息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widowControl/>
              <w:ind w:firstLine="540" w:firstLineChars="300"/>
              <w:jc w:val="left"/>
              <w:rPr>
                <w:rFonts w:ascii="宋体" w:hAnsi="宋体" w:eastAsia="宋体" w:cs="Times New Roman"/>
                <w:sz w:val="18"/>
                <w:szCs w:val="18"/>
              </w:rPr>
            </w:pPr>
            <w:r>
              <w:rPr>
                <w:rFonts w:hint="eastAsia" w:ascii="Calibri" w:hAnsi="Calibri" w:eastAsia="宋体" w:cs="Times New Roman"/>
                <w:sz w:val="18"/>
                <w:szCs w:val="18"/>
              </w:rPr>
              <w:t>应付股利</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应付手续费及佣金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保险合同准备金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 xml:space="preserve">      永续债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5" w:hRule="atLeast"/>
        </w:trPr>
        <w:tc>
          <w:tcPr>
            <w:tcW w:w="153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专项储备</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归属于母公司所有者权益合计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少数股东权益</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39"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所有者权益（或股东权益）合计</w:t>
            </w:r>
          </w:p>
        </w:tc>
        <w:tc>
          <w:tcPr>
            <w:tcW w:w="1731" w:type="pct"/>
            <w:shd w:val="pct10" w:color="auto" w:fill="auto"/>
          </w:tcPr>
          <w:p>
            <w:pPr>
              <w:widowControl/>
              <w:jc w:val="right"/>
              <w:rPr>
                <w:rFonts w:ascii="宋体" w:hAnsi="宋体" w:eastAsia="宋体" w:cs="宋体"/>
                <w:kern w:val="0"/>
                <w:sz w:val="18"/>
                <w:szCs w:val="18"/>
                <w:shd w:val="clear" w:color="auto" w:fill="D9D9D9"/>
              </w:rPr>
            </w:pPr>
          </w:p>
        </w:tc>
        <w:tc>
          <w:tcPr>
            <w:tcW w:w="1730" w:type="pct"/>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负债和所有者权益（或股东权益）总计</w:t>
            </w:r>
          </w:p>
        </w:tc>
        <w:tc>
          <w:tcPr>
            <w:tcW w:w="1731" w:type="pct"/>
            <w:shd w:val="pct10" w:color="auto" w:fill="auto"/>
          </w:tcPr>
          <w:p>
            <w:pPr>
              <w:widowControl/>
              <w:jc w:val="right"/>
              <w:rPr>
                <w:rFonts w:ascii="宋体" w:hAnsi="宋体" w:eastAsia="宋体" w:cs="宋体"/>
                <w:kern w:val="0"/>
                <w:sz w:val="18"/>
                <w:szCs w:val="18"/>
                <w:shd w:val="clear" w:color="auto" w:fill="D9D9D9"/>
              </w:rPr>
            </w:pPr>
          </w:p>
        </w:tc>
        <w:tc>
          <w:tcPr>
            <w:tcW w:w="1730" w:type="pct"/>
            <w:shd w:val="pct10" w:color="auto" w:fill="auto"/>
          </w:tcPr>
          <w:p>
            <w:pPr>
              <w:widowControl/>
              <w:jc w:val="right"/>
              <w:rPr>
                <w:rFonts w:ascii="宋体" w:hAnsi="宋体" w:eastAsia="宋体" w:cs="宋体"/>
                <w:kern w:val="0"/>
                <w:sz w:val="18"/>
                <w:szCs w:val="18"/>
                <w:shd w:val="clear" w:color="auto" w:fill="D9D9D9"/>
              </w:rPr>
            </w:pPr>
          </w:p>
        </w:tc>
      </w:tr>
    </w:tbl>
    <w:p>
      <w:pPr>
        <w:rPr>
          <w:rFonts w:ascii="Arial" w:hAnsi="Arial" w:eastAsia="黑体" w:cs="Times New Roman"/>
          <w:b/>
          <w:bCs/>
          <w:sz w:val="22"/>
          <w:lang w:val="zh-CN" w:eastAsia="zh-CN"/>
        </w:rPr>
      </w:pPr>
      <w:bookmarkStart w:id="3" w:name="_Toc241636376"/>
      <w:bookmarkStart w:id="4" w:name="_Toc247371780"/>
      <w:bookmarkStart w:id="5" w:name="_Toc247094005"/>
      <w:bookmarkStart w:id="6" w:name="_Toc369159466"/>
      <w:r>
        <w:rPr>
          <w:rFonts w:ascii="Calibri" w:hAnsi="Calibri" w:eastAsia="宋体" w:cs="Times New Roman"/>
          <w:sz w:val="18"/>
          <w:szCs w:val="18"/>
        </w:rPr>
        <w:t>法定代表人：_____________ 主管会计工作负责人：_____________ 会计机构负责人：_____________</w:t>
      </w:r>
      <w:bookmarkEnd w:id="3"/>
      <w:bookmarkEnd w:id="4"/>
      <w:bookmarkEnd w:id="5"/>
      <w:bookmarkEnd w:id="6"/>
    </w:p>
    <w:p>
      <w:pPr>
        <w:pStyle w:val="64"/>
        <w:widowControl/>
        <w:numPr>
          <w:ilvl w:val="0"/>
          <w:numId w:val="1"/>
        </w:numPr>
        <w:ind w:left="360" w:right="272" w:firstLineChars="0"/>
        <w:jc w:val="left"/>
        <w:outlineLvl w:val="2"/>
        <w:rPr>
          <w:rFonts w:ascii="宋体" w:hAnsi="宋体"/>
          <w:b/>
          <w:bCs/>
          <w:color w:val="000000"/>
          <w:szCs w:val="18"/>
        </w:rPr>
      </w:pPr>
      <w:bookmarkStart w:id="7" w:name="OLE_LINK3"/>
      <w:bookmarkStart w:id="8" w:name="OLE_LINK4"/>
      <w:r>
        <w:rPr>
          <w:rFonts w:hint="eastAsia" w:ascii="宋体" w:hAnsi="宋体"/>
          <w:b/>
          <w:bCs/>
          <w:color w:val="000000"/>
          <w:szCs w:val="18"/>
        </w:rPr>
        <w:t>母公司</w:t>
      </w:r>
      <w:r>
        <w:rPr>
          <w:rFonts w:ascii="宋体" w:hAnsi="宋体"/>
          <w:b/>
          <w:bCs/>
          <w:color w:val="000000"/>
          <w:szCs w:val="18"/>
        </w:rPr>
        <w:t>资产负债表</w:t>
      </w:r>
      <w:r>
        <w:rPr>
          <w:rFonts w:hint="eastAsia" w:ascii="宋体" w:hAnsi="宋体"/>
          <w:b/>
          <w:bCs/>
          <w:color w:val="000000"/>
          <w:szCs w:val="18"/>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bookmarkEnd w:id="7"/>
    <w:bookmarkEnd w:id="8"/>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1"/>
        <w:gridCol w:w="3449"/>
        <w:gridCol w:w="344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32"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2023年9月30日</w:t>
            </w:r>
          </w:p>
        </w:tc>
        <w:tc>
          <w:tcPr>
            <w:tcW w:w="1731"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应收票据</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应收账款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left="458" w:leftChars="218"/>
              <w:rPr>
                <w:rFonts w:ascii="宋体" w:hAnsi="宋体" w:eastAsia="宋体" w:cs="Times New Roman"/>
                <w:sz w:val="18"/>
                <w:szCs w:val="18"/>
              </w:rPr>
            </w:pPr>
            <w:r>
              <w:rPr>
                <w:rFonts w:hint="eastAsia" w:ascii="Calibri" w:hAnsi="Calibri" w:eastAsia="宋体" w:cs="Times New Roman"/>
                <w:sz w:val="18"/>
                <w:szCs w:val="18"/>
              </w:rPr>
              <w:t>应收股利</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买入返售</w:t>
            </w:r>
            <w:r>
              <w:rPr>
                <w:rFonts w:ascii="Calibri" w:hAnsi="Calibri" w:eastAsia="宋体" w:cs="Times New Roman"/>
                <w:sz w:val="18"/>
                <w:szCs w:val="18"/>
              </w:rPr>
              <w:t>金融资产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非流动资产：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732" w:type="pct"/>
            <w:shd w:val="clear" w:color="auto" w:fill="auto"/>
          </w:tcPr>
          <w:p>
            <w:pPr>
              <w:ind w:right="90"/>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其他非流动资产</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流动负债：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短期借款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应付票据</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应付账款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预收款项</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16" w:hRule="atLeast"/>
        </w:trPr>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应交税费</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其他应付款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其中：应付利息</w:t>
            </w:r>
          </w:p>
        </w:tc>
        <w:tc>
          <w:tcPr>
            <w:tcW w:w="1732" w:type="pct"/>
            <w:shd w:val="clear" w:color="auto" w:fill="auto"/>
          </w:tcPr>
          <w:p>
            <w:pPr>
              <w:jc w:val="center"/>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ind w:firstLine="540" w:firstLineChars="300"/>
              <w:rPr>
                <w:rFonts w:ascii="Calibri" w:hAnsi="Calibri" w:eastAsia="宋体" w:cs="Times New Roman"/>
                <w:sz w:val="18"/>
                <w:szCs w:val="18"/>
              </w:rPr>
            </w:pPr>
            <w:r>
              <w:rPr>
                <w:rFonts w:hint="eastAsia" w:ascii="Calibri" w:hAnsi="Calibri" w:eastAsia="宋体" w:cs="Times New Roman"/>
                <w:sz w:val="18"/>
                <w:szCs w:val="18"/>
              </w:rPr>
              <w:t>应付股利</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732" w:type="pct"/>
            <w:shd w:val="pct10" w:color="auto" w:fill="FFFFFF"/>
          </w:tcPr>
          <w:p>
            <w:pPr>
              <w:jc w:val="right"/>
              <w:rPr>
                <w:rFonts w:ascii="宋体" w:hAnsi="宋体" w:eastAsia="宋体" w:cs="Times New Roman"/>
                <w:b/>
                <w:sz w:val="18"/>
                <w:szCs w:val="18"/>
              </w:rPr>
            </w:pPr>
          </w:p>
        </w:tc>
        <w:tc>
          <w:tcPr>
            <w:tcW w:w="1731" w:type="pct"/>
            <w:shd w:val="pct10" w:color="auto" w:fill="FFFFFF"/>
          </w:tcPr>
          <w:p>
            <w:pPr>
              <w:jc w:val="right"/>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长期借款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应付债券</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预计负债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递延收益</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股本</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资本公积</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减：库存股</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专项储备</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盈余公积</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未分配利润</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所有者权益（或股东权益）合计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负债和所有者权益（或股东权益）总计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bl>
    <w:p>
      <w:pPr>
        <w:pStyle w:val="4"/>
        <w:rPr>
          <w:rFonts w:ascii="Arial" w:hAnsi="Arial" w:eastAsia="黑体"/>
          <w:sz w:val="22"/>
        </w:rPr>
      </w:pPr>
      <w:r>
        <w:rPr>
          <w:rFonts w:hint="eastAsia" w:ascii="Arial" w:hAnsi="Arial" w:eastAsia="黑体"/>
          <w:bCs w:val="0"/>
          <w:sz w:val="22"/>
        </w:rPr>
        <w:t>3</w:t>
      </w:r>
      <w:r>
        <w:rPr>
          <w:rFonts w:ascii="Arial" w:hAnsi="Arial" w:eastAsia="黑体"/>
          <w:bCs w:val="0"/>
          <w:sz w:val="22"/>
        </w:rPr>
        <w:t xml:space="preserve">. </w:t>
      </w:r>
      <w:r>
        <w:rPr>
          <w:rFonts w:hint="eastAsia" w:ascii="Arial" w:hAnsi="Arial" w:eastAsia="黑体"/>
          <w:sz w:val="22"/>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0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87"/>
        <w:gridCol w:w="2620"/>
        <w:gridCol w:w="34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323"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2023年1-9月</w:t>
            </w:r>
          </w:p>
        </w:tc>
        <w:tc>
          <w:tcPr>
            <w:tcW w:w="1765" w:type="pct"/>
            <w:shd w:val="pct10" w:color="auto" w:fill="FFFFFF"/>
          </w:tcPr>
          <w:p>
            <w:pPr>
              <w:tabs>
                <w:tab w:val="center" w:pos="629"/>
              </w:tabs>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其中：营业收入</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利息收入</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已赚保费</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手续费及佣金收入</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二、营业总成本</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其中：营业成本</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利息支出</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手续费及佣金支出</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退保金</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赔付支出净额</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提取保险责任准备金净额</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保单红利支出</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分保费用</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税金及附加</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销售费用</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管理费用</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研发费用</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财务费用</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1080" w:firstLineChars="600"/>
              <w:rPr>
                <w:rFonts w:ascii="宋体" w:hAnsi="宋体" w:eastAsia="宋体" w:cs="Times New Roman"/>
                <w:sz w:val="18"/>
                <w:szCs w:val="18"/>
              </w:rPr>
            </w:pPr>
            <w:r>
              <w:rPr>
                <w:rFonts w:hint="eastAsia" w:ascii="宋体" w:hAnsi="宋体" w:eastAsia="宋体" w:cs="Times New Roman"/>
                <w:sz w:val="18"/>
                <w:szCs w:val="18"/>
              </w:rPr>
              <w:t>利息收入</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投资收益（损失以“－”号填列）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其中：对联营企业和合营企业的投资收益</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900" w:firstLineChars="50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以摊余成本计量的金融资产终止确认收益（损失以“-”号填列）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270" w:firstLineChars="150"/>
              <w:rPr>
                <w:rFonts w:ascii="宋体" w:hAnsi="宋体" w:eastAsia="宋体" w:cs="宋体"/>
                <w:sz w:val="18"/>
                <w:szCs w:val="18"/>
              </w:rPr>
            </w:pPr>
            <w:r>
              <w:rPr>
                <w:rFonts w:hint="eastAsia" w:ascii="宋体" w:hAnsi="宋体" w:eastAsia="宋体" w:cs="Times New Roman"/>
                <w:sz w:val="18"/>
                <w:szCs w:val="18"/>
              </w:rPr>
              <w:t>汇兑收益（损失以“-”号填列）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信用减值损失（损失以“－”号填列）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资产减值损失（损失以“－”号填列）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1.少数股东损益（净亏损以“-”号填列）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2.归属于母公司所有者的净利润（净亏损以“-”号填列）</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（一）归属于母公司所有者的其他综合收益的税后净额</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不能重分类进损益的其他综合收益</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tcPr>
          <w:p>
            <w:pPr>
              <w:rPr>
                <w:rFonts w:ascii="Calibri" w:hAnsi="Calibri" w:eastAsia="宋体" w:cs="Times New Roman"/>
                <w:sz w:val="18"/>
                <w:szCs w:val="18"/>
              </w:rPr>
            </w:pPr>
            <w:r>
              <w:rPr>
                <w:rFonts w:hint="eastAsia" w:ascii="宋体" w:hAnsi="宋体" w:eastAsia="宋体" w:cs="Times New Roman"/>
                <w:color w:val="000000"/>
                <w:sz w:val="18"/>
                <w:szCs w:val="18"/>
              </w:rPr>
              <w:t>（5）其他</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）其他债权投资信用减值准备</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323"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（二）归属于少数股东的其他综合收益的税后净额 </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（一）归属于母公司所有者的综合收益总额</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（二）归属于少数股东的综合收益总额</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（一）基本每股收益（元/股）</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（二）稀释每股收益（元/股）</w:t>
            </w:r>
          </w:p>
        </w:tc>
        <w:tc>
          <w:tcPr>
            <w:tcW w:w="1323" w:type="pct"/>
            <w:shd w:val="clear" w:color="auto" w:fill="auto"/>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4"/>
        <w:numPr>
          <w:ilvl w:val="0"/>
          <w:numId w:val="2"/>
        </w:numPr>
        <w:rPr>
          <w:rFonts w:ascii="Arial" w:hAnsi="Arial" w:eastAsia="黑体"/>
          <w:sz w:val="22"/>
        </w:rPr>
      </w:pPr>
      <w:r>
        <w:rPr>
          <w:rFonts w:hint="eastAsia" w:ascii="Arial" w:hAnsi="Arial" w:eastAsia="黑体"/>
          <w:sz w:val="22"/>
        </w:rPr>
        <w:t>母公司利润表</w:t>
      </w:r>
    </w:p>
    <w:p>
      <w:pPr>
        <w:pStyle w:val="64"/>
        <w:ind w:left="360" w:right="105" w:firstLine="0" w:firstLineChars="0"/>
        <w:jc w:val="right"/>
      </w:pPr>
      <w:r>
        <w:rPr>
          <w:rFonts w:hint="eastAsia"/>
        </w:rPr>
        <w:t>单位</w:t>
      </w:r>
      <w:r>
        <w:t>：元</w:t>
      </w:r>
    </w:p>
    <w:tbl>
      <w:tblPr>
        <w:tblStyle w:val="46"/>
        <w:tblW w:w="580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87"/>
        <w:gridCol w:w="2620"/>
        <w:gridCol w:w="34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323"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1765" w:type="pct"/>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减：营业成本</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税金及附加</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销售费用</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管理费用</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研发费用</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财务费用</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tcPr>
          <w:p>
            <w:pPr>
              <w:ind w:left="884" w:leftChars="421"/>
              <w:rPr>
                <w:rFonts w:ascii="宋体" w:hAnsi="宋体" w:eastAsia="宋体" w:cs="Times New Roman"/>
                <w:sz w:val="18"/>
                <w:szCs w:val="18"/>
              </w:rPr>
            </w:pPr>
            <w:r>
              <w:rPr>
                <w:rFonts w:hint="eastAsia" w:ascii="宋体" w:hAnsi="宋体" w:eastAsia="宋体" w:cs="Times New Roman"/>
                <w:sz w:val="18"/>
                <w:szCs w:val="18"/>
              </w:rPr>
              <w:t>利息收入</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firstLine="810" w:firstLineChars="45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w:t>
            </w:r>
          </w:p>
          <w:p>
            <w:pPr>
              <w:rPr>
                <w:rFonts w:ascii="宋体" w:hAnsi="宋体" w:eastAsia="宋体" w:cs="Times New Roman"/>
                <w:sz w:val="18"/>
                <w:szCs w:val="18"/>
              </w:rPr>
            </w:pPr>
            <w:r>
              <w:rPr>
                <w:rFonts w:hint="eastAsia" w:ascii="宋体" w:hAnsi="宋体" w:eastAsia="宋体" w:cs="Times New Roman"/>
                <w:sz w:val="18"/>
                <w:szCs w:val="18"/>
              </w:rPr>
              <w:t>（损失以“-”号填列）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汇兑收益（损失以“-”号填列）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信用减值损失（损失以“-”号填列）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资产减值损失（损失以“-”号填列）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二、营业利润（亏损以“－”号填列）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加：营业外收入</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减：营业外支出</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三、利润总额（亏损总额以“－”号填列）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减：所得税费用</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四、净利润（净亏损以“－”号填列）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b/>
                <w:sz w:val="18"/>
                <w:szCs w:val="18"/>
              </w:rPr>
            </w:pPr>
            <w:r>
              <w:rPr>
                <w:rFonts w:ascii="宋体" w:hAnsi="宋体" w:eastAsia="宋体" w:cs="Times New Roman"/>
                <w:b/>
                <w:sz w:val="18"/>
                <w:szCs w:val="18"/>
              </w:rPr>
              <w:t>五</w:t>
            </w:r>
            <w:r>
              <w:rPr>
                <w:rFonts w:hint="eastAsia" w:ascii="宋体" w:hAnsi="宋体" w:eastAsia="宋体" w:cs="Times New Roman"/>
                <w:b/>
                <w:sz w:val="18"/>
                <w:szCs w:val="18"/>
              </w:rPr>
              <w:t>、其他综合收益的税后净额</w:t>
            </w:r>
            <w:r>
              <w:rPr>
                <w:rFonts w:ascii="宋体" w:hAnsi="宋体" w:eastAsia="宋体" w:cs="Times New Roman"/>
                <w:b/>
                <w:sz w:val="18"/>
                <w:szCs w:val="18"/>
              </w:rPr>
              <w:t xml:space="preserve"> </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（一）不能重分类进损益的其他综合收益</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hint="eastAsia" w:ascii="Calibri" w:hAnsi="Calibri" w:eastAsia="宋体" w:cs="Times New Roman"/>
              </w:rPr>
              <w:t xml:space="preserve"> </w:t>
            </w:r>
            <w:r>
              <w:rPr>
                <w:rFonts w:hint="eastAsia" w:ascii="宋体" w:hAnsi="宋体" w:eastAsia="宋体" w:cs="Times New Roman"/>
                <w:sz w:val="18"/>
                <w:szCs w:val="18"/>
              </w:rPr>
              <w:t>重新计量设定受益计划变动额</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hint="eastAsia" w:ascii="Calibri" w:hAnsi="Calibri" w:eastAsia="宋体" w:cs="Times New Roman"/>
                <w:sz w:val="18"/>
                <w:szCs w:val="18"/>
              </w:rPr>
              <w:t xml:space="preserve"> </w:t>
            </w:r>
            <w:r>
              <w:rPr>
                <w:rFonts w:hint="eastAsia" w:ascii="宋体" w:hAnsi="宋体" w:eastAsia="宋体" w:cs="Times New Roman"/>
                <w:sz w:val="18"/>
                <w:szCs w:val="18"/>
              </w:rPr>
              <w:t>权益法下不能转损益的其他综合收益</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tcPr>
          <w:p>
            <w:pPr>
              <w:rPr>
                <w:rFonts w:ascii="Calibri" w:hAnsi="Calibri" w:eastAsia="宋体" w:cs="Times New Roman"/>
                <w:sz w:val="18"/>
                <w:szCs w:val="18"/>
              </w:rPr>
            </w:pPr>
            <w:r>
              <w:rPr>
                <w:rFonts w:ascii="宋体" w:hAnsi="宋体" w:eastAsia="宋体" w:cs="Times New Roman"/>
                <w:color w:val="000000"/>
                <w:sz w:val="18"/>
                <w:szCs w:val="18"/>
              </w:rPr>
              <w:t>5</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 其他债权投资公允价值变动</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 金融资产重分类计入其他综合收益的金额</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 其他债权投资信用减值准备</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 xml:space="preserve"> </w:t>
            </w:r>
            <w:r>
              <w:rPr>
                <w:rFonts w:hint="eastAsia" w:ascii="宋体" w:hAnsi="宋体" w:eastAsia="宋体" w:cs="Times New Roman"/>
                <w:sz w:val="18"/>
                <w:szCs w:val="18"/>
              </w:rPr>
              <w:t>现金流量套期储备</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外币财务报表折算差额</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六、综合收益总额</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七、每股收益：</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（一）基本每股收益（元/股）</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（二）稀释每股收益（元/股）</w:t>
            </w:r>
          </w:p>
        </w:tc>
        <w:tc>
          <w:tcPr>
            <w:tcW w:w="132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bl>
    <w:p>
      <w:pPr>
        <w:pStyle w:val="4"/>
        <w:numPr>
          <w:ilvl w:val="0"/>
          <w:numId w:val="2"/>
        </w:numPr>
        <w:rPr>
          <w:rFonts w:ascii="Arial" w:hAnsi="Arial" w:eastAsia="黑体"/>
          <w:sz w:val="22"/>
        </w:rPr>
      </w:pPr>
      <w:r>
        <w:rPr>
          <w:rFonts w:hint="eastAsia" w:ascii="Arial" w:hAnsi="Arial" w:eastAsia="黑体"/>
          <w:sz w:val="22"/>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72"/>
        <w:gridCol w:w="2643"/>
        <w:gridCol w:w="26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32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2023年1-9月</w:t>
            </w:r>
          </w:p>
        </w:tc>
        <w:tc>
          <w:tcPr>
            <w:tcW w:w="132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客户存款和同业存放款项净增加额 </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向中央银行借款净增加额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向其他金融机构拆入资金净增加额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收到原保险合同保费取得的现金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收到再保险业务现金净额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保户储金及投资款净增加额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拆入资金净增加额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代理买卖证券收到的现金净额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收到的税费返还</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客户贷款及垫款净增加额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存放中央银行和同业款项净增加额 </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支付原保险合同赔付款项的现金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r>
              <w:rPr>
                <w:rFonts w:ascii="宋体" w:hAnsi="宋体" w:eastAsia="宋体" w:cs="Times New Roman"/>
                <w:sz w:val="18"/>
                <w:szCs w:val="18"/>
              </w:rPr>
              <w:t>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支付保单红利的现金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327" w:type="pct"/>
            <w:shd w:val="pct10" w:color="auto" w:fill="auto"/>
          </w:tcPr>
          <w:p>
            <w:pPr>
              <w:jc w:val="right"/>
              <w:rPr>
                <w:rFonts w:ascii="宋体" w:hAnsi="宋体" w:eastAsia="宋体" w:cs="宋体"/>
                <w:kern w:val="0"/>
                <w:sz w:val="18"/>
                <w:szCs w:val="18"/>
              </w:rPr>
            </w:pPr>
          </w:p>
        </w:tc>
        <w:tc>
          <w:tcPr>
            <w:tcW w:w="1327"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质押贷款净增加额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327" w:type="pct"/>
            <w:shd w:val="pct10" w:color="auto" w:fill="FFFFFF"/>
          </w:tcPr>
          <w:p>
            <w:pPr>
              <w:jc w:val="right"/>
              <w:rPr>
                <w:rFonts w:ascii="宋体" w:hAnsi="宋体" w:eastAsia="宋体" w:cs="宋体"/>
                <w:b/>
                <w:kern w:val="0"/>
                <w:sz w:val="18"/>
                <w:szCs w:val="18"/>
              </w:rPr>
            </w:pPr>
          </w:p>
        </w:tc>
        <w:tc>
          <w:tcPr>
            <w:tcW w:w="1327"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327" w:type="pct"/>
            <w:shd w:val="pct10" w:color="auto" w:fill="FFFFFF"/>
          </w:tcPr>
          <w:p>
            <w:pPr>
              <w:jc w:val="right"/>
              <w:rPr>
                <w:rFonts w:ascii="宋体" w:hAnsi="宋体" w:eastAsia="宋体" w:cs="宋体"/>
                <w:b/>
                <w:kern w:val="0"/>
                <w:sz w:val="18"/>
                <w:szCs w:val="18"/>
              </w:rPr>
            </w:pPr>
          </w:p>
        </w:tc>
        <w:tc>
          <w:tcPr>
            <w:tcW w:w="1327"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327" w:type="pct"/>
            <w:shd w:val="pct10" w:color="auto" w:fill="auto"/>
          </w:tcPr>
          <w:p>
            <w:pPr>
              <w:jc w:val="right"/>
              <w:rPr>
                <w:rFonts w:ascii="宋体" w:hAnsi="宋体" w:eastAsia="宋体" w:cs="宋体"/>
                <w:kern w:val="0"/>
                <w:sz w:val="18"/>
                <w:szCs w:val="18"/>
              </w:rPr>
            </w:pPr>
          </w:p>
        </w:tc>
        <w:tc>
          <w:tcPr>
            <w:tcW w:w="1327"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4"/>
        <w:numPr>
          <w:ilvl w:val="0"/>
          <w:numId w:val="2"/>
        </w:numPr>
        <w:rPr>
          <w:rFonts w:ascii="Arial" w:hAnsi="Arial" w:eastAsia="黑体"/>
          <w:sz w:val="22"/>
        </w:rPr>
      </w:pPr>
      <w:r>
        <w:rPr>
          <w:rFonts w:ascii="Arial" w:hAnsi="Arial" w:eastAsia="黑体"/>
          <w:sz w:val="22"/>
        </w:rPr>
        <w:t>母公司</w:t>
      </w:r>
      <w:r>
        <w:rPr>
          <w:rFonts w:hint="eastAsia" w:ascii="Arial" w:hAnsi="Arial" w:eastAsia="黑体"/>
          <w:sz w:val="22"/>
        </w:rPr>
        <w:t>现金</w:t>
      </w:r>
      <w:r>
        <w:rPr>
          <w:rFonts w:ascii="Arial" w:hAnsi="Arial" w:eastAsia="黑体"/>
          <w:sz w:val="22"/>
        </w:rPr>
        <w:t>流</w:t>
      </w:r>
      <w:r>
        <w:rPr>
          <w:rFonts w:hint="eastAsia" w:ascii="Arial" w:hAnsi="Arial" w:eastAsia="黑体"/>
          <w:sz w:val="22"/>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388"/>
        <w:gridCol w:w="2626"/>
        <w:gridCol w:w="262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362"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2023年1-9月</w:t>
            </w:r>
          </w:p>
        </w:tc>
        <w:tc>
          <w:tcPr>
            <w:tcW w:w="1362"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收到其他与经营活动有关的现金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经营活动现金流入小计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362" w:type="pct"/>
            <w:shd w:val="pct10" w:color="auto" w:fill="FFFFFF"/>
          </w:tcPr>
          <w:p>
            <w:pPr>
              <w:widowControl/>
              <w:jc w:val="center"/>
              <w:rPr>
                <w:rFonts w:ascii="宋体" w:hAnsi="宋体" w:eastAsia="宋体" w:cs="宋体"/>
                <w:b/>
                <w:kern w:val="0"/>
                <w:sz w:val="18"/>
                <w:szCs w:val="21"/>
              </w:rPr>
            </w:pPr>
          </w:p>
        </w:tc>
        <w:tc>
          <w:tcPr>
            <w:tcW w:w="1362"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362" w:type="pct"/>
            <w:shd w:val="pct10" w:color="auto" w:fill="FFFFFF"/>
          </w:tcPr>
          <w:p>
            <w:pPr>
              <w:widowControl/>
              <w:jc w:val="center"/>
              <w:rPr>
                <w:rFonts w:ascii="宋体" w:hAnsi="宋体" w:eastAsia="宋体" w:cs="宋体"/>
                <w:b/>
                <w:kern w:val="0"/>
                <w:sz w:val="18"/>
                <w:szCs w:val="21"/>
              </w:rPr>
            </w:pPr>
          </w:p>
        </w:tc>
        <w:tc>
          <w:tcPr>
            <w:tcW w:w="1362"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处置子公司及其他营业单位收到的现金净额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取得子公司及其他营业单位支付的现金净额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bl>
    <w:p>
      <w:pPr>
        <w:rPr>
          <w:rFonts w:ascii="Calibri" w:hAnsi="Calibri" w:eastAsia="宋体" w:cs="Times New Roman"/>
          <w:color w:val="000000"/>
          <w:sz w:val="18"/>
          <w:szCs w:val="18"/>
        </w:rPr>
      </w:pPr>
    </w:p>
    <w:p>
      <w:pPr>
        <w:rPr>
          <w:color w:val="000000" w:themeColor="text1"/>
          <w:sz w:val="28"/>
          <w:szCs w:val="28"/>
          <w14:textFill>
            <w14:solidFill>
              <w14:schemeClr w14:val="tx1"/>
            </w14:solidFill>
          </w14:textFill>
        </w:rPr>
        <w:sectPr>
          <w:footerReference r:id="rId5" w:type="default"/>
          <w:footerReference r:id="rId6" w:type="even"/>
          <w:pgSz w:w="11907" w:h="16839"/>
          <w:pgMar w:top="1440" w:right="1797" w:bottom="1440" w:left="1797" w:header="851" w:footer="992" w:gutter="0"/>
          <w:pgNumType w:fmt="numberInDash"/>
          <w:cols w:space="425" w:num="1"/>
          <w:docGrid w:type="lines" w:linePitch="312" w:charSpace="0"/>
        </w:sectPr>
      </w:pP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私募机构：</w:t>
      </w:r>
    </w:p>
    <w:p>
      <w:pPr>
        <w:pStyle w:val="64"/>
        <w:widowControl/>
        <w:numPr>
          <w:ilvl w:val="0"/>
          <w:numId w:val="3"/>
        </w:numPr>
        <w:ind w:right="272" w:firstLineChars="0"/>
        <w:jc w:val="left"/>
        <w:outlineLvl w:val="2"/>
        <w:rPr>
          <w:sz w:val="22"/>
        </w:rPr>
      </w:pPr>
      <w:r>
        <w:rPr>
          <w:rFonts w:hint="eastAsia" w:ascii="宋体" w:hAnsi="宋体"/>
          <w:b/>
          <w:bCs/>
          <w:color w:val="000000"/>
          <w:szCs w:val="18"/>
        </w:rPr>
        <w:t>合并资产负债表</w:t>
      </w:r>
      <w:r>
        <w:rPr>
          <w:rFonts w:ascii="宋体" w:hAnsi="宋体"/>
          <w:b/>
          <w:bCs/>
          <w:color w:val="000000"/>
          <w:szCs w:val="18"/>
        </w:rPr>
        <w:t xml:space="preserve"> </w:t>
      </w:r>
      <w:r>
        <w:rPr>
          <w:rFonts w:hint="eastAsia" w:ascii="宋体" w:hAnsi="宋体"/>
          <w:b/>
          <w:bCs/>
          <w:color w:val="000000"/>
          <w:szCs w:val="18"/>
        </w:rPr>
        <w:t xml:space="preserve">    </w:t>
      </w:r>
      <w:r>
        <w:rPr>
          <w:rFonts w:hint="eastAsia"/>
          <w:sz w:val="22"/>
        </w:rPr>
        <w:t xml:space="preserve">                                        </w:t>
      </w:r>
    </w:p>
    <w:p>
      <w:pPr>
        <w:tabs>
          <w:tab w:val="left" w:pos="5140"/>
        </w:tabs>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Arial" w:hAnsi="Arial" w:eastAsia="黑体" w:cs="Times New Roman"/>
          <w:b/>
          <w:bCs/>
          <w:sz w:val="22"/>
          <w:lang w:val="zh-CN"/>
        </w:rPr>
        <w:t xml:space="preserve">                                        </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48"/>
        <w:gridCol w:w="3377"/>
        <w:gridCol w:w="337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05"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2023年9月30日</w:t>
            </w:r>
          </w:p>
        </w:tc>
        <w:tc>
          <w:tcPr>
            <w:tcW w:w="1705"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结算备付金</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90"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应收票据</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应收账款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90"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tcPr>
          <w:p>
            <w:pPr>
              <w:ind w:firstLine="540" w:firstLineChars="300"/>
              <w:rPr>
                <w:rFonts w:ascii="宋体" w:hAnsi="宋体" w:eastAsia="宋体" w:cs="Times New Roman"/>
                <w:sz w:val="18"/>
                <w:szCs w:val="18"/>
              </w:rPr>
            </w:pPr>
            <w:r>
              <w:rPr>
                <w:rFonts w:hint="eastAsia" w:ascii="Calibri" w:hAnsi="Calibri" w:eastAsia="宋体" w:cs="Times New Roman"/>
                <w:sz w:val="18"/>
                <w:szCs w:val="18"/>
              </w:rPr>
              <w:t>应收股利</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70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0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90"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705" w:type="pct"/>
            <w:shd w:val="pct10" w:color="auto" w:fill="auto"/>
          </w:tcPr>
          <w:p>
            <w:pPr>
              <w:widowControl/>
              <w:jc w:val="right"/>
              <w:rPr>
                <w:rFonts w:ascii="宋体" w:hAnsi="宋体" w:eastAsia="宋体" w:cs="宋体"/>
                <w:kern w:val="0"/>
                <w:sz w:val="18"/>
                <w:szCs w:val="18"/>
              </w:rPr>
            </w:pPr>
          </w:p>
        </w:tc>
        <w:tc>
          <w:tcPr>
            <w:tcW w:w="1705"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jc w:val="left"/>
              <w:rPr>
                <w:rFonts w:ascii="宋体" w:hAnsi="宋体" w:eastAsia="宋体" w:cs="宋体"/>
                <w:b/>
                <w:sz w:val="18"/>
                <w:szCs w:val="18"/>
              </w:rPr>
            </w:pPr>
            <w:r>
              <w:rPr>
                <w:rFonts w:hint="eastAsia" w:ascii="宋体" w:hAnsi="宋体" w:eastAsia="宋体" w:cs="Times New Roman"/>
                <w:b/>
                <w:sz w:val="18"/>
                <w:szCs w:val="18"/>
              </w:rPr>
              <w:t>非流动资产：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发放贷款及垫款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9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其他非流动资产</w:t>
            </w:r>
          </w:p>
        </w:tc>
        <w:tc>
          <w:tcPr>
            <w:tcW w:w="170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0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705" w:type="pct"/>
            <w:shd w:val="pct10" w:color="auto" w:fill="auto"/>
          </w:tcPr>
          <w:p>
            <w:pPr>
              <w:widowControl/>
              <w:jc w:val="right"/>
              <w:rPr>
                <w:rFonts w:ascii="宋体" w:hAnsi="宋体" w:eastAsia="宋体" w:cs="宋体"/>
                <w:kern w:val="0"/>
                <w:sz w:val="18"/>
                <w:szCs w:val="18"/>
              </w:rPr>
            </w:pPr>
          </w:p>
        </w:tc>
        <w:tc>
          <w:tcPr>
            <w:tcW w:w="1705"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705" w:type="pct"/>
            <w:shd w:val="pct10" w:color="auto" w:fill="auto"/>
          </w:tcPr>
          <w:p>
            <w:pPr>
              <w:widowControl/>
              <w:jc w:val="right"/>
              <w:rPr>
                <w:rFonts w:ascii="宋体" w:hAnsi="宋体" w:eastAsia="宋体" w:cs="宋体"/>
                <w:kern w:val="0"/>
                <w:sz w:val="18"/>
                <w:szCs w:val="18"/>
              </w:rPr>
            </w:pPr>
          </w:p>
        </w:tc>
        <w:tc>
          <w:tcPr>
            <w:tcW w:w="1705"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59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流动负债：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向中央银行借款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拆入资金</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tcPr>
          <w:p>
            <w:pPr>
              <w:widowControl/>
              <w:jc w:val="left"/>
              <w:rPr>
                <w:rFonts w:ascii="Calibri" w:hAnsi="Calibri" w:eastAsia="宋体" w:cs="Times New Roman"/>
                <w:sz w:val="18"/>
                <w:szCs w:val="18"/>
              </w:rPr>
            </w:pPr>
            <w:r>
              <w:rPr>
                <w:rFonts w:hint="eastAsia" w:ascii="Calibri" w:hAnsi="Calibri" w:eastAsia="宋体" w:cs="Times New Roman"/>
                <w:sz w:val="18"/>
                <w:szCs w:val="18"/>
              </w:rPr>
              <w:t>应付票据</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应付账款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预收款项</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合同负债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吸收存款及同业存放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代理买卖</w:t>
            </w:r>
            <w:r>
              <w:rPr>
                <w:rFonts w:ascii="宋体" w:hAnsi="宋体" w:eastAsia="宋体" w:cs="Times New Roman"/>
                <w:sz w:val="18"/>
                <w:szCs w:val="18"/>
              </w:rPr>
              <w:t>证券款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代理承销</w:t>
            </w:r>
            <w:r>
              <w:rPr>
                <w:rFonts w:ascii="宋体" w:hAnsi="宋体" w:eastAsia="宋体" w:cs="Times New Roman"/>
                <w:sz w:val="18"/>
                <w:szCs w:val="18"/>
              </w:rPr>
              <w:t>证券款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其他应付款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其中：应付利息</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tcPr>
          <w:p>
            <w:pPr>
              <w:widowControl/>
              <w:ind w:firstLine="540" w:firstLineChars="300"/>
              <w:jc w:val="left"/>
              <w:rPr>
                <w:rFonts w:ascii="宋体" w:hAnsi="宋体" w:eastAsia="宋体" w:cs="Times New Roman"/>
                <w:sz w:val="18"/>
                <w:szCs w:val="18"/>
              </w:rPr>
            </w:pPr>
            <w:r>
              <w:rPr>
                <w:rFonts w:hint="eastAsia" w:ascii="Calibri" w:hAnsi="Calibri" w:eastAsia="宋体" w:cs="Times New Roman"/>
                <w:sz w:val="18"/>
                <w:szCs w:val="18"/>
              </w:rPr>
              <w:t>应付股利</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应付手续费及佣金</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70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0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705" w:type="pct"/>
            <w:shd w:val="pct10" w:color="auto" w:fill="auto"/>
          </w:tcPr>
          <w:p>
            <w:pPr>
              <w:widowControl/>
              <w:jc w:val="right"/>
              <w:rPr>
                <w:rFonts w:ascii="宋体" w:hAnsi="宋体" w:eastAsia="宋体" w:cs="宋体"/>
                <w:kern w:val="0"/>
                <w:sz w:val="18"/>
                <w:szCs w:val="18"/>
              </w:rPr>
            </w:pPr>
          </w:p>
        </w:tc>
        <w:tc>
          <w:tcPr>
            <w:tcW w:w="1705"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保险合同准备金</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 xml:space="preserve">      永续债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长期应付款</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预计负债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70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0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5" w:hRule="atLeast"/>
        </w:trPr>
        <w:tc>
          <w:tcPr>
            <w:tcW w:w="1590"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705" w:type="pct"/>
            <w:shd w:val="pct10" w:color="auto" w:fill="auto"/>
          </w:tcPr>
          <w:p>
            <w:pPr>
              <w:widowControl/>
              <w:jc w:val="right"/>
              <w:rPr>
                <w:rFonts w:ascii="宋体" w:hAnsi="宋体" w:eastAsia="宋体" w:cs="宋体"/>
                <w:kern w:val="0"/>
                <w:sz w:val="18"/>
                <w:szCs w:val="18"/>
              </w:rPr>
            </w:pPr>
          </w:p>
        </w:tc>
        <w:tc>
          <w:tcPr>
            <w:tcW w:w="1705"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705" w:type="pct"/>
            <w:shd w:val="pct10" w:color="auto" w:fill="auto"/>
          </w:tcPr>
          <w:p>
            <w:pPr>
              <w:widowControl/>
              <w:jc w:val="right"/>
              <w:rPr>
                <w:rFonts w:ascii="宋体" w:hAnsi="宋体" w:eastAsia="宋体" w:cs="宋体"/>
                <w:kern w:val="0"/>
                <w:sz w:val="18"/>
                <w:szCs w:val="18"/>
              </w:rPr>
            </w:pPr>
          </w:p>
        </w:tc>
        <w:tc>
          <w:tcPr>
            <w:tcW w:w="1705"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90"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专项储备</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归属于母公司所有者权益合计</w:t>
            </w:r>
          </w:p>
        </w:tc>
        <w:tc>
          <w:tcPr>
            <w:tcW w:w="1705" w:type="pct"/>
            <w:shd w:val="clear" w:color="auto" w:fill="auto"/>
          </w:tcPr>
          <w:p>
            <w:pPr>
              <w:widowControl/>
              <w:jc w:val="right"/>
              <w:rPr>
                <w:rFonts w:ascii="宋体" w:hAnsi="宋体" w:eastAsia="宋体" w:cs="宋体"/>
                <w:kern w:val="0"/>
                <w:sz w:val="18"/>
                <w:szCs w:val="18"/>
              </w:rPr>
            </w:pPr>
          </w:p>
        </w:tc>
        <w:tc>
          <w:tcPr>
            <w:tcW w:w="170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少数股东权益</w:t>
            </w:r>
          </w:p>
        </w:tc>
        <w:tc>
          <w:tcPr>
            <w:tcW w:w="170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0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90"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所有者权益（或股东权益）合计</w:t>
            </w:r>
          </w:p>
        </w:tc>
        <w:tc>
          <w:tcPr>
            <w:tcW w:w="1705" w:type="pct"/>
            <w:shd w:val="pct10" w:color="auto" w:fill="auto"/>
          </w:tcPr>
          <w:p>
            <w:pPr>
              <w:widowControl/>
              <w:jc w:val="right"/>
              <w:rPr>
                <w:rFonts w:ascii="宋体" w:hAnsi="宋体" w:eastAsia="宋体" w:cs="宋体"/>
                <w:kern w:val="0"/>
                <w:sz w:val="18"/>
                <w:szCs w:val="18"/>
                <w:shd w:val="clear" w:color="auto" w:fill="D9D9D9"/>
              </w:rPr>
            </w:pPr>
          </w:p>
        </w:tc>
        <w:tc>
          <w:tcPr>
            <w:tcW w:w="1705" w:type="pct"/>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90"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负债和所有者权益（或股东权益）总计</w:t>
            </w:r>
          </w:p>
        </w:tc>
        <w:tc>
          <w:tcPr>
            <w:tcW w:w="1705" w:type="pct"/>
            <w:shd w:val="pct10" w:color="auto" w:fill="auto"/>
          </w:tcPr>
          <w:p>
            <w:pPr>
              <w:widowControl/>
              <w:jc w:val="right"/>
              <w:rPr>
                <w:rFonts w:ascii="宋体" w:hAnsi="宋体" w:eastAsia="宋体" w:cs="宋体"/>
                <w:kern w:val="0"/>
                <w:sz w:val="18"/>
                <w:szCs w:val="18"/>
                <w:shd w:val="clear" w:color="auto" w:fill="D9D9D9"/>
              </w:rPr>
            </w:pPr>
          </w:p>
        </w:tc>
        <w:tc>
          <w:tcPr>
            <w:tcW w:w="1705" w:type="pct"/>
            <w:shd w:val="pct10" w:color="auto" w:fill="auto"/>
          </w:tcPr>
          <w:p>
            <w:pPr>
              <w:widowControl/>
              <w:jc w:val="right"/>
              <w:rPr>
                <w:rFonts w:ascii="宋体" w:hAnsi="宋体" w:eastAsia="宋体" w:cs="宋体"/>
                <w:kern w:val="0"/>
                <w:sz w:val="18"/>
                <w:szCs w:val="18"/>
                <w:shd w:val="clear" w:color="auto" w:fill="D9D9D9"/>
              </w:rPr>
            </w:pPr>
          </w:p>
        </w:tc>
      </w:tr>
    </w:tbl>
    <w:p>
      <w:pPr>
        <w:rPr>
          <w:rFonts w:ascii="Arial" w:hAnsi="Arial" w:eastAsia="黑体" w:cs="Times New Roman"/>
          <w:b/>
          <w:bCs/>
          <w:sz w:val="22"/>
          <w:lang w:val="zh-CN"/>
        </w:rPr>
      </w:pPr>
      <w:r>
        <w:rPr>
          <w:rFonts w:ascii="Calibri" w:hAnsi="Calibri" w:eastAsia="宋体" w:cs="Times New Roman"/>
          <w:sz w:val="18"/>
          <w:szCs w:val="18"/>
        </w:rPr>
        <w:t>法定代表人：_____________ 主管会计工作负责人：_____________ 会计机构负责人：_____________</w:t>
      </w:r>
    </w:p>
    <w:p>
      <w:pPr>
        <w:pStyle w:val="4"/>
        <w:numPr>
          <w:ilvl w:val="0"/>
          <w:numId w:val="3"/>
        </w:numPr>
        <w:rPr>
          <w:rFonts w:ascii="Arial" w:hAnsi="Arial" w:eastAsia="黑体"/>
          <w:sz w:val="22"/>
        </w:rPr>
      </w:pPr>
      <w:r>
        <w:rPr>
          <w:rFonts w:hint="eastAsia" w:ascii="Arial" w:hAnsi="Arial" w:eastAsia="黑体"/>
          <w:sz w:val="22"/>
        </w:rPr>
        <w:t>母公司</w:t>
      </w:r>
      <w:r>
        <w:rPr>
          <w:rFonts w:ascii="Arial" w:hAnsi="Arial" w:eastAsia="黑体"/>
          <w:sz w:val="22"/>
        </w:rPr>
        <w:t>资产负债表</w:t>
      </w:r>
      <w:r>
        <w:rPr>
          <w:rFonts w:hint="eastAsia" w:ascii="Arial" w:hAnsi="Arial" w:eastAsia="黑体"/>
          <w:sz w:val="22"/>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391"/>
        <w:gridCol w:w="3146"/>
        <w:gridCol w:w="335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591"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2023年9月30日</w:t>
            </w:r>
          </w:p>
        </w:tc>
        <w:tc>
          <w:tcPr>
            <w:tcW w:w="1694"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应收票据</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rFonts w:ascii="Calibri" w:hAnsi="Calibri" w:eastAsia="宋体" w:cs="Times New Roman"/>
                <w:sz w:val="18"/>
                <w:szCs w:val="18"/>
              </w:rPr>
            </w:pPr>
            <w:r>
              <w:rPr>
                <w:rFonts w:hint="eastAsia" w:ascii="宋体" w:hAnsi="宋体" w:eastAsia="宋体" w:cs="Times New Roman"/>
                <w:sz w:val="18"/>
                <w:szCs w:val="18"/>
              </w:rPr>
              <w:t>应收账款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其中：应收利息</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ind w:firstLine="540" w:firstLineChars="300"/>
              <w:rPr>
                <w:rFonts w:ascii="Calibri" w:hAnsi="Calibri" w:eastAsia="宋体" w:cs="Times New Roman"/>
                <w:sz w:val="18"/>
                <w:szCs w:val="18"/>
              </w:rPr>
            </w:pPr>
            <w:r>
              <w:rPr>
                <w:rFonts w:hint="eastAsia" w:ascii="Calibri" w:hAnsi="Calibri" w:eastAsia="宋体" w:cs="Times New Roman"/>
                <w:sz w:val="18"/>
                <w:szCs w:val="18"/>
              </w:rPr>
              <w:t>应收股利</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买入返售</w:t>
            </w:r>
            <w:r>
              <w:rPr>
                <w:rFonts w:ascii="Calibri" w:hAnsi="Calibri" w:eastAsia="宋体" w:cs="Times New Roman"/>
                <w:sz w:val="18"/>
                <w:szCs w:val="18"/>
              </w:rPr>
              <w:t>金融资产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591" w:type="pct"/>
            <w:tcBorders>
              <w:bottom w:val="single" w:color="5B9BD5" w:sz="4" w:space="0"/>
            </w:tcBorders>
            <w:shd w:val="clear" w:color="auto" w:fill="auto"/>
          </w:tcPr>
          <w:p>
            <w:pPr>
              <w:jc w:val="right"/>
              <w:rPr>
                <w:rFonts w:ascii="宋体" w:hAnsi="宋体" w:eastAsia="宋体" w:cs="Times New Roman"/>
                <w:sz w:val="18"/>
                <w:szCs w:val="18"/>
              </w:rPr>
            </w:pPr>
          </w:p>
        </w:tc>
        <w:tc>
          <w:tcPr>
            <w:tcW w:w="1694"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非流动资产：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591" w:type="pct"/>
            <w:shd w:val="clear" w:color="auto" w:fill="auto"/>
          </w:tcPr>
          <w:p>
            <w:pPr>
              <w:ind w:right="90"/>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其他非流动资产</w:t>
            </w:r>
          </w:p>
        </w:tc>
        <w:tc>
          <w:tcPr>
            <w:tcW w:w="1591" w:type="pct"/>
            <w:tcBorders>
              <w:bottom w:val="single" w:color="5B9BD5" w:sz="4" w:space="0"/>
            </w:tcBorders>
            <w:shd w:val="clear" w:color="auto" w:fill="auto"/>
          </w:tcPr>
          <w:p>
            <w:pPr>
              <w:jc w:val="right"/>
              <w:rPr>
                <w:rFonts w:ascii="宋体" w:hAnsi="宋体" w:eastAsia="宋体" w:cs="Times New Roman"/>
                <w:sz w:val="18"/>
                <w:szCs w:val="18"/>
              </w:rPr>
            </w:pPr>
          </w:p>
        </w:tc>
        <w:tc>
          <w:tcPr>
            <w:tcW w:w="1694"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流动负债：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短期借款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171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应付票据</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171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应付账款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预收款项</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16" w:hRule="atLeast"/>
        </w:trPr>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应交税费</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其他应付款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其中：应付利息</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ind w:firstLine="540" w:firstLineChars="300"/>
              <w:rPr>
                <w:rFonts w:ascii="Calibri" w:hAnsi="Calibri" w:eastAsia="宋体" w:cs="Times New Roman"/>
                <w:sz w:val="18"/>
                <w:szCs w:val="18"/>
              </w:rPr>
            </w:pPr>
            <w:r>
              <w:rPr>
                <w:rFonts w:hint="eastAsia" w:ascii="Calibri" w:hAnsi="Calibri" w:eastAsia="宋体" w:cs="Times New Roman"/>
                <w:sz w:val="18"/>
                <w:szCs w:val="18"/>
              </w:rPr>
              <w:t>应付股利</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591" w:type="pct"/>
            <w:tcBorders>
              <w:bottom w:val="single" w:color="5B9BD5" w:sz="4" w:space="0"/>
            </w:tcBorders>
            <w:shd w:val="clear" w:color="auto" w:fill="auto"/>
          </w:tcPr>
          <w:p>
            <w:pPr>
              <w:jc w:val="right"/>
              <w:rPr>
                <w:rFonts w:ascii="宋体" w:hAnsi="宋体" w:eastAsia="宋体" w:cs="Times New Roman"/>
                <w:sz w:val="18"/>
                <w:szCs w:val="18"/>
              </w:rPr>
            </w:pPr>
          </w:p>
        </w:tc>
        <w:tc>
          <w:tcPr>
            <w:tcW w:w="1694"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591" w:type="pct"/>
            <w:shd w:val="pct10" w:color="auto" w:fill="FFFFFF"/>
          </w:tcPr>
          <w:p>
            <w:pPr>
              <w:jc w:val="right"/>
              <w:rPr>
                <w:rFonts w:ascii="宋体" w:hAnsi="宋体" w:eastAsia="宋体" w:cs="Times New Roman"/>
                <w:b/>
                <w:sz w:val="18"/>
                <w:szCs w:val="18"/>
              </w:rPr>
            </w:pPr>
          </w:p>
        </w:tc>
        <w:tc>
          <w:tcPr>
            <w:tcW w:w="1694" w:type="pct"/>
            <w:shd w:val="pct10" w:color="auto" w:fill="FFFFFF"/>
          </w:tcPr>
          <w:p>
            <w:pPr>
              <w:jc w:val="right"/>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长期借款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应付债券</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预计负债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递延收益</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591" w:type="pct"/>
            <w:tcBorders>
              <w:bottom w:val="single" w:color="5B9BD5" w:sz="4" w:space="0"/>
            </w:tcBorders>
            <w:shd w:val="clear" w:color="auto" w:fill="auto"/>
          </w:tcPr>
          <w:p>
            <w:pPr>
              <w:jc w:val="right"/>
              <w:rPr>
                <w:rFonts w:ascii="宋体" w:hAnsi="宋体" w:eastAsia="宋体" w:cs="Times New Roman"/>
                <w:sz w:val="18"/>
                <w:szCs w:val="18"/>
              </w:rPr>
            </w:pPr>
          </w:p>
        </w:tc>
        <w:tc>
          <w:tcPr>
            <w:tcW w:w="1694"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股本</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资本公积</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减：库存股</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专项储备</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盈余公积</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未分配利润</w:t>
            </w:r>
          </w:p>
        </w:tc>
        <w:tc>
          <w:tcPr>
            <w:tcW w:w="1591" w:type="pct"/>
            <w:tcBorders>
              <w:bottom w:val="single" w:color="5B9BD5" w:sz="4" w:space="0"/>
            </w:tcBorders>
            <w:shd w:val="clear" w:color="auto" w:fill="auto"/>
          </w:tcPr>
          <w:p>
            <w:pPr>
              <w:jc w:val="right"/>
              <w:rPr>
                <w:rFonts w:ascii="宋体" w:hAnsi="宋体" w:eastAsia="宋体" w:cs="Times New Roman"/>
                <w:sz w:val="18"/>
                <w:szCs w:val="18"/>
              </w:rPr>
            </w:pPr>
          </w:p>
        </w:tc>
        <w:tc>
          <w:tcPr>
            <w:tcW w:w="1694"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所有者权益（或股东权益）合计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负债和所有者权益（或股东权益）总计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bl>
    <w:p>
      <w:pPr>
        <w:pStyle w:val="4"/>
        <w:numPr>
          <w:ilvl w:val="0"/>
          <w:numId w:val="3"/>
        </w:numPr>
        <w:rPr>
          <w:rFonts w:ascii="Arial" w:hAnsi="Arial" w:eastAsia="黑体"/>
          <w:sz w:val="22"/>
        </w:rPr>
      </w:pPr>
      <w:r>
        <w:rPr>
          <w:rFonts w:hint="eastAsia" w:ascii="Arial" w:hAnsi="Arial" w:eastAsia="黑体"/>
          <w:sz w:val="22"/>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351"/>
        <w:gridCol w:w="3202"/>
        <w:gridCol w:w="334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61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1691" w:type="pct"/>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其中：营业收入</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利息收入</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已赚保费</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手续费及佣金收入</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二、营业总成本</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其中：营业成本</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利息支出</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手续费及佣金支出</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退保金</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赔付支出净额</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提取保险责任准备金净额</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保单红利支出</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分保费用</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税金及附加</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销售费用</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管理费用</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研发费用</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财务费用</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1080" w:firstLineChars="600"/>
              <w:rPr>
                <w:rFonts w:ascii="宋体" w:hAnsi="宋体" w:eastAsia="宋体" w:cs="Times New Roman"/>
                <w:sz w:val="18"/>
                <w:szCs w:val="18"/>
              </w:rPr>
            </w:pPr>
            <w:r>
              <w:rPr>
                <w:rFonts w:hint="eastAsia" w:ascii="宋体" w:hAnsi="宋体" w:eastAsia="宋体" w:cs="Times New Roman"/>
                <w:sz w:val="18"/>
                <w:szCs w:val="18"/>
              </w:rPr>
              <w:t>利息收入</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left="458" w:leftChars="218"/>
              <w:rPr>
                <w:rFonts w:ascii="宋体" w:hAnsi="宋体" w:eastAsia="宋体" w:cs="宋体"/>
                <w:sz w:val="18"/>
                <w:szCs w:val="18"/>
              </w:rPr>
            </w:pPr>
            <w:r>
              <w:rPr>
                <w:rFonts w:hint="eastAsia" w:ascii="宋体" w:hAnsi="宋体" w:eastAsia="宋体" w:cs="Times New Roman"/>
                <w:sz w:val="18"/>
                <w:szCs w:val="18"/>
              </w:rPr>
              <w:t>其中：对联营企业和合营企业的投资收益（损失以“－”号填列）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883" w:firstLineChars="491"/>
              <w:rPr>
                <w:rFonts w:ascii="宋体" w:hAnsi="宋体" w:eastAsia="宋体" w:cs="宋体"/>
                <w:sz w:val="18"/>
                <w:szCs w:val="18"/>
              </w:rPr>
            </w:pPr>
            <w:r>
              <w:rPr>
                <w:rFonts w:hint="eastAsia" w:ascii="宋体" w:hAnsi="宋体" w:eastAsia="宋体" w:cs="Times New Roman"/>
                <w:sz w:val="18"/>
                <w:szCs w:val="18"/>
              </w:rPr>
              <w:t>以摊余成本计量的金融资产终止确认收益（损失以“-”号填列）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汇兑收益（损失以“-”号填列）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信用减值损失（损失以“－”号填列）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资产减值损失（损失以“－”号填列）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1.少数股东损益（净亏损以“-”号填列）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2.归属于母公司所有者的净利润（净亏损以“-”号填列）</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（一）归属于母公司所有者的其他综合收益的税后净额</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不能重分类进损益的其他综合收益</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hint="eastAsia" w:ascii="Calibri" w:hAnsi="Calibri" w:eastAsia="宋体" w:cs="Times New Roman"/>
                <w:sz w:val="18"/>
                <w:szCs w:val="18"/>
              </w:rPr>
              <w:t>）</w:t>
            </w:r>
            <w:r>
              <w:rPr>
                <w:rFonts w:hint="eastAsia" w:ascii="宋体" w:hAnsi="宋体" w:eastAsia="宋体" w:cs="Times New Roman"/>
                <w:sz w:val="18"/>
                <w:szCs w:val="18"/>
              </w:rPr>
              <w:t>权益法下不能转损益的其他综合收益</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tcPr>
          <w:p>
            <w:pPr>
              <w:rPr>
                <w:rFonts w:ascii="宋体" w:hAnsi="宋体" w:eastAsia="宋体" w:cs="Times New Roman"/>
                <w:sz w:val="18"/>
                <w:szCs w:val="18"/>
              </w:rPr>
            </w:pPr>
            <w:r>
              <w:rPr>
                <w:rFonts w:hint="eastAsia" w:ascii="宋体" w:hAnsi="宋体" w:eastAsia="宋体" w:cs="Times New Roman"/>
                <w:sz w:val="18"/>
                <w:szCs w:val="18"/>
              </w:rPr>
              <w:t>（</w:t>
            </w:r>
            <w:r>
              <w:rPr>
                <w:rFonts w:ascii="Calibri" w:hAnsi="Calibri" w:eastAsia="宋体" w:cs="Times New Roman"/>
                <w:sz w:val="18"/>
                <w:szCs w:val="18"/>
              </w:rPr>
              <w:t>3</w:t>
            </w:r>
            <w:r>
              <w:rPr>
                <w:rFonts w:hint="eastAsia" w:ascii="Calibri" w:hAnsi="Calibri" w:eastAsia="宋体" w:cs="Times New Roman"/>
                <w:sz w:val="18"/>
                <w:szCs w:val="18"/>
              </w:rPr>
              <w:t>）其他权益工具投资公允价值变动</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tcPr>
          <w:p>
            <w:pPr>
              <w:rPr>
                <w:rFonts w:ascii="宋体" w:hAnsi="宋体" w:eastAsia="宋体" w:cs="Times New Roman"/>
                <w:sz w:val="18"/>
                <w:szCs w:val="18"/>
              </w:rPr>
            </w:pPr>
            <w:r>
              <w:rPr>
                <w:rFonts w:hint="eastAsia" w:ascii="宋体" w:hAnsi="宋体" w:eastAsia="宋体" w:cs="Times New Roman"/>
                <w:sz w:val="18"/>
                <w:szCs w:val="18"/>
              </w:rPr>
              <w:t>（</w:t>
            </w:r>
            <w:r>
              <w:rPr>
                <w:rFonts w:ascii="Calibri" w:hAnsi="Calibri" w:eastAsia="宋体" w:cs="Times New Roman"/>
                <w:sz w:val="18"/>
                <w:szCs w:val="18"/>
              </w:rPr>
              <w:t>4</w:t>
            </w:r>
            <w:r>
              <w:rPr>
                <w:rFonts w:hint="eastAsia" w:ascii="Calibri" w:hAnsi="Calibri" w:eastAsia="宋体" w:cs="Times New Roman"/>
                <w:sz w:val="18"/>
                <w:szCs w:val="18"/>
              </w:rPr>
              <w:t>）企业自身信用风险公允价值变动</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tcPr>
          <w:p>
            <w:pPr>
              <w:rPr>
                <w:rFonts w:ascii="Calibri" w:hAnsi="Calibri" w:eastAsia="宋体" w:cs="Times New Roman"/>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5</w:t>
            </w:r>
            <w:r>
              <w:rPr>
                <w:rFonts w:hint="eastAsia" w:ascii="宋体" w:hAnsi="宋体" w:eastAsia="宋体" w:cs="Times New Roman"/>
                <w:color w:val="000000"/>
                <w:sz w:val="18"/>
                <w:szCs w:val="18"/>
              </w:rPr>
              <w:t>）其他</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（1）权益法下可转损益的其他综合收益</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）其他债权投资信用减值准备</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617" w:type="pct"/>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（二）归属于少数股东的其他综合收益的税后净额 </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（一）归属于母公司所有者的综合收益总额</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（二）归属于少数股东的综合收益总额</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9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（一）基本每股收益（元/股）</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92"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（二）稀释每股收益（元/股）</w:t>
            </w:r>
          </w:p>
        </w:tc>
        <w:tc>
          <w:tcPr>
            <w:tcW w:w="1617" w:type="pct"/>
          </w:tcPr>
          <w:p>
            <w:pPr>
              <w:jc w:val="right"/>
              <w:rPr>
                <w:rFonts w:ascii="宋体" w:hAnsi="宋体" w:eastAsia="宋体" w:cs="Times New Roman"/>
                <w:sz w:val="18"/>
                <w:szCs w:val="18"/>
              </w:rPr>
            </w:pPr>
          </w:p>
        </w:tc>
        <w:tc>
          <w:tcPr>
            <w:tcW w:w="1691" w:type="pct"/>
          </w:tcPr>
          <w:p>
            <w:pPr>
              <w:jc w:val="right"/>
              <w:rPr>
                <w:rFonts w:ascii="宋体" w:hAnsi="宋体" w:eastAsia="宋体" w:cs="Times New Roman"/>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4"/>
        <w:numPr>
          <w:ilvl w:val="0"/>
          <w:numId w:val="3"/>
        </w:numPr>
        <w:rPr>
          <w:rFonts w:ascii="Arial" w:hAnsi="Arial" w:eastAsia="黑体"/>
          <w:sz w:val="22"/>
        </w:rPr>
      </w:pPr>
      <w:r>
        <w:rPr>
          <w:rFonts w:hint="eastAsia" w:ascii="Arial" w:hAnsi="Arial" w:eastAsia="黑体"/>
          <w:sz w:val="22"/>
        </w:rPr>
        <w:t>母公司利润表</w:t>
      </w:r>
    </w:p>
    <w:p>
      <w:pPr>
        <w:pStyle w:val="64"/>
        <w:ind w:left="360" w:right="105" w:firstLine="0" w:firstLineChars="0"/>
        <w:jc w:val="right"/>
      </w:pPr>
      <w:r>
        <w:rPr>
          <w:rFonts w:hint="eastAsia"/>
        </w:rPr>
        <w:t>单位</w:t>
      </w:r>
      <w: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13"/>
        <w:gridCol w:w="3640"/>
        <w:gridCol w:w="334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838"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1691" w:type="pct"/>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减：营业成本</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7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税金及附加</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销售费用</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管理费用</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研发费用</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7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财务费用</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tcPr>
          <w:p>
            <w:pPr>
              <w:ind w:left="884" w:leftChars="421"/>
              <w:rPr>
                <w:rFonts w:ascii="宋体" w:hAnsi="宋体" w:eastAsia="宋体" w:cs="Times New Roman"/>
                <w:sz w:val="18"/>
                <w:szCs w:val="18"/>
              </w:rPr>
            </w:pPr>
            <w:r>
              <w:rPr>
                <w:rFonts w:hint="eastAsia" w:ascii="宋体" w:hAnsi="宋体" w:eastAsia="宋体" w:cs="Times New Roman"/>
                <w:sz w:val="18"/>
                <w:szCs w:val="18"/>
              </w:rPr>
              <w:t>利息收入</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71"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其中：对联营企业和合营企业的投资收益（损失以“－”号填列）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ind w:left="315" w:leftChars="150" w:firstLine="540" w:firstLineChars="30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w:t>
            </w:r>
          </w:p>
          <w:p>
            <w:pPr>
              <w:ind w:left="315" w:leftChars="150" w:firstLine="540" w:firstLineChars="300"/>
              <w:rPr>
                <w:rFonts w:ascii="宋体" w:hAnsi="宋体" w:eastAsia="宋体" w:cs="Times New Roman"/>
                <w:sz w:val="18"/>
                <w:szCs w:val="18"/>
              </w:rPr>
            </w:pPr>
            <w:r>
              <w:rPr>
                <w:rFonts w:hint="eastAsia" w:ascii="宋体" w:hAnsi="宋体" w:eastAsia="宋体" w:cs="Times New Roman"/>
                <w:sz w:val="18"/>
                <w:szCs w:val="18"/>
              </w:rPr>
              <w:t>（损失以“-”号填列）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汇兑收益（损失以“-”号填列）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71"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信用减值损失（损失以“-”号填列）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资产减值损失（损失以“-”号填列）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7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二、营业利润（亏损以“－”号填列）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加：营业外收入</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减：营业外支出</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三、利润总额（亏损总额以“－”号填列）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减：所得税费用</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四、净利润（净亏损以“－”号填列）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71"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b/>
                <w:sz w:val="18"/>
                <w:szCs w:val="18"/>
              </w:rPr>
            </w:pPr>
            <w:r>
              <w:rPr>
                <w:rFonts w:ascii="宋体" w:hAnsi="宋体" w:eastAsia="宋体" w:cs="Times New Roman"/>
                <w:b/>
                <w:sz w:val="18"/>
                <w:szCs w:val="18"/>
              </w:rPr>
              <w:t>五</w:t>
            </w:r>
            <w:r>
              <w:rPr>
                <w:rFonts w:hint="eastAsia" w:ascii="宋体" w:hAnsi="宋体" w:eastAsia="宋体" w:cs="Times New Roman"/>
                <w:b/>
                <w:sz w:val="18"/>
                <w:szCs w:val="18"/>
              </w:rPr>
              <w:t>、其他综合收益的税后净额</w:t>
            </w:r>
            <w:r>
              <w:rPr>
                <w:rFonts w:ascii="宋体" w:hAnsi="宋体" w:eastAsia="宋体" w:cs="Times New Roman"/>
                <w:b/>
                <w:sz w:val="18"/>
                <w:szCs w:val="18"/>
              </w:rPr>
              <w:t xml:space="preserve"> </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（一）不能重分类进损益的其他综合收益</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hint="eastAsia" w:ascii="Calibri" w:hAnsi="Calibri" w:eastAsia="宋体" w:cs="Times New Roman"/>
              </w:rPr>
              <w:t xml:space="preserve"> </w:t>
            </w:r>
            <w:r>
              <w:rPr>
                <w:rFonts w:hint="eastAsia" w:ascii="宋体" w:hAnsi="宋体" w:eastAsia="宋体" w:cs="Times New Roman"/>
                <w:sz w:val="18"/>
                <w:szCs w:val="18"/>
              </w:rPr>
              <w:t>重新计量设定受益计划变动额</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hint="eastAsia" w:ascii="Calibri" w:hAnsi="Calibri" w:eastAsia="宋体" w:cs="Times New Roman"/>
                <w:sz w:val="18"/>
                <w:szCs w:val="18"/>
              </w:rPr>
              <w:t xml:space="preserve"> </w:t>
            </w:r>
            <w:r>
              <w:rPr>
                <w:rFonts w:hint="eastAsia" w:ascii="宋体" w:hAnsi="宋体" w:eastAsia="宋体" w:cs="Times New Roman"/>
                <w:sz w:val="18"/>
                <w:szCs w:val="18"/>
              </w:rPr>
              <w:t>权益法下不能转损益的其他综合收益</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tcPr>
          <w:p>
            <w:pPr>
              <w:rPr>
                <w:rFonts w:ascii="Calibri" w:hAnsi="Calibri" w:eastAsia="宋体" w:cs="Times New Roman"/>
                <w:sz w:val="18"/>
                <w:szCs w:val="18"/>
              </w:rPr>
            </w:pPr>
            <w:r>
              <w:rPr>
                <w:rFonts w:ascii="宋体" w:hAnsi="宋体" w:eastAsia="宋体" w:cs="Times New Roman"/>
                <w:color w:val="000000"/>
                <w:sz w:val="18"/>
                <w:szCs w:val="18"/>
              </w:rPr>
              <w:t>5</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1.权益法下可转损益的其他综合收益</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71"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.其他债权投资信用减值准备</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71"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六、综合收益总额</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七、每股收益：</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（一）基本每股收益（元/股）</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7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（二）稀释每股收益（元/股）</w:t>
            </w:r>
          </w:p>
        </w:tc>
        <w:tc>
          <w:tcPr>
            <w:tcW w:w="1838" w:type="pct"/>
          </w:tcPr>
          <w:p>
            <w:pPr>
              <w:rPr>
                <w:rFonts w:ascii="宋体" w:hAnsi="宋体" w:eastAsia="宋体" w:cs="Times New Roman"/>
                <w:sz w:val="18"/>
                <w:szCs w:val="18"/>
              </w:rPr>
            </w:pPr>
          </w:p>
        </w:tc>
        <w:tc>
          <w:tcPr>
            <w:tcW w:w="1691" w:type="pct"/>
          </w:tcPr>
          <w:p>
            <w:pPr>
              <w:rPr>
                <w:rFonts w:ascii="宋体" w:hAnsi="宋体" w:eastAsia="宋体" w:cs="Times New Roman"/>
                <w:sz w:val="18"/>
                <w:szCs w:val="18"/>
              </w:rPr>
            </w:pPr>
          </w:p>
        </w:tc>
      </w:tr>
    </w:tbl>
    <w:p>
      <w:pPr>
        <w:pStyle w:val="4"/>
        <w:rPr>
          <w:rFonts w:ascii="Arial" w:hAnsi="Arial" w:eastAsia="黑体"/>
          <w:sz w:val="22"/>
        </w:rPr>
      </w:pPr>
      <w:r>
        <w:rPr>
          <w:rFonts w:ascii="Arial" w:hAnsi="Arial" w:eastAsia="黑体"/>
          <w:sz w:val="22"/>
        </w:rPr>
        <w:t xml:space="preserve">7. </w:t>
      </w:r>
      <w:r>
        <w:rPr>
          <w:rFonts w:hint="eastAsia" w:ascii="Arial" w:hAnsi="Arial" w:eastAsia="黑体"/>
          <w:sz w:val="22"/>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47"/>
        <w:gridCol w:w="2620"/>
        <w:gridCol w:w="262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32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2023年1-9月</w:t>
            </w:r>
          </w:p>
        </w:tc>
        <w:tc>
          <w:tcPr>
            <w:tcW w:w="132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客户存款和同业存放款项净增加额 </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向中央银行借款净增加额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向其他金融机构拆入资金净增加额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收到原保险合同保费取得的现金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收到再保险业务现金净额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保户储金及投资款净增加额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拆入资金净增加额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代理买卖证券收到的现金净额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收到的税费返还</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325" w:type="pct"/>
            <w:shd w:val="pct10" w:color="auto" w:fill="FFFFFF"/>
          </w:tcPr>
          <w:p>
            <w:pPr>
              <w:jc w:val="right"/>
              <w:rPr>
                <w:rFonts w:ascii="宋体" w:hAnsi="宋体" w:eastAsia="宋体" w:cs="宋体"/>
                <w:kern w:val="0"/>
                <w:sz w:val="18"/>
                <w:szCs w:val="18"/>
              </w:rPr>
            </w:pPr>
          </w:p>
        </w:tc>
        <w:tc>
          <w:tcPr>
            <w:tcW w:w="1325"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客户贷款及垫款净增加额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存放中央银行和同业款项净增加额 </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支付原保险合同赔付款项的现金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r>
              <w:rPr>
                <w:rFonts w:ascii="宋体" w:hAnsi="宋体" w:eastAsia="宋体" w:cs="Times New Roman"/>
                <w:sz w:val="18"/>
                <w:szCs w:val="18"/>
              </w:rPr>
              <w:t>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支付保单红利的现金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325" w:type="pct"/>
            <w:shd w:val="pct10" w:color="auto" w:fill="FFFFFF"/>
          </w:tcPr>
          <w:p>
            <w:pPr>
              <w:jc w:val="right"/>
              <w:rPr>
                <w:rFonts w:ascii="宋体" w:hAnsi="宋体" w:eastAsia="宋体" w:cs="宋体"/>
                <w:kern w:val="0"/>
                <w:sz w:val="18"/>
                <w:szCs w:val="18"/>
              </w:rPr>
            </w:pPr>
          </w:p>
        </w:tc>
        <w:tc>
          <w:tcPr>
            <w:tcW w:w="1325"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325" w:type="pct"/>
            <w:shd w:val="pct10" w:color="auto" w:fill="FFFFFF"/>
          </w:tcPr>
          <w:p>
            <w:pPr>
              <w:jc w:val="right"/>
              <w:rPr>
                <w:rFonts w:ascii="宋体" w:hAnsi="宋体" w:eastAsia="宋体" w:cs="宋体"/>
                <w:kern w:val="0"/>
                <w:sz w:val="18"/>
                <w:szCs w:val="18"/>
              </w:rPr>
            </w:pPr>
          </w:p>
        </w:tc>
        <w:tc>
          <w:tcPr>
            <w:tcW w:w="1325"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325" w:type="pct"/>
            <w:shd w:val="pct10" w:color="auto" w:fill="auto"/>
          </w:tcPr>
          <w:p>
            <w:pPr>
              <w:jc w:val="right"/>
              <w:rPr>
                <w:rFonts w:ascii="宋体" w:hAnsi="宋体" w:eastAsia="宋体" w:cs="宋体"/>
                <w:kern w:val="0"/>
                <w:sz w:val="18"/>
                <w:szCs w:val="18"/>
              </w:rPr>
            </w:pPr>
          </w:p>
        </w:tc>
        <w:tc>
          <w:tcPr>
            <w:tcW w:w="1325"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质押贷款净增加额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325" w:type="pct"/>
            <w:shd w:val="pct10" w:color="auto" w:fill="FFFFFF"/>
          </w:tcPr>
          <w:p>
            <w:pPr>
              <w:jc w:val="right"/>
              <w:rPr>
                <w:rFonts w:ascii="宋体" w:hAnsi="宋体" w:eastAsia="宋体" w:cs="宋体"/>
                <w:b/>
                <w:kern w:val="0"/>
                <w:sz w:val="18"/>
                <w:szCs w:val="18"/>
              </w:rPr>
            </w:pPr>
          </w:p>
        </w:tc>
        <w:tc>
          <w:tcPr>
            <w:tcW w:w="1325"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325" w:type="pct"/>
            <w:shd w:val="pct10" w:color="auto" w:fill="FFFFFF"/>
          </w:tcPr>
          <w:p>
            <w:pPr>
              <w:jc w:val="right"/>
              <w:rPr>
                <w:rFonts w:ascii="宋体" w:hAnsi="宋体" w:eastAsia="宋体" w:cs="宋体"/>
                <w:b/>
                <w:kern w:val="0"/>
                <w:sz w:val="18"/>
                <w:szCs w:val="18"/>
              </w:rPr>
            </w:pPr>
          </w:p>
        </w:tc>
        <w:tc>
          <w:tcPr>
            <w:tcW w:w="1325"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发行债券收到的现金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325" w:type="pct"/>
            <w:shd w:val="pct10" w:color="auto" w:fill="auto"/>
          </w:tcPr>
          <w:p>
            <w:pPr>
              <w:jc w:val="right"/>
              <w:rPr>
                <w:rFonts w:ascii="宋体" w:hAnsi="宋体" w:eastAsia="宋体" w:cs="宋体"/>
                <w:kern w:val="0"/>
                <w:sz w:val="18"/>
                <w:szCs w:val="18"/>
              </w:rPr>
            </w:pPr>
          </w:p>
        </w:tc>
        <w:tc>
          <w:tcPr>
            <w:tcW w:w="1325"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325" w:type="pct"/>
            <w:shd w:val="pct10" w:color="auto" w:fill="FFFFFF"/>
          </w:tcPr>
          <w:p>
            <w:pPr>
              <w:jc w:val="right"/>
              <w:rPr>
                <w:rFonts w:ascii="宋体" w:hAnsi="宋体" w:eastAsia="宋体" w:cs="宋体"/>
                <w:kern w:val="0"/>
                <w:sz w:val="18"/>
                <w:szCs w:val="18"/>
              </w:rPr>
            </w:pPr>
          </w:p>
        </w:tc>
        <w:tc>
          <w:tcPr>
            <w:tcW w:w="1325"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325" w:type="pct"/>
            <w:shd w:val="pct10" w:color="auto" w:fill="FFFFFF"/>
          </w:tcPr>
          <w:p>
            <w:pPr>
              <w:jc w:val="right"/>
              <w:rPr>
                <w:rFonts w:ascii="宋体" w:hAnsi="宋体" w:eastAsia="宋体" w:cs="宋体"/>
                <w:kern w:val="0"/>
                <w:sz w:val="18"/>
                <w:szCs w:val="18"/>
              </w:rPr>
            </w:pPr>
          </w:p>
        </w:tc>
        <w:tc>
          <w:tcPr>
            <w:tcW w:w="1325"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4"/>
        <w:rPr>
          <w:rFonts w:ascii="Arial" w:hAnsi="Arial" w:eastAsia="黑体"/>
          <w:sz w:val="22"/>
        </w:rPr>
      </w:pPr>
      <w:r>
        <w:rPr>
          <w:rFonts w:ascii="Arial" w:hAnsi="Arial" w:eastAsia="黑体"/>
          <w:sz w:val="22"/>
        </w:rPr>
        <w:t>8. 母公司</w:t>
      </w:r>
      <w:r>
        <w:rPr>
          <w:rFonts w:hint="eastAsia" w:ascii="Arial" w:hAnsi="Arial" w:eastAsia="黑体"/>
          <w:sz w:val="22"/>
        </w:rPr>
        <w:t>现金</w:t>
      </w:r>
      <w:r>
        <w:rPr>
          <w:rFonts w:ascii="Arial" w:hAnsi="Arial" w:eastAsia="黑体"/>
          <w:sz w:val="22"/>
        </w:rPr>
        <w:t>流</w:t>
      </w:r>
      <w:r>
        <w:rPr>
          <w:rFonts w:hint="eastAsia" w:ascii="Arial" w:hAnsi="Arial" w:eastAsia="黑体"/>
          <w:sz w:val="22"/>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388"/>
        <w:gridCol w:w="2626"/>
        <w:gridCol w:w="262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362"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2023年1-9月</w:t>
            </w:r>
          </w:p>
        </w:tc>
        <w:tc>
          <w:tcPr>
            <w:tcW w:w="1362"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收到其他与经营活动有关的现金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经营活动现金流入小计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362" w:type="pct"/>
            <w:shd w:val="pct10" w:color="auto" w:fill="FFFFFF"/>
          </w:tcPr>
          <w:p>
            <w:pPr>
              <w:widowControl/>
              <w:jc w:val="center"/>
              <w:rPr>
                <w:rFonts w:ascii="宋体" w:hAnsi="宋体" w:eastAsia="宋体" w:cs="宋体"/>
                <w:b/>
                <w:kern w:val="0"/>
                <w:sz w:val="18"/>
                <w:szCs w:val="21"/>
              </w:rPr>
            </w:pPr>
          </w:p>
        </w:tc>
        <w:tc>
          <w:tcPr>
            <w:tcW w:w="1362"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362" w:type="pct"/>
            <w:shd w:val="pct10" w:color="auto" w:fill="FFFFFF"/>
          </w:tcPr>
          <w:p>
            <w:pPr>
              <w:widowControl/>
              <w:jc w:val="center"/>
              <w:rPr>
                <w:rFonts w:ascii="宋体" w:hAnsi="宋体" w:eastAsia="宋体" w:cs="宋体"/>
                <w:b/>
                <w:kern w:val="0"/>
                <w:sz w:val="18"/>
                <w:szCs w:val="21"/>
              </w:rPr>
            </w:pPr>
          </w:p>
        </w:tc>
        <w:tc>
          <w:tcPr>
            <w:tcW w:w="1362"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处置子公司及其他营业单位收到的现金净额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取得子公司及其他营业单位支付的现金净额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发行债券收到的现金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bl>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商业银行：</w:t>
      </w:r>
    </w:p>
    <w:p>
      <w:pPr>
        <w:pStyle w:val="64"/>
        <w:numPr>
          <w:ilvl w:val="0"/>
          <w:numId w:val="4"/>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2"/>
        <w:gridCol w:w="3345"/>
        <w:gridCol w:w="34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shd w:val="clear" w:color="auto" w:fill="D9D9D9"/>
            <w:vAlign w:val="center"/>
          </w:tcPr>
          <w:p>
            <w:pPr>
              <w:jc w:val="center"/>
              <w:rPr>
                <w:rFonts w:ascii="宋体" w:hAnsi="宋体" w:eastAsia="宋体" w:cs="宋体"/>
                <w:b/>
                <w:color w:val="000000"/>
                <w:sz w:val="18"/>
                <w:szCs w:val="21"/>
              </w:rPr>
            </w:pPr>
            <w:r>
              <w:rPr>
                <w:rFonts w:ascii="宋体" w:hAnsi="宋体" w:eastAsia="宋体" w:cs="宋体"/>
                <w:b/>
                <w:color w:val="000000"/>
                <w:sz w:val="18"/>
                <w:szCs w:val="21"/>
              </w:rPr>
              <w:t>项目</w:t>
            </w:r>
          </w:p>
        </w:tc>
        <w:tc>
          <w:tcPr>
            <w:tcW w:w="1689"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2023年9月30日</w:t>
            </w:r>
          </w:p>
        </w:tc>
        <w:tc>
          <w:tcPr>
            <w:tcW w:w="1765"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资产：</w:t>
            </w:r>
          </w:p>
        </w:tc>
        <w:tc>
          <w:tcPr>
            <w:tcW w:w="1689" w:type="pct"/>
            <w:shd w:val="clear" w:color="auto" w:fill="auto"/>
          </w:tcPr>
          <w:p>
            <w:pPr>
              <w:rPr>
                <w:rFonts w:ascii="Calibri" w:hAnsi="Calibri" w:eastAsia="宋体" w:cs="Times New Roman"/>
              </w:rPr>
            </w:pPr>
          </w:p>
        </w:tc>
        <w:tc>
          <w:tcPr>
            <w:tcW w:w="1765" w:type="pct"/>
            <w:shd w:val="clear" w:color="auto" w:fill="auto"/>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现金及存放中央银行款项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存放同业款项</w:t>
            </w:r>
            <w:r>
              <w:rPr>
                <w:rFonts w:hint="eastAsia" w:ascii="宋体" w:hAnsi="宋体" w:eastAsia="宋体" w:cs="Times New Roman"/>
                <w:color w:val="000000"/>
                <w:sz w:val="18"/>
                <w:szCs w:val="21"/>
              </w:rPr>
              <w:t>及其他</w:t>
            </w:r>
            <w:r>
              <w:rPr>
                <w:rFonts w:ascii="宋体" w:hAnsi="宋体" w:eastAsia="宋体" w:cs="Times New Roman"/>
                <w:color w:val="000000"/>
                <w:sz w:val="18"/>
                <w:szCs w:val="21"/>
              </w:rPr>
              <w:t>金融机构款项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贵金属</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拆出资金</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买入返售金融资产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应收利息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发放贷款和垫款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270" w:firstLineChars="150"/>
              <w:rPr>
                <w:rFonts w:ascii="宋体" w:hAnsi="宋体" w:eastAsia="宋体" w:cs="Times New Roman"/>
                <w:color w:val="000000"/>
                <w:sz w:val="18"/>
                <w:szCs w:val="21"/>
              </w:rPr>
            </w:pPr>
            <w:r>
              <w:rPr>
                <w:rFonts w:hint="eastAsia" w:ascii="宋体" w:hAnsi="宋体" w:eastAsia="宋体" w:cs="Times New Roman"/>
                <w:color w:val="000000"/>
                <w:sz w:val="18"/>
                <w:szCs w:val="21"/>
              </w:rPr>
              <w:t>交易</w:t>
            </w:r>
            <w:r>
              <w:rPr>
                <w:rFonts w:ascii="宋体" w:hAnsi="宋体" w:eastAsia="宋体" w:cs="Times New Roman"/>
                <w:color w:val="000000"/>
                <w:sz w:val="18"/>
                <w:szCs w:val="21"/>
              </w:rPr>
              <w:t>性</w:t>
            </w: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270" w:firstLineChars="150"/>
              <w:rPr>
                <w:rFonts w:ascii="宋体" w:hAnsi="宋体" w:eastAsia="宋体" w:cs="Times New Roman"/>
                <w:color w:val="000000"/>
                <w:sz w:val="18"/>
                <w:szCs w:val="21"/>
              </w:rPr>
            </w:pPr>
            <w:r>
              <w:rPr>
                <w:rFonts w:hint="eastAsia" w:ascii="宋体" w:hAnsi="宋体" w:eastAsia="宋体" w:cs="Times New Roman"/>
                <w:color w:val="000000"/>
                <w:sz w:val="18"/>
                <w:szCs w:val="21"/>
              </w:rPr>
              <w:t>债权</w:t>
            </w:r>
            <w:r>
              <w:rPr>
                <w:rFonts w:ascii="宋体" w:hAnsi="宋体" w:eastAsia="宋体" w:cs="Times New Roman"/>
                <w:color w:val="000000"/>
                <w:sz w:val="18"/>
                <w:szCs w:val="21"/>
              </w:rPr>
              <w:t>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270" w:firstLineChars="150"/>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债权投资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ind w:firstLine="270" w:firstLineChars="150"/>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权益工具投资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长期股权投资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投资性房地产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固定资产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在建工程</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使用权</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无形资产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商誉</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资产总计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向中央银行借款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同业及其他金融机构存放款项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拆入资金</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交易性金融</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卖出回购金融资产</w:t>
            </w:r>
            <w:r>
              <w:rPr>
                <w:rFonts w:hint="eastAsia" w:ascii="宋体" w:hAnsi="宋体" w:eastAsia="宋体" w:cs="Times New Roman"/>
                <w:color w:val="000000"/>
                <w:sz w:val="18"/>
                <w:szCs w:val="21"/>
              </w:rPr>
              <w:t>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吸收存款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应付职工薪酬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应交税费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应付利息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应付债券</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租赁</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长期应付</w:t>
            </w:r>
            <w:r>
              <w:rPr>
                <w:rFonts w:ascii="宋体" w:hAnsi="宋体" w:eastAsia="宋体" w:cs="Times New Roman"/>
                <w:color w:val="000000"/>
                <w:sz w:val="18"/>
                <w:szCs w:val="21"/>
              </w:rPr>
              <w:t>职工薪酬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预计负债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负债合计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所有者权益（或股东权益）：</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其他权益工具</w:t>
            </w:r>
            <w:r>
              <w:rPr>
                <w:rFonts w:ascii="宋体" w:hAnsi="宋体" w:eastAsia="宋体" w:cs="Times New Roman"/>
                <w:color w:val="000000"/>
                <w:sz w:val="18"/>
                <w:szCs w:val="21"/>
              </w:rPr>
              <w:t> </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r>
              <w:rPr>
                <w:rFonts w:ascii="宋体" w:hAnsi="宋体" w:eastAsia="宋体" w:cs="Times New Roman"/>
                <w:color w:val="000000"/>
                <w:sz w:val="18"/>
                <w:szCs w:val="21"/>
              </w:rPr>
              <w:t> </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资本公积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减：库存股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盈余公积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一般风险准备</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未分配利润</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归属于母公司所有者权益合计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少数股东权益</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股东权益合计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负债和股东权益总计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bl>
    <w:p>
      <w:pPr>
        <w:rPr>
          <w:rFonts w:ascii="Calibri" w:hAnsi="Calibri" w:eastAsia="宋体" w:cs="Times New Roman"/>
          <w:color w:val="000000"/>
          <w:sz w:val="18"/>
          <w:szCs w:val="18"/>
        </w:rPr>
      </w:pPr>
      <w:r>
        <w:rPr>
          <w:rFonts w:ascii="Calibri" w:hAnsi="Calibri" w:eastAsia="宋体" w:cs="Times New Roman"/>
          <w:color w:val="000000"/>
          <w:sz w:val="18"/>
          <w:szCs w:val="18"/>
        </w:rPr>
        <w:t xml:space="preserve">法定代表人：__________ </w:t>
      </w:r>
      <w:r>
        <w:rPr>
          <w:rFonts w:hint="eastAsia" w:ascii="Calibri" w:hAnsi="Calibri" w:eastAsia="宋体" w:cs="Times New Roman"/>
          <w:color w:val="000000"/>
          <w:sz w:val="18"/>
          <w:szCs w:val="18"/>
        </w:rPr>
        <w:t>行长</w:t>
      </w:r>
      <w:r>
        <w:rPr>
          <w:rFonts w:ascii="Calibri" w:hAnsi="Calibri" w:eastAsia="宋体" w:cs="Times New Roman"/>
          <w:color w:val="000000"/>
          <w:sz w:val="18"/>
          <w:szCs w:val="18"/>
        </w:rPr>
        <w:t>：_________ 主管会计工作负责人：_________会计机构负责人：___________</w:t>
      </w:r>
    </w:p>
    <w:p>
      <w:pPr>
        <w:pStyle w:val="64"/>
        <w:numPr>
          <w:ilvl w:val="0"/>
          <w:numId w:val="4"/>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2"/>
        <w:gridCol w:w="3345"/>
        <w:gridCol w:w="34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shd w:val="clear" w:color="auto" w:fill="D9D9D9"/>
            <w:vAlign w:val="center"/>
          </w:tcPr>
          <w:p>
            <w:pPr>
              <w:jc w:val="center"/>
              <w:rPr>
                <w:rFonts w:ascii="宋体" w:hAnsi="宋体" w:eastAsia="宋体" w:cs="宋体"/>
                <w:b/>
                <w:color w:val="000000"/>
                <w:sz w:val="18"/>
                <w:szCs w:val="21"/>
              </w:rPr>
            </w:pPr>
            <w:r>
              <w:rPr>
                <w:rFonts w:ascii="宋体" w:hAnsi="宋体" w:eastAsia="宋体" w:cs="宋体"/>
                <w:b/>
                <w:color w:val="000000"/>
                <w:sz w:val="18"/>
                <w:szCs w:val="21"/>
              </w:rPr>
              <w:t>项目</w:t>
            </w:r>
          </w:p>
        </w:tc>
        <w:tc>
          <w:tcPr>
            <w:tcW w:w="1689"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2023年9月30日</w:t>
            </w:r>
          </w:p>
        </w:tc>
        <w:tc>
          <w:tcPr>
            <w:tcW w:w="1765"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资产：</w:t>
            </w:r>
          </w:p>
        </w:tc>
        <w:tc>
          <w:tcPr>
            <w:tcW w:w="1689" w:type="pct"/>
            <w:shd w:val="clear" w:color="auto" w:fill="auto"/>
          </w:tcPr>
          <w:p>
            <w:pPr>
              <w:rPr>
                <w:rFonts w:ascii="Calibri" w:hAnsi="Calibri" w:eastAsia="宋体" w:cs="Times New Roman"/>
              </w:rPr>
            </w:pPr>
          </w:p>
        </w:tc>
        <w:tc>
          <w:tcPr>
            <w:tcW w:w="1765" w:type="pct"/>
            <w:shd w:val="clear" w:color="auto" w:fill="auto"/>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现金及存放中央银行款项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存放同业款项</w:t>
            </w:r>
            <w:r>
              <w:rPr>
                <w:rFonts w:hint="eastAsia" w:ascii="宋体" w:hAnsi="宋体" w:eastAsia="宋体" w:cs="Times New Roman"/>
                <w:color w:val="000000"/>
                <w:sz w:val="18"/>
                <w:szCs w:val="21"/>
              </w:rPr>
              <w:t>及其他</w:t>
            </w:r>
            <w:r>
              <w:rPr>
                <w:rFonts w:ascii="宋体" w:hAnsi="宋体" w:eastAsia="宋体" w:cs="Times New Roman"/>
                <w:color w:val="000000"/>
                <w:sz w:val="18"/>
                <w:szCs w:val="21"/>
              </w:rPr>
              <w:t>金融机构款项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贵金属</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拆出资金</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买入返售金融资产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应收利息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发放贷款和垫款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交易</w:t>
            </w:r>
            <w:r>
              <w:rPr>
                <w:rFonts w:ascii="宋体" w:hAnsi="宋体" w:eastAsia="宋体" w:cs="Times New Roman"/>
                <w:color w:val="000000"/>
                <w:sz w:val="18"/>
                <w:szCs w:val="21"/>
              </w:rPr>
              <w:t>性</w:t>
            </w: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债权</w:t>
            </w:r>
            <w:r>
              <w:rPr>
                <w:rFonts w:ascii="宋体" w:hAnsi="宋体" w:eastAsia="宋体" w:cs="Times New Roman"/>
                <w:color w:val="000000"/>
                <w:sz w:val="18"/>
                <w:szCs w:val="21"/>
              </w:rPr>
              <w:t>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其他</w:t>
            </w:r>
            <w:r>
              <w:rPr>
                <w:rFonts w:ascii="宋体" w:hAnsi="宋体" w:eastAsia="宋体" w:cs="Times New Roman"/>
                <w:color w:val="000000"/>
                <w:sz w:val="18"/>
                <w:szCs w:val="21"/>
              </w:rPr>
              <w:t>债权投资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其他</w:t>
            </w:r>
            <w:r>
              <w:rPr>
                <w:rFonts w:ascii="宋体" w:hAnsi="宋体" w:eastAsia="宋体" w:cs="Times New Roman"/>
                <w:color w:val="000000"/>
                <w:sz w:val="18"/>
                <w:szCs w:val="21"/>
              </w:rPr>
              <w:t>权益工具投资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长期股权投资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投资性房地产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固定资产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b/>
                <w:color w:val="000000"/>
                <w:sz w:val="18"/>
                <w:szCs w:val="21"/>
              </w:rPr>
            </w:pPr>
            <w:r>
              <w:rPr>
                <w:rFonts w:hint="eastAsia" w:ascii="宋体" w:hAnsi="宋体" w:eastAsia="宋体" w:cs="Times New Roman"/>
                <w:color w:val="000000"/>
                <w:sz w:val="18"/>
                <w:szCs w:val="21"/>
              </w:rPr>
              <w:t>在建工程</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使用权</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无形资产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商誉</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资产总计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b/>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向中央银行借款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同业及其他金融机构存放款项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拆入资金</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交易性金融</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卖出回购金融资产</w:t>
            </w:r>
            <w:r>
              <w:rPr>
                <w:rFonts w:hint="eastAsia" w:ascii="宋体" w:hAnsi="宋体" w:eastAsia="宋体" w:cs="Times New Roman"/>
                <w:color w:val="000000"/>
                <w:sz w:val="18"/>
                <w:szCs w:val="21"/>
              </w:rPr>
              <w:t>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吸收存款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应付职工薪酬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应交税费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b/>
                <w:color w:val="000000"/>
                <w:sz w:val="18"/>
                <w:szCs w:val="21"/>
              </w:rPr>
            </w:pPr>
            <w:r>
              <w:rPr>
                <w:rFonts w:hint="eastAsia" w:ascii="宋体" w:hAnsi="宋体" w:eastAsia="宋体" w:cs="Times New Roman"/>
                <w:color w:val="000000"/>
                <w:sz w:val="18"/>
                <w:szCs w:val="21"/>
              </w:rPr>
              <w:t>应付利息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应付债券</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租赁</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长期应付</w:t>
            </w:r>
            <w:r>
              <w:rPr>
                <w:rFonts w:ascii="宋体" w:hAnsi="宋体" w:eastAsia="宋体" w:cs="Times New Roman"/>
                <w:color w:val="000000"/>
                <w:sz w:val="18"/>
                <w:szCs w:val="21"/>
              </w:rPr>
              <w:t>职工薪酬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预计负债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负债合计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b/>
                <w:color w:val="000000"/>
                <w:sz w:val="18"/>
                <w:szCs w:val="21"/>
              </w:rPr>
              <w:t>所有者权益（或股东权益）：</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其他权益工具</w:t>
            </w:r>
            <w:r>
              <w:rPr>
                <w:rFonts w:ascii="宋体" w:hAnsi="宋体" w:eastAsia="宋体" w:cs="Times New Roman"/>
                <w:color w:val="000000"/>
                <w:sz w:val="18"/>
                <w:szCs w:val="21"/>
              </w:rPr>
              <w:t> </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r>
              <w:rPr>
                <w:rFonts w:ascii="宋体" w:hAnsi="宋体" w:eastAsia="宋体" w:cs="Times New Roman"/>
                <w:color w:val="000000"/>
                <w:sz w:val="18"/>
                <w:szCs w:val="21"/>
              </w:rPr>
              <w:t> </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资本公积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减：库存股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盈余公积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一般风险准备</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未分配利润</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股东权益合计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负债和股东权益总计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bl>
    <w:p>
      <w:pPr>
        <w:pStyle w:val="64"/>
        <w:numPr>
          <w:ilvl w:val="0"/>
          <w:numId w:val="4"/>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891"/>
        <w:gridCol w:w="3515"/>
        <w:gridCol w:w="349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tcBorders>
              <w:bottom w:val="single" w:color="5B9BD5" w:sz="4" w:space="0"/>
            </w:tcBorders>
            <w:shd w:val="clear" w:color="auto" w:fill="D9D9D9"/>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75" w:type="pct"/>
            <w:shd w:val="clear" w:color="auto" w:fill="D9D9D9"/>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1765" w:type="pct"/>
            <w:shd w:val="clear" w:color="auto" w:fill="D9D9D9"/>
          </w:tcPr>
          <w:p>
            <w:pPr>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b/>
                <w:sz w:val="18"/>
                <w:szCs w:val="18"/>
              </w:rPr>
            </w:pPr>
            <w:r>
              <w:rPr>
                <w:rFonts w:ascii="宋体" w:hAnsi="宋体" w:eastAsia="宋体" w:cs="Times New Roman"/>
                <w:b/>
                <w:color w:val="000000"/>
                <w:sz w:val="18"/>
                <w:szCs w:val="21"/>
              </w:rPr>
              <w:t>一、营业收入</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利息净收入</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360" w:firstLineChars="200"/>
              <w:rPr>
                <w:rFonts w:ascii="宋体" w:hAnsi="宋体" w:eastAsia="宋体" w:cs="Times New Roman"/>
                <w:sz w:val="18"/>
                <w:szCs w:val="18"/>
              </w:rPr>
            </w:pPr>
            <w:r>
              <w:rPr>
                <w:rFonts w:ascii="宋体" w:hAnsi="宋体" w:eastAsia="宋体" w:cs="Times New Roman"/>
                <w:color w:val="000000"/>
                <w:sz w:val="18"/>
                <w:szCs w:val="21"/>
              </w:rPr>
              <w:t>利息收入</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360" w:firstLineChars="200"/>
              <w:rPr>
                <w:rFonts w:ascii="宋体" w:hAnsi="宋体" w:eastAsia="宋体" w:cs="Times New Roman"/>
                <w:sz w:val="18"/>
                <w:szCs w:val="18"/>
              </w:rPr>
            </w:pPr>
            <w:r>
              <w:rPr>
                <w:rFonts w:ascii="宋体" w:hAnsi="宋体" w:eastAsia="宋体" w:cs="Times New Roman"/>
                <w:color w:val="000000"/>
                <w:sz w:val="18"/>
                <w:szCs w:val="21"/>
              </w:rPr>
              <w:t>利息支出</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手续费及佣金净收入</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360" w:firstLineChars="200"/>
              <w:rPr>
                <w:rFonts w:ascii="宋体" w:hAnsi="宋体" w:eastAsia="宋体" w:cs="宋体"/>
                <w:b/>
                <w:sz w:val="18"/>
                <w:szCs w:val="18"/>
              </w:rPr>
            </w:pPr>
            <w:r>
              <w:rPr>
                <w:rFonts w:ascii="宋体" w:hAnsi="宋体" w:eastAsia="宋体" w:cs="Times New Roman"/>
                <w:color w:val="000000"/>
                <w:sz w:val="18"/>
                <w:szCs w:val="21"/>
              </w:rPr>
              <w:t>手续费及佣金收入</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360" w:firstLineChars="200"/>
              <w:rPr>
                <w:rFonts w:ascii="宋体" w:hAnsi="宋体" w:eastAsia="宋体" w:cs="宋体"/>
                <w:sz w:val="18"/>
                <w:szCs w:val="18"/>
              </w:rPr>
            </w:pPr>
            <w:r>
              <w:rPr>
                <w:rFonts w:ascii="宋体" w:hAnsi="宋体" w:eastAsia="宋体" w:cs="Times New Roman"/>
                <w:color w:val="000000"/>
                <w:sz w:val="18"/>
                <w:szCs w:val="21"/>
              </w:rPr>
              <w:t>手续费及佣金支出</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投资收益（损失以”－”号填列）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360" w:firstLineChars="200"/>
              <w:rPr>
                <w:rFonts w:ascii="宋体" w:hAnsi="宋体" w:eastAsia="宋体" w:cs="Times New Roman"/>
                <w:color w:val="000000"/>
                <w:sz w:val="18"/>
                <w:szCs w:val="21"/>
              </w:rPr>
            </w:pPr>
            <w:r>
              <w:rPr>
                <w:rFonts w:ascii="宋体" w:hAnsi="宋体" w:eastAsia="宋体" w:cs="Times New Roman"/>
                <w:color w:val="000000"/>
                <w:sz w:val="18"/>
                <w:szCs w:val="21"/>
              </w:rPr>
              <w:t>其中：对联营企业和合营企</w:t>
            </w:r>
          </w:p>
          <w:p>
            <w:pPr>
              <w:ind w:left="601" w:leftChars="286" w:firstLine="360" w:firstLineChars="200"/>
              <w:rPr>
                <w:rFonts w:ascii="宋体" w:hAnsi="宋体" w:eastAsia="宋体" w:cs="Times New Roman"/>
                <w:sz w:val="18"/>
                <w:szCs w:val="18"/>
              </w:rPr>
            </w:pPr>
            <w:r>
              <w:rPr>
                <w:rFonts w:ascii="宋体" w:hAnsi="宋体" w:eastAsia="宋体" w:cs="Times New Roman"/>
                <w:color w:val="000000"/>
                <w:sz w:val="18"/>
                <w:szCs w:val="21"/>
              </w:rPr>
              <w:t>业的投资收益</w:t>
            </w:r>
            <w:r>
              <w:rPr>
                <w:rFonts w:hint="eastAsia" w:ascii="宋体" w:hAnsi="宋体" w:eastAsia="宋体" w:cs="Times New Roman"/>
                <w:color w:val="000000"/>
                <w:sz w:val="18"/>
                <w:szCs w:val="21"/>
              </w:rPr>
              <w:t>（损失以“－”号填列）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left="960" w:leftChars="200" w:hanging="540" w:hangingChars="300"/>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以</w:t>
            </w:r>
            <w:r>
              <w:rPr>
                <w:rFonts w:ascii="宋体" w:hAnsi="宋体" w:eastAsia="宋体" w:cs="Times New Roman"/>
                <w:color w:val="000000"/>
                <w:sz w:val="18"/>
                <w:szCs w:val="21"/>
              </w:rPr>
              <w:t>摊余成本计量的金融资产终止确认产生的收益（</w:t>
            </w:r>
            <w:r>
              <w:rPr>
                <w:rFonts w:hint="eastAsia" w:ascii="宋体" w:hAnsi="宋体" w:eastAsia="宋体" w:cs="Times New Roman"/>
                <w:color w:val="000000"/>
                <w:sz w:val="18"/>
                <w:szCs w:val="21"/>
              </w:rPr>
              <w:t>损失</w:t>
            </w:r>
            <w:r>
              <w:rPr>
                <w:rFonts w:ascii="宋体" w:hAnsi="宋体" w:eastAsia="宋体" w:cs="Times New Roman"/>
                <w:color w:val="000000"/>
                <w:sz w:val="18"/>
                <w:szCs w:val="21"/>
              </w:rPr>
              <w:t>以“-”</w:t>
            </w:r>
            <w:r>
              <w:rPr>
                <w:rFonts w:hint="eastAsia" w:ascii="宋体" w:hAnsi="宋体" w:eastAsia="宋体" w:cs="Times New Roman"/>
                <w:color w:val="000000"/>
                <w:sz w:val="18"/>
                <w:szCs w:val="21"/>
              </w:rPr>
              <w:t>号</w:t>
            </w:r>
            <w:r>
              <w:rPr>
                <w:rFonts w:ascii="宋体" w:hAnsi="宋体" w:eastAsia="宋体" w:cs="Times New Roman"/>
                <w:color w:val="000000"/>
                <w:sz w:val="18"/>
                <w:szCs w:val="21"/>
              </w:rPr>
              <w:t>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净敞口套期收益（损失以“-”号填列）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收益</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公允价值变动收益（损失以”－”号填列）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汇兑</w:t>
            </w:r>
            <w:r>
              <w:rPr>
                <w:rFonts w:hint="eastAsia" w:ascii="宋体" w:hAnsi="宋体" w:eastAsia="宋体" w:cs="Times New Roman"/>
                <w:color w:val="000000"/>
                <w:sz w:val="18"/>
                <w:szCs w:val="21"/>
              </w:rPr>
              <w:t>收益</w:t>
            </w:r>
            <w:r>
              <w:rPr>
                <w:rFonts w:ascii="宋体" w:hAnsi="宋体" w:eastAsia="宋体" w:cs="Times New Roman"/>
                <w:color w:val="000000"/>
                <w:sz w:val="18"/>
                <w:szCs w:val="21"/>
              </w:rPr>
              <w:t>（损失以”－”号填列）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其他业务收入</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color w:val="000000"/>
                <w:sz w:val="18"/>
                <w:szCs w:val="21"/>
              </w:rPr>
              <w:t>资产处置收益（损失以“-”号填列）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b/>
                <w:color w:val="000000"/>
                <w:sz w:val="18"/>
                <w:szCs w:val="21"/>
              </w:rPr>
              <w:t>二、营业支出</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税金及附加</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业务及管理费</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hint="eastAsia" w:ascii="宋体" w:hAnsi="宋体" w:eastAsia="宋体" w:cs="Times New Roman"/>
                <w:color w:val="000000"/>
                <w:sz w:val="18"/>
                <w:szCs w:val="21"/>
              </w:rPr>
              <w:t>信用</w:t>
            </w:r>
            <w:r>
              <w:rPr>
                <w:rFonts w:ascii="宋体" w:hAnsi="宋体" w:eastAsia="宋体" w:cs="Times New Roman"/>
                <w:color w:val="000000"/>
                <w:sz w:val="18"/>
                <w:szCs w:val="21"/>
              </w:rPr>
              <w:t>减值损失</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资产减值损失</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其他业务成本</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b/>
                <w:color w:val="000000"/>
                <w:sz w:val="18"/>
                <w:szCs w:val="21"/>
              </w:rPr>
              <w:t>三、营业利润（亏损以”－”号填列）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加：营业外收入</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减：营业外支出</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b/>
                <w:color w:val="000000"/>
                <w:sz w:val="18"/>
                <w:szCs w:val="21"/>
              </w:rPr>
              <w:t>四、利润总额（亏损总额以”－”号填列）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减：所得税费用</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FF0000"/>
                <w:sz w:val="18"/>
                <w:szCs w:val="18"/>
              </w:rPr>
            </w:pPr>
            <w:r>
              <w:rPr>
                <w:rFonts w:ascii="宋体" w:hAnsi="宋体" w:eastAsia="宋体" w:cs="Times New Roman"/>
                <w:b/>
                <w:color w:val="000000"/>
                <w:sz w:val="18"/>
                <w:szCs w:val="21"/>
              </w:rPr>
              <w:t>五、净利润（净亏损以”－”号填列）</w:t>
            </w:r>
          </w:p>
        </w:tc>
        <w:tc>
          <w:tcPr>
            <w:tcW w:w="1775" w:type="pct"/>
          </w:tcPr>
          <w:p>
            <w:pPr>
              <w:jc w:val="right"/>
              <w:rPr>
                <w:rFonts w:ascii="宋体" w:hAnsi="宋体" w:eastAsia="宋体" w:cs="Times New Roman"/>
                <w:color w:val="FF0000"/>
                <w:sz w:val="18"/>
                <w:szCs w:val="18"/>
              </w:rPr>
            </w:pPr>
          </w:p>
        </w:tc>
        <w:tc>
          <w:tcPr>
            <w:tcW w:w="1765" w:type="pct"/>
          </w:tcPr>
          <w:p>
            <w:pPr>
              <w:jc w:val="right"/>
              <w:rPr>
                <w:rFonts w:ascii="宋体" w:hAnsi="宋体" w:eastAsia="宋体" w:cs="Times New Roman"/>
                <w:color w:val="FF000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b/>
                <w:sz w:val="18"/>
                <w:szCs w:val="18"/>
              </w:rPr>
            </w:pPr>
            <w:r>
              <w:rPr>
                <w:rFonts w:hint="eastAsia" w:ascii="宋体" w:hAnsi="宋体" w:eastAsia="宋体" w:cs="Times New Roman"/>
                <w:color w:val="000000"/>
                <w:sz w:val="18"/>
                <w:szCs w:val="18"/>
              </w:rPr>
              <w:t>其中：被合并方在合并前实现的净利润</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540" w:firstLineChars="300"/>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540" w:firstLineChars="300"/>
              <w:rPr>
                <w:rFonts w:ascii="宋体" w:hAnsi="宋体" w:eastAsia="宋体" w:cs="宋体"/>
                <w:b/>
                <w:sz w:val="18"/>
                <w:szCs w:val="18"/>
              </w:rPr>
            </w:pPr>
            <w:r>
              <w:rPr>
                <w:rFonts w:hint="eastAsia" w:ascii="宋体" w:hAnsi="宋体" w:eastAsia="宋体" w:cs="Times New Roman"/>
                <w:sz w:val="18"/>
                <w:szCs w:val="18"/>
              </w:rPr>
              <w:t>1.少数股东损益（净亏损以“-”号填列）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2.归属于母公司所有者的净利润（净亏损以“-”号填列）</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b/>
                <w:sz w:val="18"/>
                <w:szCs w:val="18"/>
              </w:rPr>
            </w:pPr>
            <w:r>
              <w:rPr>
                <w:rFonts w:hint="eastAsia" w:ascii="宋体" w:hAnsi="宋体" w:eastAsia="宋体" w:cs="Times New Roman"/>
                <w:b/>
                <w:color w:val="000000"/>
                <w:sz w:val="18"/>
                <w:szCs w:val="21"/>
              </w:rPr>
              <w:t>六</w:t>
            </w:r>
            <w:r>
              <w:rPr>
                <w:rFonts w:ascii="宋体" w:hAnsi="宋体" w:eastAsia="宋体" w:cs="Times New Roman"/>
                <w:b/>
                <w:color w:val="000000"/>
                <w:sz w:val="18"/>
                <w:szCs w:val="21"/>
              </w:rPr>
              <w:t>、</w:t>
            </w:r>
            <w:r>
              <w:rPr>
                <w:rFonts w:hint="eastAsia" w:ascii="宋体" w:hAnsi="宋体" w:eastAsia="宋体" w:cs="Times New Roman"/>
                <w:b/>
                <w:color w:val="000000"/>
                <w:sz w:val="18"/>
                <w:szCs w:val="21"/>
              </w:rPr>
              <w:t>其他综合收益税后净额</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w:t>
            </w:r>
            <w:r>
              <w:rPr>
                <w:rFonts w:ascii="宋体" w:hAnsi="宋体" w:eastAsia="宋体" w:cs="Times New Roman"/>
                <w:color w:val="000000"/>
                <w:sz w:val="18"/>
                <w:szCs w:val="21"/>
              </w:rPr>
              <w:t>一）</w:t>
            </w:r>
            <w:r>
              <w:rPr>
                <w:rFonts w:hint="eastAsia" w:ascii="宋体" w:hAnsi="宋体" w:eastAsia="宋体" w:cs="Times New Roman"/>
                <w:color w:val="000000"/>
                <w:sz w:val="18"/>
                <w:szCs w:val="21"/>
              </w:rPr>
              <w:t>归属母公司所有者的其他综合收益的税后净额</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21"/>
              </w:rPr>
              <w:t>1</w:t>
            </w:r>
            <w:r>
              <w:rPr>
                <w:rFonts w:ascii="宋体" w:hAnsi="宋体" w:eastAsia="宋体" w:cs="Times New Roman"/>
                <w:color w:val="000000"/>
                <w:sz w:val="18"/>
                <w:szCs w:val="21"/>
              </w:rPr>
              <w:t>.</w:t>
            </w:r>
            <w:r>
              <w:rPr>
                <w:rFonts w:hint="eastAsia" w:ascii="宋体" w:hAnsi="宋体" w:eastAsia="宋体" w:cs="Times New Roman"/>
                <w:color w:val="000000"/>
                <w:sz w:val="18"/>
                <w:szCs w:val="21"/>
              </w:rPr>
              <w:t>不能重分类</w:t>
            </w:r>
            <w:r>
              <w:rPr>
                <w:rFonts w:ascii="宋体" w:hAnsi="宋体" w:eastAsia="宋体" w:cs="Times New Roman"/>
                <w:color w:val="000000"/>
                <w:sz w:val="18"/>
                <w:szCs w:val="21"/>
              </w:rPr>
              <w:t>进损益的其他综合收益</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（1）重新计量设定受益计划变动额</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（2</w:t>
            </w:r>
            <w:r>
              <w:rPr>
                <w:rFonts w:hint="eastAsia" w:ascii="Calibri" w:hAnsi="Calibri" w:eastAsia="宋体" w:cs="Times New Roman"/>
                <w:sz w:val="18"/>
                <w:szCs w:val="18"/>
              </w:rPr>
              <w:t>）</w:t>
            </w:r>
            <w:r>
              <w:rPr>
                <w:rFonts w:hint="eastAsia" w:ascii="宋体" w:hAnsi="宋体" w:eastAsia="宋体" w:cs="Times New Roman"/>
                <w:sz w:val="18"/>
                <w:szCs w:val="18"/>
              </w:rPr>
              <w:t>权益法下不能转损益的其他综合收益</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w:t>
            </w:r>
            <w:r>
              <w:rPr>
                <w:rFonts w:ascii="Calibri" w:hAnsi="Calibri" w:eastAsia="宋体" w:cs="Times New Roman"/>
                <w:sz w:val="18"/>
                <w:szCs w:val="18"/>
              </w:rPr>
              <w:t>3</w:t>
            </w:r>
            <w:r>
              <w:rPr>
                <w:rFonts w:hint="eastAsia" w:ascii="Calibri" w:hAnsi="Calibri" w:eastAsia="宋体" w:cs="Times New Roman"/>
                <w:sz w:val="18"/>
                <w:szCs w:val="18"/>
              </w:rPr>
              <w:t>）其他权益工具投资公允价值变动</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w:t>
            </w:r>
            <w:r>
              <w:rPr>
                <w:rFonts w:ascii="Calibri" w:hAnsi="Calibri" w:eastAsia="宋体" w:cs="Times New Roman"/>
                <w:sz w:val="18"/>
                <w:szCs w:val="18"/>
              </w:rPr>
              <w:t>4</w:t>
            </w:r>
            <w:r>
              <w:rPr>
                <w:rFonts w:hint="eastAsia" w:ascii="Calibri" w:hAnsi="Calibri" w:eastAsia="宋体" w:cs="Times New Roman"/>
                <w:sz w:val="18"/>
                <w:szCs w:val="18"/>
              </w:rPr>
              <w:t>）企业自身信用风险公允价值变动</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Calibri" w:hAnsi="Calibri" w:eastAsia="宋体" w:cs="Times New Roman"/>
                <w:sz w:val="18"/>
                <w:szCs w:val="18"/>
              </w:rPr>
            </w:pPr>
            <w:r>
              <w:rPr>
                <w:rFonts w:hint="eastAsia" w:ascii="宋体" w:hAnsi="宋体" w:eastAsia="宋体" w:cs="Times New Roman"/>
                <w:sz w:val="18"/>
                <w:szCs w:val="18"/>
              </w:rPr>
              <w:t>（</w:t>
            </w:r>
            <w:r>
              <w:rPr>
                <w:rFonts w:hint="eastAsia" w:ascii="Calibri" w:hAnsi="Calibri" w:eastAsia="宋体" w:cs="Times New Roman"/>
                <w:sz w:val="18"/>
                <w:szCs w:val="18"/>
              </w:rPr>
              <w:t>5）其他</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hint="eastAsia" w:ascii="Calibri" w:hAnsi="Calibri" w:eastAsia="宋体" w:cs="Times New Roman"/>
                <w:sz w:val="18"/>
                <w:szCs w:val="18"/>
              </w:rPr>
              <w:t>）</w:t>
            </w:r>
            <w:r>
              <w:rPr>
                <w:rFonts w:hint="eastAsia" w:ascii="宋体" w:hAnsi="宋体" w:eastAsia="宋体" w:cs="Times New Roman"/>
                <w:sz w:val="18"/>
                <w:szCs w:val="18"/>
              </w:rPr>
              <w:t>权益法下可转损益的其他综合收益</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（2） 其他债权投资公允价值变动</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）其他债权投资信用损失准备</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21"/>
              </w:rPr>
              <w:t>（二）归属于少数股东的其他综合收益的税后净额</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b/>
                <w:color w:val="000000"/>
                <w:sz w:val="18"/>
                <w:szCs w:val="21"/>
              </w:rPr>
              <w:t>七</w:t>
            </w:r>
            <w:r>
              <w:rPr>
                <w:rFonts w:ascii="宋体" w:hAnsi="宋体" w:eastAsia="宋体" w:cs="Times New Roman"/>
                <w:b/>
                <w:color w:val="000000"/>
                <w:sz w:val="18"/>
                <w:szCs w:val="21"/>
              </w:rPr>
              <w:t>、综合收益总额</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21"/>
              </w:rPr>
              <w:t>（一）</w:t>
            </w:r>
            <w:r>
              <w:rPr>
                <w:rFonts w:ascii="宋体" w:hAnsi="宋体" w:eastAsia="宋体" w:cs="Times New Roman"/>
                <w:color w:val="000000"/>
                <w:sz w:val="18"/>
                <w:szCs w:val="21"/>
              </w:rPr>
              <w:t>归属于母公司所有者的综合收益总额</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21"/>
              </w:rPr>
              <w:t>（二）</w:t>
            </w:r>
            <w:r>
              <w:rPr>
                <w:rFonts w:ascii="宋体" w:hAnsi="宋体" w:eastAsia="宋体" w:cs="Times New Roman"/>
                <w:color w:val="000000"/>
                <w:sz w:val="18"/>
                <w:szCs w:val="21"/>
              </w:rPr>
              <w:t>归属于少数股东的综合收益总额</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b/>
                <w:sz w:val="18"/>
                <w:szCs w:val="18"/>
              </w:rPr>
            </w:pPr>
            <w:r>
              <w:rPr>
                <w:rFonts w:hint="eastAsia" w:ascii="宋体" w:hAnsi="宋体" w:eastAsia="宋体" w:cs="Times New Roman"/>
                <w:b/>
                <w:color w:val="000000"/>
                <w:sz w:val="18"/>
                <w:szCs w:val="21"/>
              </w:rPr>
              <w:t>八</w:t>
            </w:r>
            <w:r>
              <w:rPr>
                <w:rFonts w:ascii="宋体" w:hAnsi="宋体" w:eastAsia="宋体" w:cs="Times New Roman"/>
                <w:b/>
                <w:color w:val="000000"/>
                <w:sz w:val="18"/>
                <w:szCs w:val="21"/>
              </w:rPr>
              <w:t>、每股收益：</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（一）基本每股收益</w:t>
            </w:r>
            <w:r>
              <w:rPr>
                <w:rFonts w:hint="eastAsia" w:ascii="宋体" w:hAnsi="宋体" w:eastAsia="宋体" w:cs="Times New Roman"/>
                <w:sz w:val="18"/>
                <w:szCs w:val="18"/>
              </w:rPr>
              <w:t>（元/股）</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（二）稀释每股收益</w:t>
            </w:r>
            <w:r>
              <w:rPr>
                <w:rFonts w:hint="eastAsia" w:ascii="宋体" w:hAnsi="宋体" w:eastAsia="宋体" w:cs="Times New Roman"/>
                <w:sz w:val="18"/>
                <w:szCs w:val="18"/>
              </w:rPr>
              <w:t>（元/股）</w:t>
            </w:r>
          </w:p>
        </w:tc>
        <w:tc>
          <w:tcPr>
            <w:tcW w:w="1775" w:type="pct"/>
          </w:tcPr>
          <w:p>
            <w:pPr>
              <w:jc w:val="right"/>
              <w:rPr>
                <w:rFonts w:ascii="宋体" w:hAnsi="宋体" w:eastAsia="宋体" w:cs="Times New Roman"/>
                <w:sz w:val="18"/>
                <w:szCs w:val="18"/>
              </w:rPr>
            </w:pPr>
          </w:p>
        </w:tc>
        <w:tc>
          <w:tcPr>
            <w:tcW w:w="1765" w:type="pct"/>
          </w:tcPr>
          <w:p>
            <w:pPr>
              <w:jc w:val="right"/>
              <w:rPr>
                <w:rFonts w:ascii="宋体" w:hAnsi="宋体" w:eastAsia="宋体" w:cs="Times New Roman"/>
                <w:sz w:val="18"/>
                <w:szCs w:val="18"/>
              </w:rPr>
            </w:pPr>
          </w:p>
        </w:tc>
      </w:tr>
    </w:tbl>
    <w:p>
      <w:pPr>
        <w:rPr>
          <w:rFonts w:ascii="宋体" w:hAnsi="宋体" w:eastAsia="宋体" w:cs="宋体"/>
          <w:kern w:val="0"/>
          <w:sz w:val="18"/>
          <w:szCs w:val="18"/>
        </w:rPr>
      </w:pPr>
      <w:r>
        <w:rPr>
          <w:rFonts w:ascii="Calibri" w:hAnsi="Calibri" w:eastAsia="宋体" w:cs="Times New Roman"/>
          <w:color w:val="000000"/>
          <w:sz w:val="18"/>
          <w:szCs w:val="18"/>
        </w:rPr>
        <w:t xml:space="preserve">法定代表人：__________ </w:t>
      </w:r>
      <w:r>
        <w:rPr>
          <w:rFonts w:hint="eastAsia" w:ascii="Calibri" w:hAnsi="Calibri" w:eastAsia="宋体" w:cs="Times New Roman"/>
          <w:color w:val="000000"/>
          <w:sz w:val="18"/>
          <w:szCs w:val="18"/>
        </w:rPr>
        <w:t>行长</w:t>
      </w:r>
      <w:r>
        <w:rPr>
          <w:rFonts w:ascii="Calibri" w:hAnsi="Calibri" w:eastAsia="宋体" w:cs="Times New Roman"/>
          <w:color w:val="000000"/>
          <w:sz w:val="18"/>
          <w:szCs w:val="18"/>
        </w:rPr>
        <w:t>：_________ 主管会计工作负责人：_________会计机构负责人：___________</w:t>
      </w:r>
    </w:p>
    <w:p>
      <w:pPr>
        <w:pStyle w:val="64"/>
        <w:numPr>
          <w:ilvl w:val="0"/>
          <w:numId w:val="4"/>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274"/>
        <w:gridCol w:w="3135"/>
        <w:gridCol w:w="349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tcBorders>
              <w:bottom w:val="single" w:color="5B9BD5" w:sz="4" w:space="0"/>
            </w:tcBorders>
            <w:shd w:val="clear" w:color="auto" w:fill="D9D9D9"/>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583" w:type="pct"/>
            <w:shd w:val="clear" w:color="auto" w:fill="D9D9D9"/>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1765" w:type="pct"/>
            <w:shd w:val="clear" w:color="auto" w:fill="D9D9D9"/>
          </w:tcPr>
          <w:p>
            <w:pPr>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宋体"/>
                <w:b/>
                <w:sz w:val="18"/>
                <w:szCs w:val="18"/>
              </w:rPr>
            </w:pPr>
            <w:r>
              <w:rPr>
                <w:rFonts w:ascii="宋体" w:hAnsi="宋体" w:eastAsia="宋体" w:cs="Times New Roman"/>
                <w:b/>
                <w:color w:val="000000"/>
                <w:sz w:val="18"/>
                <w:szCs w:val="21"/>
              </w:rPr>
              <w:t>一、营业收入</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利息净收入</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ind w:firstLine="360" w:firstLineChars="200"/>
              <w:jc w:val="left"/>
              <w:rPr>
                <w:rFonts w:ascii="宋体" w:hAnsi="宋体" w:eastAsia="宋体" w:cs="宋体"/>
                <w:sz w:val="18"/>
                <w:szCs w:val="18"/>
              </w:rPr>
            </w:pPr>
            <w:r>
              <w:rPr>
                <w:rFonts w:ascii="宋体" w:hAnsi="宋体" w:eastAsia="宋体" w:cs="Times New Roman"/>
                <w:color w:val="000000"/>
                <w:sz w:val="18"/>
                <w:szCs w:val="21"/>
              </w:rPr>
              <w:t>利息收入</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ind w:firstLine="360" w:firstLineChars="200"/>
              <w:jc w:val="left"/>
              <w:rPr>
                <w:rFonts w:ascii="宋体" w:hAnsi="宋体" w:eastAsia="宋体" w:cs="宋体"/>
                <w:sz w:val="18"/>
                <w:szCs w:val="18"/>
              </w:rPr>
            </w:pPr>
            <w:r>
              <w:rPr>
                <w:rFonts w:ascii="宋体" w:hAnsi="宋体" w:eastAsia="宋体" w:cs="Times New Roman"/>
                <w:color w:val="000000"/>
                <w:sz w:val="18"/>
                <w:szCs w:val="21"/>
              </w:rPr>
              <w:t>利息支出</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手续费及佣金净收入</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ind w:firstLine="360" w:firstLineChars="200"/>
              <w:jc w:val="left"/>
              <w:rPr>
                <w:rFonts w:ascii="宋体" w:hAnsi="宋体" w:eastAsia="宋体" w:cs="宋体"/>
                <w:sz w:val="18"/>
                <w:szCs w:val="18"/>
              </w:rPr>
            </w:pPr>
            <w:r>
              <w:rPr>
                <w:rFonts w:ascii="宋体" w:hAnsi="宋体" w:eastAsia="宋体" w:cs="Times New Roman"/>
                <w:color w:val="000000"/>
                <w:sz w:val="18"/>
                <w:szCs w:val="21"/>
              </w:rPr>
              <w:t>手续费及佣金收入</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ind w:firstLine="360" w:firstLineChars="200"/>
              <w:jc w:val="left"/>
              <w:rPr>
                <w:rFonts w:ascii="宋体" w:hAnsi="宋体" w:eastAsia="宋体" w:cs="宋体"/>
                <w:sz w:val="18"/>
                <w:szCs w:val="18"/>
              </w:rPr>
            </w:pPr>
            <w:r>
              <w:rPr>
                <w:rFonts w:ascii="宋体" w:hAnsi="宋体" w:eastAsia="宋体" w:cs="Times New Roman"/>
                <w:color w:val="000000"/>
                <w:sz w:val="18"/>
                <w:szCs w:val="21"/>
              </w:rPr>
              <w:t>手续费及佣金支出</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投资收益（损失以”－”号填列）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ind w:firstLine="360" w:firstLineChars="200"/>
              <w:jc w:val="left"/>
              <w:rPr>
                <w:rFonts w:ascii="宋体" w:hAnsi="宋体" w:eastAsia="宋体" w:cs="宋体"/>
                <w:sz w:val="18"/>
                <w:szCs w:val="18"/>
              </w:rPr>
            </w:pPr>
            <w:r>
              <w:rPr>
                <w:rFonts w:ascii="宋体" w:hAnsi="宋体" w:eastAsia="宋体" w:cs="Times New Roman"/>
                <w:color w:val="000000"/>
                <w:sz w:val="18"/>
                <w:szCs w:val="21"/>
              </w:rPr>
              <w:t>其中：对联营企业和合营企业的投资收益</w:t>
            </w:r>
            <w:r>
              <w:rPr>
                <w:rFonts w:hint="eastAsia" w:ascii="宋体" w:hAnsi="宋体" w:eastAsia="宋体" w:cs="Times New Roman"/>
                <w:color w:val="000000"/>
                <w:sz w:val="18"/>
                <w:szCs w:val="21"/>
              </w:rPr>
              <w:t>（损失以“－”号填列）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ind w:left="540" w:hanging="540" w:hangingChars="3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w:t>
            </w:r>
            <w:r>
              <w:rPr>
                <w:rFonts w:ascii="宋体" w:hAnsi="宋体" w:eastAsia="宋体" w:cs="Times New Roman"/>
                <w:color w:val="000000"/>
                <w:sz w:val="18"/>
                <w:szCs w:val="21"/>
              </w:rPr>
              <w:t xml:space="preserve">    </w:t>
            </w:r>
            <w:r>
              <w:rPr>
                <w:rFonts w:hint="eastAsia" w:ascii="宋体" w:hAnsi="宋体" w:eastAsia="宋体" w:cs="Times New Roman"/>
                <w:color w:val="000000"/>
                <w:sz w:val="18"/>
                <w:szCs w:val="21"/>
              </w:rPr>
              <w:t>以</w:t>
            </w:r>
            <w:r>
              <w:rPr>
                <w:rFonts w:ascii="宋体" w:hAnsi="宋体" w:eastAsia="宋体" w:cs="Times New Roman"/>
                <w:color w:val="000000"/>
                <w:sz w:val="18"/>
                <w:szCs w:val="21"/>
              </w:rPr>
              <w:t>摊余成本计量的金融资产终止确认产</w:t>
            </w:r>
            <w:r>
              <w:rPr>
                <w:rFonts w:hint="eastAsia" w:ascii="宋体" w:hAnsi="宋体" w:eastAsia="宋体" w:cs="Times New Roman"/>
                <w:color w:val="000000"/>
                <w:sz w:val="18"/>
                <w:szCs w:val="21"/>
              </w:rPr>
              <w:t xml:space="preserve">  </w:t>
            </w:r>
          </w:p>
          <w:p>
            <w:pPr>
              <w:ind w:left="540" w:hanging="540" w:hangingChars="300"/>
              <w:jc w:val="left"/>
              <w:rPr>
                <w:rFonts w:ascii="宋体" w:hAnsi="宋体" w:eastAsia="宋体" w:cs="宋体"/>
                <w:sz w:val="18"/>
                <w:szCs w:val="18"/>
              </w:rPr>
            </w:pPr>
            <w:r>
              <w:rPr>
                <w:rFonts w:ascii="宋体" w:hAnsi="宋体" w:eastAsia="宋体" w:cs="Times New Roman"/>
                <w:color w:val="000000"/>
                <w:sz w:val="18"/>
                <w:szCs w:val="21"/>
              </w:rPr>
              <w:t xml:space="preserve">          生的收益（</w:t>
            </w:r>
            <w:r>
              <w:rPr>
                <w:rFonts w:hint="eastAsia" w:ascii="宋体" w:hAnsi="宋体" w:eastAsia="宋体" w:cs="Times New Roman"/>
                <w:color w:val="000000"/>
                <w:sz w:val="18"/>
                <w:szCs w:val="21"/>
              </w:rPr>
              <w:t>损失</w:t>
            </w:r>
            <w:r>
              <w:rPr>
                <w:rFonts w:ascii="宋体" w:hAnsi="宋体" w:eastAsia="宋体" w:cs="Times New Roman"/>
                <w:color w:val="000000"/>
                <w:sz w:val="18"/>
                <w:szCs w:val="21"/>
              </w:rPr>
              <w:t>以“-”</w:t>
            </w:r>
            <w:r>
              <w:rPr>
                <w:rFonts w:hint="eastAsia" w:ascii="宋体" w:hAnsi="宋体" w:eastAsia="宋体" w:cs="Times New Roman"/>
                <w:color w:val="000000"/>
                <w:sz w:val="18"/>
                <w:szCs w:val="21"/>
              </w:rPr>
              <w:t>号</w:t>
            </w:r>
            <w:r>
              <w:rPr>
                <w:rFonts w:ascii="宋体" w:hAnsi="宋体" w:eastAsia="宋体" w:cs="Times New Roman"/>
                <w:color w:val="000000"/>
                <w:sz w:val="18"/>
                <w:szCs w:val="21"/>
              </w:rPr>
              <w:t>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收益</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宋体"/>
                <w:b/>
                <w:sz w:val="18"/>
                <w:szCs w:val="18"/>
              </w:rPr>
            </w:pPr>
            <w:r>
              <w:rPr>
                <w:rFonts w:ascii="宋体" w:hAnsi="宋体" w:eastAsia="宋体" w:cs="Times New Roman"/>
                <w:color w:val="000000"/>
                <w:sz w:val="18"/>
                <w:szCs w:val="21"/>
              </w:rPr>
              <w:t>公允价值变动收益（损失以”－”号填列）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汇兑</w:t>
            </w:r>
            <w:r>
              <w:rPr>
                <w:rFonts w:hint="eastAsia" w:ascii="宋体" w:hAnsi="宋体" w:eastAsia="宋体" w:cs="Times New Roman"/>
                <w:color w:val="000000"/>
                <w:sz w:val="18"/>
                <w:szCs w:val="21"/>
              </w:rPr>
              <w:t>收益</w:t>
            </w:r>
            <w:r>
              <w:rPr>
                <w:rFonts w:ascii="宋体" w:hAnsi="宋体" w:eastAsia="宋体" w:cs="Times New Roman"/>
                <w:color w:val="000000"/>
                <w:sz w:val="18"/>
                <w:szCs w:val="21"/>
              </w:rPr>
              <w:t>（损失以”－”号填列）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jc w:val="left"/>
              <w:rPr>
                <w:rFonts w:ascii="宋体" w:hAnsi="宋体" w:eastAsia="宋体" w:cs="Times New Roman"/>
                <w:color w:val="000000"/>
                <w:sz w:val="18"/>
                <w:szCs w:val="21"/>
              </w:rPr>
            </w:pPr>
            <w:r>
              <w:rPr>
                <w:rFonts w:ascii="宋体" w:hAnsi="宋体" w:eastAsia="宋体" w:cs="Times New Roman"/>
                <w:color w:val="000000"/>
                <w:sz w:val="18"/>
                <w:szCs w:val="21"/>
              </w:rPr>
              <w:t>其他业务收入</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宋体"/>
                <w:sz w:val="18"/>
                <w:szCs w:val="18"/>
              </w:rPr>
            </w:pPr>
            <w:r>
              <w:rPr>
                <w:rFonts w:hint="eastAsia" w:ascii="宋体" w:hAnsi="宋体" w:eastAsia="宋体" w:cs="Times New Roman"/>
                <w:color w:val="000000"/>
                <w:sz w:val="18"/>
                <w:szCs w:val="21"/>
              </w:rPr>
              <w:t>资产处置收益（损失以“-”号填列）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color w:val="000000"/>
                <w:sz w:val="18"/>
                <w:szCs w:val="21"/>
              </w:rPr>
            </w:pPr>
            <w:r>
              <w:rPr>
                <w:rFonts w:ascii="宋体" w:hAnsi="宋体" w:eastAsia="宋体" w:cs="Times New Roman"/>
                <w:b/>
                <w:color w:val="000000"/>
                <w:sz w:val="18"/>
                <w:szCs w:val="21"/>
              </w:rPr>
              <w:t>二、营业支出</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宋体"/>
                <w:b/>
                <w:sz w:val="18"/>
                <w:szCs w:val="18"/>
              </w:rPr>
            </w:pPr>
            <w:r>
              <w:rPr>
                <w:rFonts w:ascii="宋体" w:hAnsi="宋体" w:eastAsia="宋体" w:cs="Times New Roman"/>
                <w:color w:val="000000"/>
                <w:sz w:val="18"/>
                <w:szCs w:val="21"/>
              </w:rPr>
              <w:t>税金及附加</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业务及管理费</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21"/>
              </w:rPr>
              <w:t>信用</w:t>
            </w:r>
            <w:r>
              <w:rPr>
                <w:rFonts w:ascii="宋体" w:hAnsi="宋体" w:eastAsia="宋体" w:cs="Times New Roman"/>
                <w:color w:val="000000"/>
                <w:sz w:val="18"/>
                <w:szCs w:val="21"/>
              </w:rPr>
              <w:t>减值损失</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资产减值损失</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b/>
                <w:sz w:val="18"/>
                <w:szCs w:val="18"/>
              </w:rPr>
            </w:pPr>
            <w:r>
              <w:rPr>
                <w:rFonts w:ascii="宋体" w:hAnsi="宋体" w:eastAsia="宋体" w:cs="Times New Roman"/>
                <w:color w:val="000000"/>
                <w:sz w:val="18"/>
                <w:szCs w:val="21"/>
              </w:rPr>
              <w:t>其他业务成本</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jc w:val="left"/>
              <w:rPr>
                <w:rFonts w:ascii="宋体" w:hAnsi="宋体" w:eastAsia="宋体" w:cs="Times New Roman"/>
                <w:b/>
                <w:sz w:val="18"/>
                <w:szCs w:val="18"/>
              </w:rPr>
            </w:pPr>
            <w:r>
              <w:rPr>
                <w:rFonts w:ascii="宋体" w:hAnsi="宋体" w:eastAsia="宋体" w:cs="Times New Roman"/>
                <w:b/>
                <w:color w:val="000000"/>
                <w:sz w:val="18"/>
                <w:szCs w:val="21"/>
              </w:rPr>
              <w:t>三、营业利润（亏损以”－”号填列）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加：营业外收入</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color w:val="000000"/>
                <w:sz w:val="18"/>
                <w:szCs w:val="21"/>
              </w:rPr>
              <w:t>减：营业外支出</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b/>
                <w:color w:val="000000"/>
                <w:sz w:val="18"/>
                <w:szCs w:val="21"/>
              </w:rPr>
              <w:t>四、利润总额（亏损总额以”－”号填列）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color w:val="000000"/>
                <w:sz w:val="18"/>
                <w:szCs w:val="21"/>
              </w:rPr>
              <w:t>减：所得税费用</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b/>
                <w:color w:val="000000"/>
                <w:sz w:val="18"/>
                <w:szCs w:val="21"/>
              </w:rPr>
              <w:t>五、净利润（净亏损以”－”号填列）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b/>
                <w:color w:val="000000"/>
                <w:sz w:val="18"/>
                <w:szCs w:val="21"/>
              </w:rPr>
              <w:t>六</w:t>
            </w:r>
            <w:r>
              <w:rPr>
                <w:rFonts w:ascii="宋体" w:hAnsi="宋体" w:eastAsia="宋体" w:cs="Times New Roman"/>
                <w:b/>
                <w:color w:val="000000"/>
                <w:sz w:val="18"/>
                <w:szCs w:val="21"/>
              </w:rPr>
              <w:t>、</w:t>
            </w:r>
            <w:r>
              <w:rPr>
                <w:rFonts w:hint="eastAsia" w:ascii="宋体" w:hAnsi="宋体" w:eastAsia="宋体" w:cs="Times New Roman"/>
                <w:b/>
                <w:color w:val="000000"/>
                <w:sz w:val="18"/>
                <w:szCs w:val="21"/>
              </w:rPr>
              <w:t>其他综合收益税后净额</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w:t>
            </w:r>
            <w:r>
              <w:rPr>
                <w:rFonts w:ascii="宋体" w:hAnsi="宋体" w:eastAsia="宋体" w:cs="Times New Roman"/>
                <w:color w:val="000000"/>
                <w:sz w:val="18"/>
                <w:szCs w:val="21"/>
              </w:rPr>
              <w:t>一）</w:t>
            </w:r>
            <w:r>
              <w:rPr>
                <w:rFonts w:hint="eastAsia" w:ascii="宋体" w:hAnsi="宋体" w:eastAsia="宋体" w:cs="Times New Roman"/>
                <w:color w:val="000000"/>
                <w:sz w:val="18"/>
                <w:szCs w:val="21"/>
              </w:rPr>
              <w:t>不能重分类</w:t>
            </w:r>
            <w:r>
              <w:rPr>
                <w:rFonts w:ascii="宋体" w:hAnsi="宋体" w:eastAsia="宋体" w:cs="Times New Roman"/>
                <w:color w:val="000000"/>
                <w:sz w:val="18"/>
                <w:szCs w:val="21"/>
              </w:rPr>
              <w:t>进损益的其他综合收益</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sz w:val="18"/>
                <w:szCs w:val="18"/>
              </w:rPr>
              <w:t>1.</w:t>
            </w:r>
            <w:r>
              <w:rPr>
                <w:rFonts w:hint="eastAsia" w:ascii="Calibri" w:hAnsi="Calibri" w:eastAsia="宋体" w:cs="Times New Roman"/>
              </w:rPr>
              <w:t xml:space="preserve"> </w:t>
            </w:r>
            <w:r>
              <w:rPr>
                <w:rFonts w:hint="eastAsia" w:ascii="宋体" w:hAnsi="宋体" w:eastAsia="宋体" w:cs="Times New Roman"/>
                <w:sz w:val="18"/>
                <w:szCs w:val="18"/>
              </w:rPr>
              <w:t>重新计量设定受益计划变动额</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2.</w:t>
            </w:r>
            <w:r>
              <w:rPr>
                <w:rFonts w:ascii="Calibri" w:hAnsi="Calibri" w:eastAsia="宋体" w:cs="Times New Roman"/>
                <w:sz w:val="18"/>
                <w:szCs w:val="18"/>
              </w:rPr>
              <w:t xml:space="preserve"> </w:t>
            </w:r>
            <w:r>
              <w:rPr>
                <w:rFonts w:hint="eastAsia" w:ascii="宋体" w:hAnsi="宋体" w:eastAsia="宋体" w:cs="Times New Roman"/>
                <w:sz w:val="18"/>
                <w:szCs w:val="18"/>
              </w:rPr>
              <w:t>权益法下不能转损益的其他综合收益</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jc w:val="left"/>
              <w:rPr>
                <w:rFonts w:ascii="宋体" w:hAnsi="宋体" w:eastAsia="宋体" w:cs="Times New Roman"/>
                <w:sz w:val="18"/>
                <w:szCs w:val="18"/>
              </w:rPr>
            </w:pPr>
            <w:r>
              <w:rPr>
                <w:rFonts w:ascii="Calibri" w:hAnsi="Calibri" w:eastAsia="宋体" w:cs="Times New Roman"/>
                <w:sz w:val="18"/>
                <w:szCs w:val="18"/>
              </w:rPr>
              <w:t>3</w:t>
            </w:r>
            <w:r>
              <w:rPr>
                <w:rFonts w:hint="eastAsia" w:ascii="Calibri" w:hAnsi="Calibri" w:eastAsia="宋体" w:cs="Times New Roman"/>
                <w:sz w:val="18"/>
                <w:szCs w:val="18"/>
              </w:rPr>
              <w:t>．其他权益工具投资公允价值变动</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Calibri" w:hAnsi="Calibri" w:eastAsia="宋体" w:cs="Times New Roman"/>
                <w:sz w:val="18"/>
                <w:szCs w:val="18"/>
              </w:rPr>
            </w:pPr>
            <w:r>
              <w:rPr>
                <w:rFonts w:ascii="Calibri" w:hAnsi="Calibri" w:eastAsia="宋体" w:cs="Times New Roman"/>
                <w:sz w:val="18"/>
                <w:szCs w:val="18"/>
              </w:rPr>
              <w:t>4</w:t>
            </w:r>
            <w:r>
              <w:rPr>
                <w:rFonts w:hint="eastAsia" w:ascii="Calibri" w:hAnsi="Calibri" w:eastAsia="宋体" w:cs="Times New Roman"/>
                <w:sz w:val="18"/>
                <w:szCs w:val="18"/>
              </w:rPr>
              <w:t>．企业自身信用风险公允价值变动</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Calibri" w:hAnsi="Calibri" w:eastAsia="宋体" w:cs="Times New Roman"/>
                <w:sz w:val="18"/>
                <w:szCs w:val="18"/>
              </w:rPr>
            </w:pPr>
            <w:r>
              <w:rPr>
                <w:rFonts w:hint="eastAsia" w:ascii="Calibri" w:hAnsi="Calibri" w:eastAsia="宋体" w:cs="Times New Roman"/>
                <w:sz w:val="18"/>
                <w:szCs w:val="18"/>
              </w:rPr>
              <w:t>5．其他</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Calibri" w:hAnsi="Calibri" w:eastAsia="宋体" w:cs="Times New Roman"/>
                <w:sz w:val="18"/>
                <w:szCs w:val="18"/>
              </w:rPr>
            </w:pPr>
            <w:r>
              <w:rPr>
                <w:rFonts w:hint="eastAsia" w:ascii="宋体" w:hAnsi="宋体" w:eastAsia="宋体" w:cs="Times New Roman"/>
                <w:sz w:val="18"/>
                <w:szCs w:val="18"/>
              </w:rPr>
              <w:t>（二）将重分类进损益的其他综合收益</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2. 其他债权投资公允价值变动</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 金融资产重分类计入其他综合收益的金额</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 其他债权投资信用损失准备</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 xml:space="preserve"> </w:t>
            </w:r>
            <w:r>
              <w:rPr>
                <w:rFonts w:hint="eastAsia" w:ascii="宋体" w:hAnsi="宋体" w:eastAsia="宋体" w:cs="Times New Roman"/>
                <w:sz w:val="18"/>
                <w:szCs w:val="18"/>
              </w:rPr>
              <w:t>现金流量套期储备</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外币财务报表折算差额</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b/>
                <w:color w:val="000000"/>
                <w:sz w:val="18"/>
                <w:szCs w:val="21"/>
              </w:rPr>
              <w:t>七</w:t>
            </w:r>
            <w:r>
              <w:rPr>
                <w:rFonts w:ascii="宋体" w:hAnsi="宋体" w:eastAsia="宋体" w:cs="Times New Roman"/>
                <w:b/>
                <w:color w:val="000000"/>
                <w:sz w:val="18"/>
                <w:szCs w:val="21"/>
              </w:rPr>
              <w:t>、综合收益总额</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3"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b/>
                <w:color w:val="000000"/>
                <w:sz w:val="18"/>
                <w:szCs w:val="21"/>
              </w:rPr>
              <w:t>八</w:t>
            </w:r>
            <w:r>
              <w:rPr>
                <w:rFonts w:ascii="宋体" w:hAnsi="宋体" w:eastAsia="宋体" w:cs="Times New Roman"/>
                <w:b/>
                <w:color w:val="000000"/>
                <w:sz w:val="18"/>
                <w:szCs w:val="21"/>
              </w:rPr>
              <w:t>、每股收益：</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b/>
                <w:color w:val="000000"/>
                <w:sz w:val="18"/>
                <w:szCs w:val="21"/>
              </w:rPr>
            </w:pPr>
            <w:r>
              <w:rPr>
                <w:rFonts w:ascii="宋体" w:hAnsi="宋体" w:eastAsia="宋体" w:cs="Times New Roman"/>
                <w:color w:val="000000"/>
                <w:sz w:val="18"/>
                <w:szCs w:val="21"/>
              </w:rPr>
              <w:t>（一）基本每股收益</w:t>
            </w:r>
            <w:r>
              <w:rPr>
                <w:rFonts w:hint="eastAsia" w:ascii="宋体" w:hAnsi="宋体" w:eastAsia="宋体" w:cs="Times New Roman"/>
                <w:sz w:val="18"/>
                <w:szCs w:val="18"/>
              </w:rPr>
              <w:t>（元/股）</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3" w:type="pct"/>
            <w:shd w:val="clear" w:color="auto" w:fill="D9D9D9"/>
            <w:vAlign w:val="center"/>
          </w:tcPr>
          <w:p>
            <w:pPr>
              <w:jc w:val="left"/>
              <w:rPr>
                <w:rFonts w:ascii="宋体" w:hAnsi="宋体" w:eastAsia="宋体" w:cs="Times New Roman"/>
                <w:color w:val="000000"/>
                <w:sz w:val="18"/>
                <w:szCs w:val="21"/>
              </w:rPr>
            </w:pPr>
            <w:r>
              <w:rPr>
                <w:rFonts w:ascii="宋体" w:hAnsi="宋体" w:eastAsia="宋体" w:cs="Times New Roman"/>
                <w:color w:val="000000"/>
                <w:sz w:val="18"/>
                <w:szCs w:val="21"/>
              </w:rPr>
              <w:t>（二）稀释每股收益</w:t>
            </w:r>
            <w:r>
              <w:rPr>
                <w:rFonts w:hint="eastAsia" w:ascii="宋体" w:hAnsi="宋体" w:eastAsia="宋体" w:cs="Times New Roman"/>
                <w:sz w:val="18"/>
                <w:szCs w:val="18"/>
              </w:rPr>
              <w:t>（元/股）</w:t>
            </w:r>
          </w:p>
        </w:tc>
        <w:tc>
          <w:tcPr>
            <w:tcW w:w="1583" w:type="pct"/>
          </w:tcPr>
          <w:p>
            <w:pPr>
              <w:rPr>
                <w:rFonts w:ascii="宋体" w:hAnsi="宋体" w:eastAsia="宋体" w:cs="Times New Roman"/>
                <w:sz w:val="18"/>
                <w:szCs w:val="18"/>
              </w:rPr>
            </w:pPr>
          </w:p>
        </w:tc>
        <w:tc>
          <w:tcPr>
            <w:tcW w:w="1765" w:type="pct"/>
          </w:tcPr>
          <w:p>
            <w:pPr>
              <w:rPr>
                <w:rFonts w:ascii="宋体" w:hAnsi="宋体" w:eastAsia="宋体" w:cs="Times New Roman"/>
                <w:sz w:val="18"/>
                <w:szCs w:val="18"/>
              </w:rPr>
            </w:pPr>
          </w:p>
        </w:tc>
      </w:tr>
    </w:tbl>
    <w:p>
      <w:pPr>
        <w:spacing w:before="100" w:after="100" w:line="377" w:lineRule="auto"/>
        <w:jc w:val="left"/>
        <w:outlineLvl w:val="2"/>
        <w:rPr>
          <w:rFonts w:ascii="Arial" w:hAnsi="Arial" w:eastAsia="黑体" w:cs="Times New Roman"/>
          <w:b/>
          <w:bCs/>
          <w:sz w:val="22"/>
          <w:lang w:val="zh-CN"/>
        </w:rPr>
      </w:pPr>
      <w:r>
        <w:rPr>
          <w:rFonts w:ascii="Arial" w:hAnsi="Arial" w:eastAsia="黑体" w:cs="Times New Roman"/>
          <w:b/>
          <w:bCs/>
          <w:sz w:val="22"/>
          <w:lang w:val="zh-CN"/>
        </w:rPr>
        <w:t xml:space="preserve">5. </w:t>
      </w:r>
      <w:r>
        <w:rPr>
          <w:rFonts w:hint="eastAsia" w:ascii="Arial" w:hAnsi="Arial" w:eastAsia="黑体" w:cs="Times New Roman"/>
          <w:b/>
          <w:bCs/>
          <w:sz w:val="22"/>
          <w:lang w:val="zh-CN"/>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3"/>
        <w:gridCol w:w="2612"/>
        <w:gridCol w:w="26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项目</w:t>
            </w:r>
          </w:p>
        </w:tc>
        <w:tc>
          <w:tcPr>
            <w:tcW w:w="1321"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b/>
                <w:sz w:val="18"/>
                <w:szCs w:val="18"/>
              </w:rPr>
              <w:t>2023年1-9月</w:t>
            </w:r>
          </w:p>
        </w:tc>
        <w:tc>
          <w:tcPr>
            <w:tcW w:w="1321"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一、经营活动产生的现金流量：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客户存款和同业</w:t>
            </w:r>
            <w:r>
              <w:rPr>
                <w:rFonts w:hint="eastAsia" w:ascii="宋体" w:hAnsi="宋体" w:eastAsia="宋体" w:cs="Times New Roman"/>
                <w:color w:val="000000"/>
                <w:sz w:val="18"/>
                <w:szCs w:val="21"/>
              </w:rPr>
              <w:t>及</w:t>
            </w:r>
            <w:r>
              <w:rPr>
                <w:rFonts w:ascii="宋体" w:hAnsi="宋体" w:eastAsia="宋体" w:cs="Times New Roman"/>
                <w:color w:val="000000"/>
                <w:sz w:val="18"/>
                <w:szCs w:val="21"/>
              </w:rPr>
              <w:t>其他金融机构存放款项净增加额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向中央银行借款净增加额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客户</w:t>
            </w:r>
            <w:r>
              <w:rPr>
                <w:rFonts w:ascii="宋体" w:hAnsi="宋体" w:eastAsia="宋体" w:cs="Times New Roman"/>
                <w:color w:val="000000"/>
                <w:sz w:val="18"/>
                <w:szCs w:val="21"/>
              </w:rPr>
              <w:t>贷款及垫款</w:t>
            </w:r>
            <w:r>
              <w:rPr>
                <w:rFonts w:hint="eastAsia" w:ascii="宋体" w:hAnsi="宋体" w:eastAsia="宋体" w:cs="Times New Roman"/>
                <w:color w:val="000000"/>
                <w:sz w:val="18"/>
                <w:szCs w:val="21"/>
              </w:rPr>
              <w:t>净</w:t>
            </w:r>
            <w:r>
              <w:rPr>
                <w:rFonts w:ascii="宋体" w:hAnsi="宋体" w:eastAsia="宋体" w:cs="Times New Roman"/>
                <w:color w:val="000000"/>
                <w:sz w:val="18"/>
                <w:szCs w:val="21"/>
              </w:rPr>
              <w:t>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存放中央银行和同业及</w:t>
            </w:r>
            <w:r>
              <w:rPr>
                <w:rFonts w:ascii="宋体" w:hAnsi="宋体" w:eastAsia="宋体" w:cs="Times New Roman"/>
                <w:color w:val="000000"/>
                <w:sz w:val="18"/>
                <w:szCs w:val="21"/>
              </w:rPr>
              <w:t>其他金融机构款项净减少额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拆入资金净增加额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拆出</w:t>
            </w:r>
            <w:r>
              <w:rPr>
                <w:rFonts w:ascii="宋体" w:hAnsi="宋体" w:eastAsia="宋体" w:cs="Times New Roman"/>
                <w:color w:val="000000"/>
                <w:sz w:val="18"/>
                <w:szCs w:val="21"/>
              </w:rPr>
              <w:t>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w:t>
            </w:r>
            <w:r>
              <w:rPr>
                <w:rFonts w:ascii="宋体" w:hAnsi="宋体" w:eastAsia="宋体" w:cs="Times New Roman"/>
                <w:color w:val="000000"/>
                <w:sz w:val="18"/>
                <w:szCs w:val="21"/>
              </w:rPr>
              <w:t>返售金融资产净减少额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卖出回购</w:t>
            </w:r>
            <w:r>
              <w:rPr>
                <w:rFonts w:ascii="宋体" w:hAnsi="宋体" w:eastAsia="宋体" w:cs="Times New Roman"/>
                <w:color w:val="000000"/>
                <w:sz w:val="18"/>
                <w:szCs w:val="21"/>
              </w:rPr>
              <w:t>金融资产款净增加额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收取利息、手续费及佣金的现金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收到的税费返还</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color w:val="000000"/>
                <w:sz w:val="18"/>
                <w:szCs w:val="21"/>
              </w:rPr>
              <w:t>客户</w:t>
            </w:r>
            <w:r>
              <w:rPr>
                <w:rFonts w:ascii="宋体" w:hAnsi="宋体" w:eastAsia="宋体" w:cs="Times New Roman"/>
                <w:color w:val="000000"/>
                <w:sz w:val="18"/>
                <w:szCs w:val="21"/>
              </w:rPr>
              <w:t>存款和同业及其他金融机构款项净</w:t>
            </w:r>
            <w:r>
              <w:rPr>
                <w:rFonts w:hint="eastAsia" w:ascii="宋体" w:hAnsi="宋体" w:eastAsia="宋体" w:cs="Times New Roman"/>
                <w:color w:val="000000"/>
                <w:sz w:val="18"/>
                <w:szCs w:val="21"/>
              </w:rPr>
              <w:t>减少</w:t>
            </w:r>
            <w:r>
              <w:rPr>
                <w:rFonts w:ascii="宋体" w:hAnsi="宋体" w:eastAsia="宋体" w:cs="Times New Roman"/>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向</w:t>
            </w:r>
            <w:r>
              <w:rPr>
                <w:rFonts w:ascii="宋体" w:hAnsi="宋体" w:eastAsia="宋体" w:cs="Times New Roman"/>
                <w:color w:val="000000"/>
                <w:sz w:val="18"/>
                <w:szCs w:val="21"/>
              </w:rPr>
              <w:t>中央银行借款净减少额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客户贷款及垫款净增加额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存放中央银行和同业</w:t>
            </w:r>
            <w:r>
              <w:rPr>
                <w:rFonts w:hint="eastAsia" w:ascii="宋体" w:hAnsi="宋体" w:eastAsia="宋体" w:cs="Times New Roman"/>
                <w:color w:val="000000"/>
                <w:sz w:val="18"/>
                <w:szCs w:val="21"/>
              </w:rPr>
              <w:t>及其他</w:t>
            </w:r>
            <w:r>
              <w:rPr>
                <w:rFonts w:ascii="宋体" w:hAnsi="宋体" w:eastAsia="宋体" w:cs="Times New Roman"/>
                <w:color w:val="000000"/>
                <w:sz w:val="18"/>
                <w:szCs w:val="21"/>
              </w:rPr>
              <w:t>金融机构款项净增加额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拆入资金净减少额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拆出资金净增加额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w:t>
            </w:r>
            <w:r>
              <w:rPr>
                <w:rFonts w:ascii="宋体" w:hAnsi="宋体" w:eastAsia="宋体" w:cs="Times New Roman"/>
                <w:color w:val="000000"/>
                <w:sz w:val="18"/>
                <w:szCs w:val="21"/>
              </w:rPr>
              <w:t>返售金融资产净增加额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卖出回购金融资产款</w:t>
            </w:r>
            <w:r>
              <w:rPr>
                <w:rFonts w:ascii="宋体" w:hAnsi="宋体" w:eastAsia="宋体" w:cs="Times New Roman"/>
                <w:color w:val="000000"/>
                <w:sz w:val="18"/>
                <w:szCs w:val="21"/>
              </w:rPr>
              <w:t>净</w:t>
            </w:r>
            <w:r>
              <w:rPr>
                <w:rFonts w:hint="eastAsia" w:ascii="宋体" w:hAnsi="宋体" w:eastAsia="宋体" w:cs="Times New Roman"/>
                <w:color w:val="000000"/>
                <w:sz w:val="18"/>
                <w:szCs w:val="21"/>
              </w:rPr>
              <w:t>减少</w:t>
            </w:r>
            <w:r>
              <w:rPr>
                <w:rFonts w:ascii="宋体" w:hAnsi="宋体" w:eastAsia="宋体" w:cs="Times New Roman"/>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支付给职工以及为职工支付的现金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支付的各项税费</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二、投资活动产生的现金流量：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收回投资收到的现金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取得投资收益收到的现金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处置固定资产、无形资产和其他长期资产收回的现金净额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处置子公司及其他营业单位收到的现金净额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购建固定资产、无形资产和其他长期资产支付的现金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投资支付的现金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质押贷款净增加额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取得子公司及其他营业单位支付的现金净额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三、筹资活动产生的现金流量：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吸收投资收到的现金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其中：子公司吸收少数股东投资收到的现金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取得借款收到的现金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发行债券收到的现金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偿还债务支付的现金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分配股利、利润或偿付利息支付的现金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其中：子公司支付给少数股东的股利、利润</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四、汇率变动对现金及现金等价物的影响</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五、现金及现金等价物净增加额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加：期初现金及现金等价物余额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六、期末现金及现金等价物余额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bl>
    <w:p>
      <w:pPr>
        <w:rPr>
          <w:rFonts w:ascii="宋体" w:hAnsi="宋体" w:eastAsia="宋体" w:cs="Times New Roman"/>
          <w:b/>
          <w:bCs/>
          <w:szCs w:val="18"/>
        </w:rPr>
      </w:pPr>
      <w:r>
        <w:rPr>
          <w:rFonts w:ascii="Calibri" w:hAnsi="Calibri" w:eastAsia="宋体" w:cs="Times New Roman"/>
          <w:color w:val="000000"/>
          <w:sz w:val="18"/>
          <w:szCs w:val="18"/>
        </w:rPr>
        <w:t xml:space="preserve">法定代表人：__________ </w:t>
      </w:r>
      <w:r>
        <w:rPr>
          <w:rFonts w:hint="eastAsia" w:ascii="Calibri" w:hAnsi="Calibri" w:eastAsia="宋体" w:cs="Times New Roman"/>
          <w:color w:val="000000"/>
          <w:sz w:val="18"/>
          <w:szCs w:val="18"/>
        </w:rPr>
        <w:t>行长</w:t>
      </w:r>
      <w:r>
        <w:rPr>
          <w:rFonts w:ascii="Calibri" w:hAnsi="Calibri" w:eastAsia="宋体" w:cs="Times New Roman"/>
          <w:color w:val="000000"/>
          <w:sz w:val="18"/>
          <w:szCs w:val="18"/>
        </w:rPr>
        <w:t>：_________ 主管会计工作负责人：_________会计机构负责人：___________</w:t>
      </w:r>
    </w:p>
    <w:p>
      <w:pPr>
        <w:spacing w:before="100" w:after="100" w:line="377" w:lineRule="auto"/>
        <w:jc w:val="left"/>
        <w:outlineLvl w:val="2"/>
        <w:rPr>
          <w:rFonts w:ascii="Arial" w:hAnsi="Arial" w:eastAsia="黑体" w:cs="Times New Roman"/>
          <w:b/>
          <w:bCs/>
          <w:sz w:val="22"/>
          <w:lang w:val="zh-CN"/>
        </w:rPr>
      </w:pPr>
      <w:r>
        <w:rPr>
          <w:rFonts w:ascii="Arial" w:hAnsi="Arial" w:eastAsia="黑体" w:cs="Times New Roman"/>
          <w:b/>
          <w:bCs/>
          <w:sz w:val="22"/>
          <w:lang w:val="zh-CN"/>
        </w:rPr>
        <w:t>6. 母公司</w:t>
      </w:r>
      <w:r>
        <w:rPr>
          <w:rFonts w:hint="eastAsia" w:ascii="Arial" w:hAnsi="Arial" w:eastAsia="黑体" w:cs="Times New Roman"/>
          <w:b/>
          <w:bCs/>
          <w:sz w:val="22"/>
          <w:lang w:val="zh-CN"/>
        </w:rPr>
        <w:t>现金</w:t>
      </w:r>
      <w:r>
        <w:rPr>
          <w:rFonts w:ascii="Arial" w:hAnsi="Arial" w:eastAsia="黑体" w:cs="Times New Roman"/>
          <w:b/>
          <w:bCs/>
          <w:sz w:val="22"/>
          <w:lang w:val="zh-CN"/>
        </w:rPr>
        <w:t>流</w:t>
      </w:r>
      <w:r>
        <w:rPr>
          <w:rFonts w:hint="eastAsia" w:ascii="Arial" w:hAnsi="Arial" w:eastAsia="黑体" w:cs="Times New Roman"/>
          <w:b/>
          <w:bCs/>
          <w:sz w:val="22"/>
          <w:lang w:val="zh-CN"/>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5839" w:type="pct"/>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2"/>
        <w:gridCol w:w="2621"/>
        <w:gridCol w:w="26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项目</w:t>
            </w:r>
          </w:p>
        </w:tc>
        <w:tc>
          <w:tcPr>
            <w:tcW w:w="1323"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b/>
                <w:sz w:val="18"/>
                <w:szCs w:val="18"/>
              </w:rPr>
              <w:t>2023年1-9月</w:t>
            </w:r>
          </w:p>
        </w:tc>
        <w:tc>
          <w:tcPr>
            <w:tcW w:w="1323"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一、经营活动产生的现金流量：</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客户存款和同业</w:t>
            </w:r>
            <w:r>
              <w:rPr>
                <w:rFonts w:hint="eastAsia" w:ascii="宋体" w:hAnsi="宋体" w:eastAsia="宋体" w:cs="Times New Roman"/>
                <w:color w:val="000000"/>
                <w:sz w:val="18"/>
                <w:szCs w:val="21"/>
              </w:rPr>
              <w:t>及</w:t>
            </w:r>
            <w:r>
              <w:rPr>
                <w:rFonts w:ascii="宋体" w:hAnsi="宋体" w:eastAsia="宋体" w:cs="Times New Roman"/>
                <w:color w:val="000000"/>
                <w:sz w:val="18"/>
                <w:szCs w:val="21"/>
              </w:rPr>
              <w:t>其他金融机构存放款项净增加额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向中央银行借款净增加额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客户</w:t>
            </w:r>
            <w:r>
              <w:rPr>
                <w:rFonts w:ascii="宋体" w:hAnsi="宋体" w:eastAsia="宋体" w:cs="Times New Roman"/>
                <w:color w:val="000000"/>
                <w:sz w:val="18"/>
                <w:szCs w:val="21"/>
              </w:rPr>
              <w:t>贷款及垫款</w:t>
            </w:r>
            <w:r>
              <w:rPr>
                <w:rFonts w:hint="eastAsia" w:ascii="宋体" w:hAnsi="宋体" w:eastAsia="宋体" w:cs="Times New Roman"/>
                <w:color w:val="000000"/>
                <w:sz w:val="18"/>
                <w:szCs w:val="21"/>
              </w:rPr>
              <w:t>净</w:t>
            </w:r>
            <w:r>
              <w:rPr>
                <w:rFonts w:ascii="宋体" w:hAnsi="宋体" w:eastAsia="宋体" w:cs="Times New Roman"/>
                <w:color w:val="000000"/>
                <w:sz w:val="18"/>
                <w:szCs w:val="21"/>
              </w:rPr>
              <w:t>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存放中央银行和同业及</w:t>
            </w:r>
            <w:r>
              <w:rPr>
                <w:rFonts w:ascii="宋体" w:hAnsi="宋体" w:eastAsia="宋体" w:cs="Times New Roman"/>
                <w:color w:val="000000"/>
                <w:sz w:val="18"/>
                <w:szCs w:val="21"/>
              </w:rPr>
              <w:t>其他金融机构款项净减少额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拆入资金净增加额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拆出</w:t>
            </w:r>
            <w:r>
              <w:rPr>
                <w:rFonts w:ascii="宋体" w:hAnsi="宋体" w:eastAsia="宋体" w:cs="Times New Roman"/>
                <w:color w:val="000000"/>
                <w:sz w:val="18"/>
                <w:szCs w:val="21"/>
              </w:rPr>
              <w:t>资金净减少额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w:t>
            </w:r>
            <w:r>
              <w:rPr>
                <w:rFonts w:ascii="宋体" w:hAnsi="宋体" w:eastAsia="宋体" w:cs="Times New Roman"/>
                <w:color w:val="000000"/>
                <w:sz w:val="18"/>
                <w:szCs w:val="21"/>
              </w:rPr>
              <w:t>返售金融资产净减少额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卖出回购</w:t>
            </w:r>
            <w:r>
              <w:rPr>
                <w:rFonts w:ascii="宋体" w:hAnsi="宋体" w:eastAsia="宋体" w:cs="Times New Roman"/>
                <w:color w:val="000000"/>
                <w:sz w:val="18"/>
                <w:szCs w:val="21"/>
              </w:rPr>
              <w:t>金融资产款净增加额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收取利息、手续费及佣金的现金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收到的税费返还</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收到其他与经营活动有关的现金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经营活动现金流入小计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客户</w:t>
            </w:r>
            <w:r>
              <w:rPr>
                <w:rFonts w:ascii="宋体" w:hAnsi="宋体" w:eastAsia="宋体" w:cs="Times New Roman"/>
                <w:color w:val="000000"/>
                <w:sz w:val="18"/>
                <w:szCs w:val="21"/>
              </w:rPr>
              <w:t>存款和同业及其他金融机构款项净</w:t>
            </w:r>
            <w:r>
              <w:rPr>
                <w:rFonts w:hint="eastAsia" w:ascii="宋体" w:hAnsi="宋体" w:eastAsia="宋体" w:cs="Times New Roman"/>
                <w:color w:val="000000"/>
                <w:sz w:val="18"/>
                <w:szCs w:val="21"/>
              </w:rPr>
              <w:t>减少</w:t>
            </w:r>
            <w:r>
              <w:rPr>
                <w:rFonts w:ascii="宋体" w:hAnsi="宋体" w:eastAsia="宋体" w:cs="Times New Roman"/>
                <w:color w:val="000000"/>
                <w:sz w:val="18"/>
                <w:szCs w:val="21"/>
              </w:rPr>
              <w:t>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向</w:t>
            </w:r>
            <w:r>
              <w:rPr>
                <w:rFonts w:ascii="宋体" w:hAnsi="宋体" w:eastAsia="宋体" w:cs="Times New Roman"/>
                <w:color w:val="000000"/>
                <w:sz w:val="18"/>
                <w:szCs w:val="21"/>
              </w:rPr>
              <w:t>中央银行借款净减少额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客户贷款及垫款净增加额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存放中央银行和同业</w:t>
            </w:r>
            <w:r>
              <w:rPr>
                <w:rFonts w:hint="eastAsia" w:ascii="宋体" w:hAnsi="宋体" w:eastAsia="宋体" w:cs="Times New Roman"/>
                <w:color w:val="000000"/>
                <w:sz w:val="18"/>
                <w:szCs w:val="21"/>
              </w:rPr>
              <w:t>及其他</w:t>
            </w:r>
            <w:r>
              <w:rPr>
                <w:rFonts w:ascii="宋体" w:hAnsi="宋体" w:eastAsia="宋体" w:cs="Times New Roman"/>
                <w:color w:val="000000"/>
                <w:sz w:val="18"/>
                <w:szCs w:val="21"/>
              </w:rPr>
              <w:t>金融机构款项净增加额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拆入资金净减少额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拆出资金净增加额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w:t>
            </w:r>
            <w:r>
              <w:rPr>
                <w:rFonts w:ascii="宋体" w:hAnsi="宋体" w:eastAsia="宋体" w:cs="Times New Roman"/>
                <w:color w:val="000000"/>
                <w:sz w:val="18"/>
                <w:szCs w:val="21"/>
              </w:rPr>
              <w:t>返售金融资产净增加额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卖出回购金融资产款</w:t>
            </w:r>
            <w:r>
              <w:rPr>
                <w:rFonts w:ascii="宋体" w:hAnsi="宋体" w:eastAsia="宋体" w:cs="Times New Roman"/>
                <w:color w:val="000000"/>
                <w:sz w:val="18"/>
                <w:szCs w:val="21"/>
              </w:rPr>
              <w:t>净</w:t>
            </w:r>
            <w:r>
              <w:rPr>
                <w:rFonts w:hint="eastAsia" w:ascii="宋体" w:hAnsi="宋体" w:eastAsia="宋体" w:cs="Times New Roman"/>
                <w:color w:val="000000"/>
                <w:sz w:val="18"/>
                <w:szCs w:val="21"/>
              </w:rPr>
              <w:t>减少</w:t>
            </w:r>
            <w:r>
              <w:rPr>
                <w:rFonts w:ascii="宋体" w:hAnsi="宋体" w:eastAsia="宋体" w:cs="Times New Roman"/>
                <w:color w:val="000000"/>
                <w:sz w:val="18"/>
                <w:szCs w:val="21"/>
              </w:rPr>
              <w:t>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支付利息、手续费及佣金的现金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支付给职工以及为职工支付的现金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支付的各项税费</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支付其他与经营活动有关的现金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经营活动现金流出小计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经营活动产生的现金流量净额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b/>
                <w:color w:val="000000"/>
                <w:sz w:val="18"/>
                <w:szCs w:val="21"/>
              </w:rPr>
              <w:t>二、投资活动产生的现金流量：</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收回投资收到的现金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取得投资收益收到的现金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left"/>
              <w:rPr>
                <w:rFonts w:ascii="宋体" w:hAnsi="宋体" w:eastAsia="宋体" w:cs="Times New Roman"/>
                <w:b/>
                <w:color w:val="000000"/>
                <w:sz w:val="18"/>
                <w:szCs w:val="21"/>
              </w:rPr>
            </w:pPr>
            <w:r>
              <w:rPr>
                <w:rFonts w:ascii="宋体" w:hAnsi="宋体" w:eastAsia="宋体" w:cs="Times New Roman"/>
                <w:color w:val="000000"/>
                <w:sz w:val="18"/>
                <w:szCs w:val="21"/>
              </w:rPr>
              <w:t>处置固定资产、无形资产和其他长期资产收回的现金净额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color w:val="000000"/>
                <w:sz w:val="18"/>
                <w:szCs w:val="21"/>
              </w:rPr>
              <w:t>处置子公司及其他营业单位收到的现金净额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收到其他与投资活动有关的现金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投资活动现金流入小计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购建固定资产、无形资产和其他长期资产支付的现金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投资支付的现金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质押贷款净增加额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取得子公司及其他营业单位支付的现金净额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支付其他与投资活动有关的现金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投资活动现金流出小计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投资活动产生的现金流量净额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b/>
                <w:color w:val="000000"/>
                <w:sz w:val="18"/>
                <w:szCs w:val="21"/>
              </w:rPr>
              <w:t>三、筹资活动产生的现金流量：</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吸收投资收到的现金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color w:val="000000"/>
                <w:sz w:val="18"/>
                <w:szCs w:val="21"/>
              </w:rPr>
              <w:t>取得借款收到的现金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color w:val="000000"/>
                <w:sz w:val="18"/>
                <w:szCs w:val="21"/>
              </w:rPr>
              <w:t>发行债券收到的现金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收到其他与筹资活动有关的现金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筹资活动现金流入小计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偿还债务支付的现金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分配股利、利润或偿付利息支付的现金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支付其他与筹资活动有关的现金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筹资活动现金流出小计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筹资活动产生的现金流量净额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b/>
                <w:color w:val="000000"/>
                <w:sz w:val="18"/>
                <w:szCs w:val="21"/>
              </w:rPr>
              <w:t>四、汇率变动对现金及现金等价物的影响</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b/>
                <w:color w:val="000000"/>
                <w:sz w:val="18"/>
                <w:szCs w:val="21"/>
              </w:rPr>
              <w:t>五、现金及现金等价物净增加额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加：期初现金及现金等价物余额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六、期末现金及现金等价物余额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bl>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证券公司：</w:t>
      </w:r>
    </w:p>
    <w:p>
      <w:pPr>
        <w:pStyle w:val="64"/>
        <w:numPr>
          <w:ilvl w:val="0"/>
          <w:numId w:val="5"/>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合并资产负债表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2"/>
        <w:gridCol w:w="3637"/>
        <w:gridCol w:w="32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项目</w:t>
            </w:r>
          </w:p>
        </w:tc>
        <w:tc>
          <w:tcPr>
            <w:tcW w:w="1836" w:type="pct"/>
            <w:tcBorders>
              <w:top w:val="single" w:color="5B9BD5" w:sz="4" w:space="0"/>
              <w:left w:val="single" w:color="5B9BD5" w:sz="4" w:space="0"/>
              <w:bottom w:val="single" w:color="5B9BD5" w:sz="4" w:space="0"/>
              <w:right w:val="single" w:color="5B9BD5" w:sz="4" w:space="0"/>
            </w:tcBorders>
            <w:shd w:val="clear" w:color="auto" w:fill="D0CECE"/>
          </w:tcPr>
          <w:p>
            <w:pPr>
              <w:jc w:val="center"/>
              <w:rPr>
                <w:rFonts w:ascii="宋体" w:hAnsi="宋体" w:eastAsia="宋体" w:cs="宋体"/>
                <w:b/>
                <w:color w:val="000000"/>
                <w:sz w:val="18"/>
                <w:szCs w:val="21"/>
              </w:rPr>
            </w:pPr>
            <w:r>
              <w:rPr>
                <w:rFonts w:hint="eastAsia" w:ascii="宋体" w:hAnsi="宋体" w:eastAsia="宋体" w:cs="Times New Roman"/>
                <w:b/>
                <w:sz w:val="18"/>
                <w:szCs w:val="18"/>
              </w:rPr>
              <w:t>2023年9月30日</w:t>
            </w:r>
          </w:p>
        </w:tc>
        <w:tc>
          <w:tcPr>
            <w:tcW w:w="1617" w:type="pct"/>
            <w:tcBorders>
              <w:top w:val="single" w:color="5B9BD5" w:sz="4" w:space="0"/>
              <w:left w:val="single" w:color="5B9BD5" w:sz="4" w:space="0"/>
              <w:bottom w:val="single" w:color="5B9BD5" w:sz="4" w:space="0"/>
              <w:right w:val="single" w:color="5B9BD5" w:sz="4" w:space="0"/>
            </w:tcBorders>
            <w:shd w:val="clear" w:color="auto" w:fill="D0CECE"/>
          </w:tcPr>
          <w:p>
            <w:pPr>
              <w:widowControl/>
              <w:jc w:val="left"/>
              <w:rPr>
                <w:rFonts w:ascii="宋体" w:hAnsi="宋体" w:eastAsia="宋体" w:cs="宋体"/>
                <w:kern w:val="0"/>
                <w:sz w:val="24"/>
                <w:szCs w:val="24"/>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货币资金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宋体"/>
                <w:color w:val="000000"/>
                <w:sz w:val="18"/>
                <w:szCs w:val="21"/>
              </w:rPr>
            </w:pPr>
            <w:r>
              <w:rPr>
                <w:rFonts w:hint="eastAsia" w:ascii="宋体" w:hAnsi="宋体" w:eastAsia="宋体" w:cs="宋体"/>
                <w:color w:val="000000"/>
                <w:sz w:val="18"/>
                <w:szCs w:val="21"/>
              </w:rPr>
              <w:t>其中：客户资金存款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结算备付金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宋体"/>
                <w:color w:val="000000"/>
                <w:sz w:val="18"/>
                <w:szCs w:val="21"/>
              </w:rPr>
            </w:pPr>
            <w:r>
              <w:rPr>
                <w:rFonts w:hint="eastAsia" w:ascii="宋体" w:hAnsi="宋体" w:eastAsia="宋体" w:cs="宋体"/>
                <w:color w:val="000000"/>
                <w:sz w:val="18"/>
                <w:szCs w:val="21"/>
              </w:rPr>
              <w:t>其中：客户备付金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贵金属</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拆出资金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融出资金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衍生金融资产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存出</w:t>
            </w:r>
            <w:r>
              <w:rPr>
                <w:rFonts w:ascii="宋体" w:hAnsi="宋体" w:eastAsia="宋体" w:cs="宋体"/>
                <w:color w:val="000000"/>
                <w:sz w:val="18"/>
                <w:szCs w:val="21"/>
              </w:rPr>
              <w:t>保证金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应收款项</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合同资产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买入返售金融资产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持有待售资产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金融</w:t>
            </w:r>
            <w:r>
              <w:rPr>
                <w:rFonts w:ascii="宋体" w:hAnsi="宋体" w:eastAsia="宋体" w:cs="宋体"/>
                <w:color w:val="000000"/>
                <w:sz w:val="18"/>
                <w:szCs w:val="21"/>
              </w:rPr>
              <w:t>投资：</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w:t>
            </w:r>
            <w:r>
              <w:rPr>
                <w:rFonts w:ascii="宋体" w:hAnsi="宋体" w:eastAsia="宋体" w:cs="宋体"/>
                <w:color w:val="000000"/>
                <w:sz w:val="18"/>
                <w:szCs w:val="21"/>
              </w:rPr>
              <w:t xml:space="preserve"> </w:t>
            </w:r>
            <w:r>
              <w:rPr>
                <w:rFonts w:hint="eastAsia" w:ascii="宋体" w:hAnsi="宋体" w:eastAsia="宋体" w:cs="宋体"/>
                <w:color w:val="000000"/>
                <w:sz w:val="18"/>
                <w:szCs w:val="21"/>
              </w:rPr>
              <w:t>交易性</w:t>
            </w:r>
            <w:r>
              <w:rPr>
                <w:rFonts w:ascii="宋体" w:hAnsi="宋体" w:eastAsia="宋体" w:cs="宋体"/>
                <w:color w:val="000000"/>
                <w:sz w:val="18"/>
                <w:szCs w:val="21"/>
              </w:rPr>
              <w:t>金融资产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w:t>
            </w:r>
            <w:r>
              <w:rPr>
                <w:rFonts w:ascii="宋体" w:hAnsi="宋体" w:eastAsia="宋体" w:cs="宋体"/>
                <w:color w:val="000000"/>
                <w:sz w:val="18"/>
                <w:szCs w:val="21"/>
              </w:rPr>
              <w:t xml:space="preserve"> </w:t>
            </w:r>
            <w:r>
              <w:rPr>
                <w:rFonts w:hint="eastAsia" w:ascii="宋体" w:hAnsi="宋体" w:eastAsia="宋体" w:cs="宋体"/>
                <w:color w:val="000000"/>
                <w:sz w:val="18"/>
                <w:szCs w:val="21"/>
              </w:rPr>
              <w:t>债权</w:t>
            </w:r>
            <w:r>
              <w:rPr>
                <w:rFonts w:ascii="宋体" w:hAnsi="宋体" w:eastAsia="宋体" w:cs="宋体"/>
                <w:color w:val="000000"/>
                <w:sz w:val="18"/>
                <w:szCs w:val="21"/>
              </w:rPr>
              <w:t>投资</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其他</w:t>
            </w:r>
            <w:r>
              <w:rPr>
                <w:rFonts w:ascii="宋体" w:hAnsi="宋体" w:eastAsia="宋体" w:cs="宋体"/>
                <w:color w:val="000000"/>
                <w:sz w:val="18"/>
                <w:szCs w:val="21"/>
              </w:rPr>
              <w:t>债权投资</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其他</w:t>
            </w:r>
            <w:r>
              <w:rPr>
                <w:rFonts w:ascii="宋体" w:hAnsi="宋体" w:eastAsia="宋体" w:cs="宋体"/>
                <w:color w:val="000000"/>
                <w:sz w:val="18"/>
                <w:szCs w:val="21"/>
              </w:rPr>
              <w:t>权益工具投资</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长期应收款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长期股权投资</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投资性房地产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固定资产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在建工程</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使用</w:t>
            </w:r>
            <w:r>
              <w:rPr>
                <w:rFonts w:ascii="宋体" w:hAnsi="宋体" w:eastAsia="宋体" w:cs="宋体"/>
                <w:color w:val="000000"/>
                <w:sz w:val="18"/>
                <w:szCs w:val="21"/>
              </w:rPr>
              <w:t>权资产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无形</w:t>
            </w:r>
            <w:r>
              <w:rPr>
                <w:rFonts w:ascii="宋体" w:hAnsi="宋体" w:eastAsia="宋体" w:cs="宋体"/>
                <w:color w:val="000000"/>
                <w:sz w:val="18"/>
                <w:szCs w:val="21"/>
              </w:rPr>
              <w:t>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开发支出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商誉</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递延所得税资产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资产总计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短期借款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应付短期融资款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拆入资金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交易性</w:t>
            </w:r>
            <w:r>
              <w:rPr>
                <w:rFonts w:ascii="宋体" w:hAnsi="宋体" w:eastAsia="宋体" w:cs="宋体"/>
                <w:color w:val="000000"/>
                <w:sz w:val="18"/>
                <w:szCs w:val="21"/>
              </w:rPr>
              <w:t>金融负债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衍生金融负债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卖出回购金融资产款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代理买卖证券款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代理承销证券款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应付职工薪酬</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应交税费</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应付款项</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合同负债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持有待售负债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预计负债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长期借款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应付债券</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其中</w:t>
            </w:r>
            <w:r>
              <w:rPr>
                <w:rFonts w:ascii="宋体" w:hAnsi="宋体" w:eastAsia="宋体" w:cs="宋体"/>
                <w:color w:val="000000"/>
                <w:sz w:val="18"/>
                <w:szCs w:val="21"/>
              </w:rPr>
              <w:t>：优先股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永续债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租赁负债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长期应付款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长期应付职工薪酬</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递延所得税负债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递延收益</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负债合计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所有者权益（或股东权益）：</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实收资本（或股本）</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其他权益工具</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eastAsia="宋体" w:cs="宋体"/>
                <w:color w:val="000000"/>
                <w:sz w:val="18"/>
                <w:szCs w:val="21"/>
              </w:rPr>
            </w:pPr>
            <w:r>
              <w:rPr>
                <w:rFonts w:hint="eastAsia" w:ascii="宋体" w:hAnsi="宋体" w:eastAsia="宋体" w:cs="宋体"/>
                <w:color w:val="000000"/>
                <w:sz w:val="18"/>
                <w:szCs w:val="21"/>
              </w:rPr>
              <w:t>其中</w:t>
            </w:r>
            <w:r>
              <w:rPr>
                <w:rFonts w:ascii="宋体" w:hAnsi="宋体" w:eastAsia="宋体" w:cs="宋体"/>
                <w:color w:val="000000"/>
                <w:sz w:val="18"/>
                <w:szCs w:val="21"/>
              </w:rPr>
              <w:t>：优先股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永续债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资本公积</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减：库存股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其他综合收益</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专项储备</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盈余公积</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一般风险准备</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未分配利润</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eastAsia="宋体" w:cs="宋体"/>
                <w:color w:val="000000"/>
                <w:sz w:val="18"/>
                <w:szCs w:val="21"/>
              </w:rPr>
            </w:pPr>
            <w:bookmarkStart w:id="9" w:name="OLE_LINK7"/>
            <w:bookmarkStart w:id="10" w:name="OLE_LINK8"/>
            <w:r>
              <w:rPr>
                <w:rFonts w:hint="eastAsia" w:ascii="宋体" w:hAnsi="宋体" w:eastAsia="宋体" w:cs="宋体"/>
                <w:color w:val="000000"/>
                <w:sz w:val="18"/>
                <w:szCs w:val="21"/>
              </w:rPr>
              <w:t>归属于母公司</w:t>
            </w:r>
            <w:bookmarkEnd w:id="9"/>
            <w:bookmarkEnd w:id="10"/>
            <w:r>
              <w:rPr>
                <w:rFonts w:hint="eastAsia" w:ascii="宋体" w:hAnsi="宋体" w:eastAsia="宋体" w:cs="宋体"/>
                <w:color w:val="000000"/>
                <w:sz w:val="18"/>
                <w:szCs w:val="21"/>
              </w:rPr>
              <w:t>所有者权益（或股东权益）合计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少数股东权益</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所有者权益（或股东权益）合计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负债和所有者权益（或股东权益）总计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bl>
    <w:p>
      <w:pPr>
        <w:rPr>
          <w:rFonts w:ascii="Arial" w:hAnsi="Arial" w:eastAsia="黑体" w:cs="Times New Roman"/>
          <w:b/>
          <w:bCs/>
          <w:sz w:val="22"/>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5"/>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w:t>
      </w:r>
      <w:r>
        <w:rPr>
          <w:rFonts w:ascii="Arial" w:hAnsi="Arial" w:eastAsia="黑体"/>
          <w:b/>
          <w:bCs/>
          <w:sz w:val="22"/>
        </w:rPr>
        <w:t>资产负债表</w:t>
      </w:r>
      <w:r>
        <w:rPr>
          <w:rFonts w:hint="eastAsia" w:ascii="Arial" w:hAnsi="Arial" w:eastAsia="黑体"/>
          <w:b/>
          <w:bCs/>
          <w:sz w:val="22"/>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5"/>
        <w:gridCol w:w="3411"/>
        <w:gridCol w:w="341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项目</w:t>
            </w:r>
          </w:p>
        </w:tc>
        <w:tc>
          <w:tcPr>
            <w:tcW w:w="1725" w:type="pct"/>
            <w:tcBorders>
              <w:top w:val="single" w:color="5B9BD5" w:sz="4" w:space="0"/>
              <w:left w:val="single" w:color="5B9BD5" w:sz="4" w:space="0"/>
              <w:bottom w:val="single" w:color="5B9BD5" w:sz="4" w:space="0"/>
              <w:right w:val="single" w:color="5B9BD5" w:sz="4" w:space="0"/>
            </w:tcBorders>
            <w:shd w:val="clear" w:color="auto" w:fill="D0CECE"/>
          </w:tcPr>
          <w:p>
            <w:pPr>
              <w:jc w:val="center"/>
              <w:rPr>
                <w:rFonts w:ascii="宋体" w:hAnsi="宋体" w:eastAsia="宋体" w:cs="宋体"/>
                <w:b/>
                <w:color w:val="000000"/>
                <w:sz w:val="18"/>
                <w:szCs w:val="21"/>
              </w:rPr>
            </w:pPr>
            <w:r>
              <w:rPr>
                <w:rFonts w:hint="eastAsia" w:ascii="宋体" w:hAnsi="宋体" w:eastAsia="宋体" w:cs="Times New Roman"/>
                <w:b/>
                <w:sz w:val="18"/>
                <w:szCs w:val="18"/>
              </w:rPr>
              <w:t>2023年9月30日</w:t>
            </w:r>
          </w:p>
        </w:tc>
        <w:tc>
          <w:tcPr>
            <w:tcW w:w="1725" w:type="pct"/>
            <w:tcBorders>
              <w:top w:val="single" w:color="5B9BD5" w:sz="4" w:space="0"/>
              <w:left w:val="single" w:color="5B9BD5" w:sz="4" w:space="0"/>
              <w:bottom w:val="single" w:color="5B9BD5" w:sz="4" w:space="0"/>
              <w:right w:val="single" w:color="5B9BD5" w:sz="4" w:space="0"/>
            </w:tcBorders>
            <w:shd w:val="clear" w:color="auto" w:fill="D0CECE"/>
          </w:tcPr>
          <w:p>
            <w:pPr>
              <w:widowControl/>
              <w:jc w:val="left"/>
              <w:rPr>
                <w:rFonts w:ascii="宋体" w:hAnsi="宋体" w:eastAsia="宋体" w:cs="宋体"/>
                <w:b/>
                <w:color w:val="000000"/>
                <w:sz w:val="18"/>
                <w:szCs w:val="21"/>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资产：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货币资金</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宋体"/>
                <w:color w:val="000000"/>
                <w:sz w:val="18"/>
                <w:szCs w:val="21"/>
              </w:rPr>
            </w:pPr>
            <w:r>
              <w:rPr>
                <w:rFonts w:hint="eastAsia" w:ascii="宋体" w:hAnsi="宋体" w:eastAsia="宋体" w:cs="宋体"/>
                <w:color w:val="000000"/>
                <w:sz w:val="18"/>
                <w:szCs w:val="21"/>
              </w:rPr>
              <w:t>其中：客户资金存款</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结算备付金</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宋体"/>
                <w:color w:val="000000"/>
                <w:sz w:val="18"/>
                <w:szCs w:val="21"/>
              </w:rPr>
            </w:pPr>
            <w:r>
              <w:rPr>
                <w:rFonts w:hint="eastAsia" w:ascii="宋体" w:hAnsi="宋体" w:eastAsia="宋体" w:cs="宋体"/>
                <w:color w:val="000000"/>
                <w:sz w:val="18"/>
                <w:szCs w:val="21"/>
              </w:rPr>
              <w:t>其中：客户备付金</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贵金属</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拆出资金</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融出资金</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衍生金融资产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存出保证金</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应收款项</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合同资产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买入返售金融资产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持有待售资产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金融</w:t>
            </w:r>
            <w:r>
              <w:rPr>
                <w:rFonts w:ascii="宋体" w:hAnsi="宋体" w:eastAsia="宋体" w:cs="宋体"/>
                <w:color w:val="000000"/>
                <w:sz w:val="18"/>
                <w:szCs w:val="21"/>
              </w:rPr>
              <w:t>投资</w:t>
            </w:r>
            <w:r>
              <w:rPr>
                <w:rFonts w:hint="eastAsia" w:ascii="宋体" w:hAnsi="宋体" w:eastAsia="宋体" w:cs="宋体"/>
                <w:color w:val="000000"/>
                <w:sz w:val="18"/>
                <w:szCs w:val="21"/>
              </w:rPr>
              <w:t>：</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eastAsia="宋体" w:cs="宋体"/>
                <w:color w:val="000000"/>
                <w:sz w:val="18"/>
                <w:szCs w:val="21"/>
              </w:rPr>
            </w:pPr>
            <w:r>
              <w:rPr>
                <w:rFonts w:hint="eastAsia" w:ascii="宋体" w:hAnsi="宋体" w:eastAsia="宋体" w:cs="宋体"/>
                <w:color w:val="000000"/>
                <w:sz w:val="18"/>
                <w:szCs w:val="21"/>
              </w:rPr>
              <w:t>交易性</w:t>
            </w:r>
            <w:r>
              <w:rPr>
                <w:rFonts w:ascii="宋体" w:hAnsi="宋体" w:eastAsia="宋体" w:cs="宋体"/>
                <w:color w:val="000000"/>
                <w:sz w:val="18"/>
                <w:szCs w:val="21"/>
              </w:rPr>
              <w:t>金融资产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eastAsia="宋体" w:cs="宋体"/>
                <w:color w:val="000000"/>
                <w:sz w:val="18"/>
                <w:szCs w:val="21"/>
              </w:rPr>
            </w:pPr>
            <w:r>
              <w:rPr>
                <w:rFonts w:hint="eastAsia" w:ascii="宋体" w:hAnsi="宋体" w:eastAsia="宋体" w:cs="宋体"/>
                <w:color w:val="000000"/>
                <w:sz w:val="18"/>
                <w:szCs w:val="21"/>
              </w:rPr>
              <w:t>债权</w:t>
            </w:r>
            <w:r>
              <w:rPr>
                <w:rFonts w:ascii="宋体" w:hAnsi="宋体" w:eastAsia="宋体" w:cs="宋体"/>
                <w:color w:val="000000"/>
                <w:sz w:val="18"/>
                <w:szCs w:val="21"/>
              </w:rPr>
              <w:t>投资</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eastAsia="宋体" w:cs="宋体"/>
                <w:color w:val="000000"/>
                <w:sz w:val="18"/>
                <w:szCs w:val="21"/>
              </w:rPr>
            </w:pPr>
            <w:r>
              <w:rPr>
                <w:rFonts w:hint="eastAsia" w:ascii="宋体" w:hAnsi="宋体" w:eastAsia="宋体" w:cs="宋体"/>
                <w:color w:val="000000"/>
                <w:sz w:val="18"/>
                <w:szCs w:val="21"/>
              </w:rPr>
              <w:t>其他债权</w:t>
            </w:r>
            <w:r>
              <w:rPr>
                <w:rFonts w:ascii="宋体" w:hAnsi="宋体" w:eastAsia="宋体" w:cs="宋体"/>
                <w:color w:val="000000"/>
                <w:sz w:val="18"/>
                <w:szCs w:val="21"/>
              </w:rPr>
              <w:t>投资</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eastAsia="宋体" w:cs="宋体"/>
                <w:color w:val="000000"/>
                <w:sz w:val="18"/>
                <w:szCs w:val="21"/>
              </w:rPr>
            </w:pPr>
            <w:r>
              <w:rPr>
                <w:rFonts w:hint="eastAsia" w:ascii="宋体" w:hAnsi="宋体" w:eastAsia="宋体" w:cs="宋体"/>
                <w:color w:val="000000"/>
                <w:sz w:val="18"/>
                <w:szCs w:val="21"/>
              </w:rPr>
              <w:t>其他</w:t>
            </w:r>
            <w:r>
              <w:rPr>
                <w:rFonts w:ascii="宋体" w:hAnsi="宋体" w:eastAsia="宋体" w:cs="宋体"/>
                <w:color w:val="000000"/>
                <w:sz w:val="18"/>
                <w:szCs w:val="21"/>
              </w:rPr>
              <w:t>权益工具投资</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长期应收款</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长期股权投资</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投资性房地产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固定资产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在建工程</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使用权</w:t>
            </w:r>
            <w:r>
              <w:rPr>
                <w:rFonts w:ascii="宋体" w:hAnsi="宋体" w:eastAsia="宋体" w:cs="宋体"/>
                <w:color w:val="000000"/>
                <w:sz w:val="18"/>
                <w:szCs w:val="21"/>
              </w:rPr>
              <w:t>资产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无形</w:t>
            </w:r>
            <w:r>
              <w:rPr>
                <w:rFonts w:ascii="宋体" w:hAnsi="宋体" w:eastAsia="宋体" w:cs="宋体"/>
                <w:color w:val="000000"/>
                <w:sz w:val="18"/>
                <w:szCs w:val="21"/>
              </w:rPr>
              <w:t>资产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开发支出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商誉</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递延所得税资产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其他资产</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资产总计</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负债：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短期借款</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应付短期融资款</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拆入资金</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交易性</w:t>
            </w:r>
            <w:r>
              <w:rPr>
                <w:rFonts w:ascii="宋体" w:hAnsi="宋体" w:eastAsia="宋体" w:cs="宋体"/>
                <w:color w:val="000000"/>
                <w:sz w:val="18"/>
                <w:szCs w:val="21"/>
              </w:rPr>
              <w:t>金融负债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衍生金融负债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卖出回购金融资产款</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代理买卖证券款</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代理承销证券款</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应付职工薪酬</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应交税费</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应付款项</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合同负债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持有待售负债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预计负债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长期借款</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应付债券</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其中</w:t>
            </w:r>
            <w:r>
              <w:rPr>
                <w:rFonts w:ascii="宋体" w:hAnsi="宋体" w:eastAsia="宋体" w:cs="宋体"/>
                <w:color w:val="000000"/>
                <w:sz w:val="18"/>
                <w:szCs w:val="21"/>
              </w:rPr>
              <w:t>：优先股</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永续债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租赁负债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长期应付款</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长期应付职工薪酬</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递延所得税负债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递延收益</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其他负债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负债合计</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所有者权益（或股东权益）：</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实收资本（或股本）</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其他权益工具</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其中</w:t>
            </w:r>
            <w:r>
              <w:rPr>
                <w:rFonts w:ascii="宋体" w:hAnsi="宋体" w:eastAsia="宋体" w:cs="宋体"/>
                <w:color w:val="000000"/>
                <w:sz w:val="18"/>
                <w:szCs w:val="21"/>
              </w:rPr>
              <w:t>：优先股</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永续债</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资本公积</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减：库存股</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其他综合收益</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专项储备</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盈余公积</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一般风险准备</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未分配利润</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所有者权益（或股东权益）合计</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负债和所有者权益（或股东权益）总计</w:t>
            </w: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5"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bl>
    <w:p>
      <w:pPr>
        <w:pStyle w:val="64"/>
        <w:numPr>
          <w:ilvl w:val="0"/>
          <w:numId w:val="5"/>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893"/>
        <w:gridCol w:w="3513"/>
        <w:gridCol w:w="349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项目</w:t>
            </w:r>
          </w:p>
        </w:tc>
        <w:tc>
          <w:tcPr>
            <w:tcW w:w="1774"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1765" w:type="pct"/>
            <w:tcBorders>
              <w:top w:val="single" w:color="5B9BD5" w:sz="4" w:space="0"/>
              <w:left w:val="single" w:color="5B9BD5" w:sz="4" w:space="0"/>
              <w:bottom w:val="single" w:color="5B9BD5" w:sz="4" w:space="0"/>
              <w:right w:val="single" w:color="5B9BD5" w:sz="4" w:space="0"/>
            </w:tcBorders>
            <w:shd w:val="clear" w:color="auto" w:fill="D0CECE"/>
          </w:tcPr>
          <w:p>
            <w:pPr>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一、营业收入</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利息</w:t>
            </w:r>
            <w:r>
              <w:rPr>
                <w:rFonts w:ascii="宋体" w:hAnsi="宋体" w:eastAsia="宋体" w:cs="Times New Roman"/>
                <w:sz w:val="18"/>
                <w:szCs w:val="18"/>
              </w:rPr>
              <w:t>净收入</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其中：</w:t>
            </w:r>
            <w:r>
              <w:rPr>
                <w:rFonts w:ascii="宋体" w:hAnsi="宋体" w:eastAsia="宋体" w:cs="Times New Roman"/>
                <w:sz w:val="18"/>
                <w:szCs w:val="18"/>
              </w:rPr>
              <w:t>利息收入</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利息</w:t>
            </w:r>
            <w:r>
              <w:rPr>
                <w:rFonts w:ascii="宋体" w:hAnsi="宋体" w:eastAsia="宋体" w:cs="Times New Roman"/>
                <w:sz w:val="18"/>
                <w:szCs w:val="18"/>
              </w:rPr>
              <w:t>支出</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手续费及佣金净收入</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sz w:val="18"/>
                <w:szCs w:val="18"/>
              </w:rPr>
            </w:pPr>
            <w:r>
              <w:rPr>
                <w:rFonts w:hint="eastAsia" w:ascii="宋体" w:hAnsi="宋体" w:eastAsia="宋体" w:cs="Times New Roman"/>
                <w:sz w:val="18"/>
                <w:szCs w:val="18"/>
              </w:rPr>
              <w:t>其中：经纪业务手续费净收入</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eastAsia="宋体" w:cs="Times New Roman"/>
                <w:sz w:val="18"/>
                <w:szCs w:val="18"/>
              </w:rPr>
            </w:pPr>
            <w:r>
              <w:rPr>
                <w:rFonts w:hint="eastAsia" w:ascii="宋体" w:hAnsi="宋体" w:eastAsia="宋体" w:cs="Times New Roman"/>
                <w:sz w:val="18"/>
                <w:szCs w:val="18"/>
              </w:rPr>
              <w:t>投资银行业务手续费净收入</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eastAsia="宋体" w:cs="Times New Roman"/>
                <w:sz w:val="18"/>
                <w:szCs w:val="18"/>
              </w:rPr>
            </w:pPr>
            <w:r>
              <w:rPr>
                <w:rFonts w:hint="eastAsia" w:ascii="宋体" w:hAnsi="宋体" w:eastAsia="宋体" w:cs="Times New Roman"/>
                <w:sz w:val="18"/>
                <w:szCs w:val="18"/>
              </w:rPr>
              <w:t>资产管理业务手续费净收入</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投资收益（损失以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其中：对联营企业和合营企业的投资收益（损失以“－”号填列）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900" w:hanging="900" w:hangingChars="500"/>
              <w:jc w:val="left"/>
              <w:rPr>
                <w:rFonts w:ascii="宋体" w:hAnsi="宋体" w:eastAsia="宋体" w:cs="Times New Roman"/>
                <w:sz w:val="18"/>
                <w:szCs w:val="18"/>
              </w:rPr>
            </w:pPr>
            <w:r>
              <w:rPr>
                <w:rFonts w:hint="eastAsia" w:ascii="宋体" w:hAnsi="宋体" w:eastAsia="宋体" w:cs="Times New Roman"/>
                <w:sz w:val="18"/>
                <w:szCs w:val="18"/>
              </w:rPr>
              <w:t xml:space="preserve">          以</w:t>
            </w:r>
            <w:r>
              <w:rPr>
                <w:rFonts w:ascii="宋体" w:hAnsi="宋体" w:eastAsia="宋体" w:cs="Times New Roman"/>
                <w:sz w:val="18"/>
                <w:szCs w:val="18"/>
              </w:rPr>
              <w:t>摊余成本计量的金融资产终止确认产生的收益（</w:t>
            </w:r>
            <w:r>
              <w:rPr>
                <w:rFonts w:hint="eastAsia" w:ascii="宋体" w:hAnsi="宋体" w:eastAsia="宋体" w:cs="Times New Roman"/>
                <w:sz w:val="18"/>
                <w:szCs w:val="18"/>
              </w:rPr>
              <w:t>损失</w:t>
            </w:r>
            <w:r>
              <w:rPr>
                <w:rFonts w:ascii="宋体" w:hAnsi="宋体" w:eastAsia="宋体" w:cs="Times New Roman"/>
                <w:sz w:val="18"/>
                <w:szCs w:val="18"/>
              </w:rPr>
              <w:t>以“-”</w:t>
            </w:r>
            <w:r>
              <w:rPr>
                <w:rFonts w:hint="eastAsia" w:ascii="宋体" w:hAnsi="宋体" w:eastAsia="宋体" w:cs="Times New Roman"/>
                <w:sz w:val="18"/>
                <w:szCs w:val="18"/>
              </w:rPr>
              <w:t>号填列</w:t>
            </w:r>
            <w:r>
              <w:rPr>
                <w:rFonts w:ascii="宋体" w:hAnsi="宋体" w:eastAsia="宋体" w:cs="Times New Roman"/>
                <w:sz w:val="18"/>
                <w:szCs w:val="18"/>
              </w:rPr>
              <w:t>）</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净敞口套期</w:t>
            </w:r>
            <w:r>
              <w:rPr>
                <w:rFonts w:ascii="宋体" w:hAnsi="宋体" w:eastAsia="宋体" w:cs="Times New Roman"/>
                <w:sz w:val="18"/>
                <w:szCs w:val="18"/>
              </w:rPr>
              <w:t>收益（</w:t>
            </w:r>
            <w:r>
              <w:rPr>
                <w:rFonts w:hint="eastAsia" w:ascii="宋体" w:hAnsi="宋体" w:eastAsia="宋体" w:cs="Times New Roman"/>
                <w:sz w:val="18"/>
                <w:szCs w:val="18"/>
              </w:rPr>
              <w:t>损失</w:t>
            </w:r>
            <w:r>
              <w:rPr>
                <w:rFonts w:ascii="宋体" w:hAnsi="宋体" w:eastAsia="宋体" w:cs="Times New Roman"/>
                <w:sz w:val="18"/>
                <w:szCs w:val="18"/>
              </w:rPr>
              <w:t>以“-”</w:t>
            </w:r>
            <w:r>
              <w:rPr>
                <w:rFonts w:hint="eastAsia" w:ascii="宋体" w:hAnsi="宋体" w:eastAsia="宋体" w:cs="Times New Roman"/>
                <w:sz w:val="18"/>
                <w:szCs w:val="18"/>
              </w:rPr>
              <w:t>号填列</w:t>
            </w:r>
            <w:r>
              <w:rPr>
                <w:rFonts w:ascii="宋体" w:hAnsi="宋体" w:eastAsia="宋体" w:cs="Times New Roman"/>
                <w:sz w:val="18"/>
                <w:szCs w:val="18"/>
              </w:rPr>
              <w:t>）</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其他</w:t>
            </w:r>
            <w:r>
              <w:rPr>
                <w:rFonts w:ascii="宋体" w:hAnsi="宋体" w:eastAsia="宋体" w:cs="Times New Roman"/>
                <w:sz w:val="18"/>
                <w:szCs w:val="18"/>
              </w:rPr>
              <w:t>收益</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公允价值变动收益（损失以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汇兑收益（损失以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其他业务收入</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二、营业支出</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税金及附加</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业务及管理费</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信用</w:t>
            </w:r>
            <w:r>
              <w:rPr>
                <w:rFonts w:ascii="宋体" w:hAnsi="宋体" w:eastAsia="宋体" w:cs="Times New Roman"/>
                <w:sz w:val="18"/>
                <w:szCs w:val="18"/>
              </w:rPr>
              <w:t>减值损失</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其他资产减值损失</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其他业务成本</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三、营业利润（亏损以</w:t>
            </w:r>
            <w:r>
              <w:rPr>
                <w:rFonts w:ascii="宋体" w:hAnsi="宋体" w:eastAsia="宋体" w:cs="Times New Roman"/>
                <w:b/>
                <w:sz w:val="18"/>
                <w:szCs w:val="18"/>
              </w:rPr>
              <w:t xml:space="preserve">“-” </w:t>
            </w:r>
            <w:r>
              <w:rPr>
                <w:rFonts w:hint="eastAsia" w:ascii="宋体" w:hAnsi="宋体" w:eastAsia="宋体" w:cs="Times New Roman"/>
                <w:b/>
                <w:sz w:val="18"/>
                <w:szCs w:val="18"/>
              </w:rPr>
              <w:t>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加：营业外收入</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减：营业外支出</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四、利润总额（亏损总额以</w:t>
            </w:r>
            <w:r>
              <w:rPr>
                <w:rFonts w:ascii="宋体" w:hAnsi="宋体" w:eastAsia="宋体" w:cs="Times New Roman"/>
                <w:b/>
                <w:sz w:val="18"/>
                <w:szCs w:val="18"/>
              </w:rPr>
              <w:t>“-”</w:t>
            </w:r>
            <w:r>
              <w:rPr>
                <w:rFonts w:hint="eastAsia" w:ascii="宋体" w:hAnsi="宋体" w:eastAsia="宋体" w:cs="Times New Roman"/>
                <w:b/>
                <w:sz w:val="18"/>
                <w:szCs w:val="18"/>
              </w:rPr>
              <w:t>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减：所得税费用</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五、净利润（净亏损以</w:t>
            </w:r>
            <w:r>
              <w:rPr>
                <w:rFonts w:ascii="宋体" w:hAnsi="宋体" w:eastAsia="宋体" w:cs="Times New Roman"/>
                <w:b/>
                <w:sz w:val="18"/>
                <w:szCs w:val="18"/>
              </w:rPr>
              <w:t>“</w:t>
            </w:r>
            <w:r>
              <w:rPr>
                <w:rFonts w:hint="eastAsia" w:ascii="宋体" w:hAnsi="宋体" w:eastAsia="宋体" w:cs="Times New Roman"/>
                <w:b/>
                <w:sz w:val="18"/>
                <w:szCs w:val="18"/>
              </w:rPr>
              <w:t>－</w:t>
            </w:r>
            <w:r>
              <w:rPr>
                <w:rFonts w:ascii="宋体" w:hAnsi="宋体" w:eastAsia="宋体" w:cs="Times New Roman"/>
                <w:b/>
                <w:sz w:val="18"/>
                <w:szCs w:val="18"/>
              </w:rPr>
              <w:t>”</w:t>
            </w:r>
            <w:r>
              <w:rPr>
                <w:rFonts w:hint="eastAsia" w:ascii="宋体" w:hAnsi="宋体" w:eastAsia="宋体" w:cs="Times New Roman"/>
                <w:b/>
                <w:sz w:val="18"/>
                <w:szCs w:val="18"/>
              </w:rPr>
              <w:t>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（一）按经营持续性分类：</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1.持续经营净利润（净亏损以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2.终止经营净利润（净亏损以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（二）按所有权归属分类：</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eastAsia="宋体" w:cs="Times New Roman"/>
                <w:sz w:val="18"/>
                <w:szCs w:val="18"/>
              </w:rPr>
            </w:pPr>
            <w:r>
              <w:rPr>
                <w:rFonts w:hint="eastAsia" w:ascii="宋体" w:hAnsi="宋体" w:eastAsia="宋体" w:cs="Times New Roman"/>
                <w:sz w:val="18"/>
                <w:szCs w:val="18"/>
              </w:rPr>
              <w:t>1.归属于母公司股东的净利润（净亏损以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eastAsia="宋体" w:cs="Times New Roman"/>
                <w:sz w:val="18"/>
                <w:szCs w:val="18"/>
              </w:rPr>
            </w:pPr>
            <w:r>
              <w:rPr>
                <w:rFonts w:hint="eastAsia" w:ascii="宋体" w:hAnsi="宋体" w:eastAsia="宋体" w:cs="Times New Roman"/>
                <w:sz w:val="18"/>
                <w:szCs w:val="18"/>
              </w:rPr>
              <w:t>2. 少数股东损益（净亏损以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（一）归属母公司所有者的其他综合收益的税后净额</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不能重分类进损益的其他综合收益</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（2）权益法下不能转</w:t>
            </w:r>
            <w:r>
              <w:rPr>
                <w:rFonts w:ascii="宋体" w:hAnsi="宋体" w:eastAsia="宋体" w:cs="Times New Roman"/>
                <w:sz w:val="18"/>
                <w:szCs w:val="18"/>
              </w:rPr>
              <w:t>损益的其他综合收益</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（3）其他</w:t>
            </w:r>
            <w:r>
              <w:rPr>
                <w:rFonts w:ascii="宋体" w:hAnsi="宋体" w:eastAsia="宋体" w:cs="Times New Roman"/>
                <w:sz w:val="18"/>
                <w:szCs w:val="18"/>
              </w:rPr>
              <w:t>权益工具投</w:t>
            </w:r>
            <w:r>
              <w:rPr>
                <w:rFonts w:hint="eastAsia" w:ascii="宋体" w:hAnsi="宋体" w:eastAsia="宋体" w:cs="Times New Roman"/>
                <w:sz w:val="18"/>
                <w:szCs w:val="18"/>
              </w:rPr>
              <w:t>资</w:t>
            </w:r>
            <w:r>
              <w:rPr>
                <w:rFonts w:ascii="宋体" w:hAnsi="宋体" w:eastAsia="宋体" w:cs="Times New Roman"/>
                <w:sz w:val="18"/>
                <w:szCs w:val="18"/>
              </w:rPr>
              <w:t>公允</w:t>
            </w:r>
            <w:r>
              <w:rPr>
                <w:rFonts w:hint="eastAsia" w:ascii="宋体" w:hAnsi="宋体" w:eastAsia="宋体" w:cs="Times New Roman"/>
                <w:sz w:val="18"/>
                <w:szCs w:val="18"/>
              </w:rPr>
              <w:t>价值</w:t>
            </w:r>
            <w:r>
              <w:rPr>
                <w:rFonts w:ascii="宋体" w:hAnsi="宋体" w:eastAsia="宋体" w:cs="Times New Roman"/>
                <w:sz w:val="18"/>
                <w:szCs w:val="18"/>
              </w:rPr>
              <w:t>变动</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（4）企业</w:t>
            </w:r>
            <w:r>
              <w:rPr>
                <w:rFonts w:ascii="宋体" w:hAnsi="宋体" w:eastAsia="宋体" w:cs="Times New Roman"/>
                <w:sz w:val="18"/>
                <w:szCs w:val="18"/>
              </w:rPr>
              <w:t>自身信用风险</w:t>
            </w:r>
            <w:r>
              <w:rPr>
                <w:rFonts w:hint="eastAsia" w:ascii="宋体" w:hAnsi="宋体" w:eastAsia="宋体" w:cs="Times New Roman"/>
                <w:sz w:val="18"/>
                <w:szCs w:val="18"/>
              </w:rPr>
              <w:t>公允</w:t>
            </w:r>
            <w:r>
              <w:rPr>
                <w:rFonts w:ascii="宋体" w:hAnsi="宋体" w:eastAsia="宋体" w:cs="Times New Roman"/>
                <w:sz w:val="18"/>
                <w:szCs w:val="18"/>
              </w:rPr>
              <w:t>价值变动</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（5）其他</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（1）权益法下可转</w:t>
            </w:r>
            <w:r>
              <w:rPr>
                <w:rFonts w:ascii="宋体" w:hAnsi="宋体" w:eastAsia="宋体" w:cs="Times New Roman"/>
                <w:sz w:val="18"/>
                <w:szCs w:val="18"/>
              </w:rPr>
              <w:t>损益的其他综合收益</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2</w:t>
            </w:r>
            <w:r>
              <w:rPr>
                <w:rFonts w:hint="eastAsia" w:ascii="宋体" w:hAnsi="宋体" w:eastAsia="宋体" w:cs="Times New Roman"/>
                <w:sz w:val="18"/>
                <w:szCs w:val="18"/>
              </w:rPr>
              <w:t>）其他</w:t>
            </w:r>
            <w:r>
              <w:rPr>
                <w:rFonts w:ascii="宋体" w:hAnsi="宋体" w:eastAsia="宋体" w:cs="Times New Roman"/>
                <w:sz w:val="18"/>
                <w:szCs w:val="18"/>
              </w:rPr>
              <w:t>债权投资</w:t>
            </w:r>
            <w:r>
              <w:rPr>
                <w:rFonts w:hint="eastAsia" w:ascii="宋体" w:hAnsi="宋体" w:eastAsia="宋体" w:cs="Times New Roman"/>
                <w:sz w:val="18"/>
                <w:szCs w:val="18"/>
              </w:rPr>
              <w:t>公允</w:t>
            </w:r>
            <w:r>
              <w:rPr>
                <w:rFonts w:ascii="宋体" w:hAnsi="宋体" w:eastAsia="宋体" w:cs="Times New Roman"/>
                <w:sz w:val="18"/>
                <w:szCs w:val="18"/>
              </w:rPr>
              <w:t>价值变动</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w:t>
            </w:r>
            <w:r>
              <w:rPr>
                <w:rFonts w:ascii="宋体" w:hAnsi="宋体" w:eastAsia="宋体" w:cs="Times New Roman"/>
                <w:sz w:val="18"/>
                <w:szCs w:val="18"/>
              </w:rPr>
              <w:t>重分类计入其他综合收益的金额</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w:t>
            </w:r>
            <w:r>
              <w:rPr>
                <w:rFonts w:ascii="宋体" w:hAnsi="宋体" w:eastAsia="宋体" w:cs="Times New Roman"/>
                <w:sz w:val="18"/>
                <w:szCs w:val="18"/>
              </w:rPr>
              <w:t>债权</w:t>
            </w:r>
            <w:r>
              <w:rPr>
                <w:rFonts w:hint="eastAsia" w:ascii="宋体" w:hAnsi="宋体" w:eastAsia="宋体" w:cs="Times New Roman"/>
                <w:sz w:val="18"/>
                <w:szCs w:val="18"/>
              </w:rPr>
              <w:t>投资</w:t>
            </w:r>
            <w:r>
              <w:rPr>
                <w:rFonts w:ascii="宋体" w:hAnsi="宋体" w:eastAsia="宋体" w:cs="Times New Roman"/>
                <w:sz w:val="18"/>
                <w:szCs w:val="18"/>
              </w:rPr>
              <w:t>信用</w:t>
            </w:r>
            <w:r>
              <w:rPr>
                <w:rFonts w:hint="eastAsia" w:ascii="宋体" w:hAnsi="宋体" w:eastAsia="宋体" w:cs="Times New Roman"/>
                <w:sz w:val="18"/>
                <w:szCs w:val="18"/>
              </w:rPr>
              <w:t>损失</w:t>
            </w:r>
            <w:r>
              <w:rPr>
                <w:rFonts w:ascii="宋体" w:hAnsi="宋体" w:eastAsia="宋体" w:cs="Times New Roman"/>
                <w:sz w:val="18"/>
                <w:szCs w:val="18"/>
              </w:rPr>
              <w:t>准备</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6</w:t>
            </w:r>
            <w:r>
              <w:rPr>
                <w:rFonts w:hint="eastAsia" w:ascii="宋体" w:hAnsi="宋体" w:eastAsia="宋体" w:cs="Times New Roman"/>
                <w:sz w:val="18"/>
                <w:szCs w:val="18"/>
              </w:rPr>
              <w:t>）外币财务报表折算差额</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7</w:t>
            </w:r>
            <w:r>
              <w:rPr>
                <w:rFonts w:hint="eastAsia" w:ascii="宋体" w:hAnsi="宋体" w:eastAsia="宋体" w:cs="Times New Roman"/>
                <w:sz w:val="18"/>
                <w:szCs w:val="18"/>
              </w:rPr>
              <w:t>）其他</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（二）归属于少数股东的其他综合收益的税后净额</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七、综合收益总额</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（一）归属于母公司所有者的综合收益总额</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（二）归属于少数股东的综合收益总额</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八、每股收益：</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（一）基本每股收益</w:t>
            </w:r>
            <w:r>
              <w:rPr>
                <w:rFonts w:ascii="宋体" w:hAnsi="宋体" w:eastAsia="宋体" w:cs="Times New Roman"/>
                <w:sz w:val="18"/>
                <w:szCs w:val="18"/>
              </w:rPr>
              <w:t>(</w:t>
            </w:r>
            <w:r>
              <w:rPr>
                <w:rFonts w:hint="eastAsia" w:ascii="宋体" w:hAnsi="宋体" w:eastAsia="宋体" w:cs="Times New Roman"/>
                <w:sz w:val="18"/>
                <w:szCs w:val="18"/>
              </w:rPr>
              <w:t>元</w:t>
            </w:r>
            <w:r>
              <w:rPr>
                <w:rFonts w:ascii="宋体" w:hAnsi="宋体" w:eastAsia="宋体" w:cs="Times New Roman"/>
                <w:sz w:val="18"/>
                <w:szCs w:val="18"/>
              </w:rPr>
              <w:t>/</w:t>
            </w:r>
            <w:r>
              <w:rPr>
                <w:rFonts w:hint="eastAsia" w:ascii="宋体" w:hAnsi="宋体" w:eastAsia="宋体" w:cs="Times New Roman"/>
                <w:sz w:val="18"/>
                <w:szCs w:val="18"/>
              </w:rPr>
              <w:t>股</w:t>
            </w:r>
            <w:r>
              <w:rPr>
                <w:rFonts w:ascii="宋体" w:hAnsi="宋体" w:eastAsia="宋体" w:cs="Times New Roman"/>
                <w:sz w:val="18"/>
                <w:szCs w:val="18"/>
              </w:rPr>
              <w:t>)</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（二）稀释每股收益</w:t>
            </w:r>
            <w:r>
              <w:rPr>
                <w:rFonts w:ascii="宋体" w:hAnsi="宋体" w:eastAsia="宋体" w:cs="Times New Roman"/>
                <w:sz w:val="18"/>
                <w:szCs w:val="18"/>
              </w:rPr>
              <w:t>(</w:t>
            </w:r>
            <w:r>
              <w:rPr>
                <w:rFonts w:hint="eastAsia" w:ascii="宋体" w:hAnsi="宋体" w:eastAsia="宋体" w:cs="Times New Roman"/>
                <w:sz w:val="18"/>
                <w:szCs w:val="18"/>
              </w:rPr>
              <w:t>元</w:t>
            </w:r>
            <w:r>
              <w:rPr>
                <w:rFonts w:ascii="宋体" w:hAnsi="宋体" w:eastAsia="宋体" w:cs="Times New Roman"/>
                <w:sz w:val="18"/>
                <w:szCs w:val="18"/>
              </w:rPr>
              <w:t>/</w:t>
            </w:r>
            <w:r>
              <w:rPr>
                <w:rFonts w:hint="eastAsia" w:ascii="宋体" w:hAnsi="宋体" w:eastAsia="宋体" w:cs="Times New Roman"/>
                <w:sz w:val="18"/>
                <w:szCs w:val="18"/>
              </w:rPr>
              <w:t>股</w:t>
            </w:r>
            <w:r>
              <w:rPr>
                <w:rFonts w:ascii="宋体" w:hAnsi="宋体" w:eastAsia="宋体" w:cs="Times New Roman"/>
                <w:sz w:val="18"/>
                <w:szCs w:val="18"/>
              </w:rPr>
              <w:t>)</w:t>
            </w:r>
          </w:p>
        </w:tc>
        <w:tc>
          <w:tcPr>
            <w:tcW w:w="1774"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65"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numPr>
          <w:ilvl w:val="0"/>
          <w:numId w:val="5"/>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母公司利润表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13"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272"/>
        <w:gridCol w:w="3094"/>
        <w:gridCol w:w="349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项目</w:t>
            </w:r>
          </w:p>
        </w:tc>
        <w:tc>
          <w:tcPr>
            <w:tcW w:w="156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1772" w:type="pct"/>
            <w:tcBorders>
              <w:top w:val="single" w:color="5B9BD5" w:sz="4" w:space="0"/>
              <w:left w:val="single" w:color="5B9BD5" w:sz="4" w:space="0"/>
              <w:bottom w:val="single" w:color="5B9BD5" w:sz="4" w:space="0"/>
              <w:right w:val="single" w:color="5B9BD5" w:sz="4" w:space="0"/>
            </w:tcBorders>
            <w:shd w:val="clear" w:color="auto" w:fill="D0CECE"/>
          </w:tcPr>
          <w:p>
            <w:pPr>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一、营业收入</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利息</w:t>
            </w:r>
            <w:r>
              <w:rPr>
                <w:rFonts w:ascii="宋体" w:hAnsi="宋体" w:eastAsia="宋体" w:cs="Times New Roman"/>
                <w:sz w:val="18"/>
                <w:szCs w:val="18"/>
              </w:rPr>
              <w:t>净收入</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其中</w:t>
            </w:r>
            <w:r>
              <w:rPr>
                <w:rFonts w:ascii="宋体" w:hAnsi="宋体" w:eastAsia="宋体" w:cs="Times New Roman"/>
                <w:sz w:val="18"/>
                <w:szCs w:val="18"/>
              </w:rPr>
              <w:t>：利息收入</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利息</w:t>
            </w:r>
            <w:r>
              <w:rPr>
                <w:rFonts w:ascii="宋体" w:hAnsi="宋体" w:eastAsia="宋体" w:cs="Times New Roman"/>
                <w:sz w:val="18"/>
                <w:szCs w:val="18"/>
              </w:rPr>
              <w:t>支出</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手续费及佣金净收入</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sz w:val="18"/>
                <w:szCs w:val="18"/>
              </w:rPr>
            </w:pPr>
            <w:r>
              <w:rPr>
                <w:rFonts w:hint="eastAsia" w:ascii="宋体" w:hAnsi="宋体" w:eastAsia="宋体" w:cs="Times New Roman"/>
                <w:sz w:val="18"/>
                <w:szCs w:val="18"/>
              </w:rPr>
              <w:t>其中：经纪业务手续费净收入</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eastAsia="宋体" w:cs="Times New Roman"/>
                <w:sz w:val="18"/>
                <w:szCs w:val="18"/>
              </w:rPr>
            </w:pPr>
            <w:r>
              <w:rPr>
                <w:rFonts w:hint="eastAsia" w:ascii="宋体" w:hAnsi="宋体" w:eastAsia="宋体" w:cs="Times New Roman"/>
                <w:sz w:val="18"/>
                <w:szCs w:val="18"/>
              </w:rPr>
              <w:t>投资银行业务手续费净收入</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eastAsia="宋体" w:cs="Times New Roman"/>
                <w:sz w:val="18"/>
                <w:szCs w:val="18"/>
              </w:rPr>
            </w:pPr>
            <w:r>
              <w:rPr>
                <w:rFonts w:hint="eastAsia" w:ascii="宋体" w:hAnsi="宋体" w:eastAsia="宋体" w:cs="Times New Roman"/>
                <w:sz w:val="18"/>
                <w:szCs w:val="18"/>
              </w:rPr>
              <w:t>资产管理业务手续费净收入</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其中：对联营企业和合营企业的投资收益（损失以“－”号填列）</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900" w:hanging="900" w:hangingChars="500"/>
              <w:jc w:val="left"/>
              <w:rPr>
                <w:rFonts w:ascii="宋体" w:hAnsi="宋体" w:eastAsia="宋体" w:cs="Times New Roman"/>
                <w:sz w:val="18"/>
                <w:szCs w:val="18"/>
              </w:rPr>
            </w:pPr>
            <w:r>
              <w:rPr>
                <w:rFonts w:hint="eastAsia" w:ascii="宋体" w:hAnsi="宋体" w:eastAsia="宋体" w:cs="Times New Roman"/>
                <w:sz w:val="18"/>
                <w:szCs w:val="18"/>
              </w:rPr>
              <w:t xml:space="preserve">          以</w:t>
            </w:r>
            <w:r>
              <w:rPr>
                <w:rFonts w:ascii="宋体" w:hAnsi="宋体" w:eastAsia="宋体" w:cs="Times New Roman"/>
                <w:sz w:val="18"/>
                <w:szCs w:val="18"/>
              </w:rPr>
              <w:t>摊余成本计量的金融资产终止</w:t>
            </w:r>
            <w:r>
              <w:rPr>
                <w:rFonts w:hint="eastAsia" w:ascii="宋体" w:hAnsi="宋体" w:eastAsia="宋体" w:cs="Times New Roman"/>
                <w:sz w:val="18"/>
                <w:szCs w:val="18"/>
              </w:rPr>
              <w:t>确认</w:t>
            </w:r>
            <w:r>
              <w:rPr>
                <w:rFonts w:ascii="宋体" w:hAnsi="宋体" w:eastAsia="宋体" w:cs="Times New Roman"/>
                <w:sz w:val="18"/>
                <w:szCs w:val="18"/>
              </w:rPr>
              <w:t>产生的收益（</w:t>
            </w:r>
            <w:r>
              <w:rPr>
                <w:rFonts w:hint="eastAsia" w:ascii="宋体" w:hAnsi="宋体" w:eastAsia="宋体" w:cs="Times New Roman"/>
                <w:sz w:val="18"/>
                <w:szCs w:val="18"/>
              </w:rPr>
              <w:t>损失以“－”号填列</w:t>
            </w:r>
            <w:r>
              <w:rPr>
                <w:rFonts w:ascii="宋体" w:hAnsi="宋体" w:eastAsia="宋体" w:cs="Times New Roman"/>
                <w:sz w:val="18"/>
                <w:szCs w:val="18"/>
              </w:rPr>
              <w:t>）</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净敞口</w:t>
            </w:r>
            <w:r>
              <w:rPr>
                <w:rFonts w:ascii="宋体" w:hAnsi="宋体" w:eastAsia="宋体" w:cs="Times New Roman"/>
                <w:sz w:val="18"/>
                <w:szCs w:val="18"/>
              </w:rPr>
              <w:t>套期收益（</w:t>
            </w:r>
            <w:r>
              <w:rPr>
                <w:rFonts w:hint="eastAsia" w:ascii="宋体" w:hAnsi="宋体" w:eastAsia="宋体" w:cs="Times New Roman"/>
                <w:sz w:val="18"/>
                <w:szCs w:val="18"/>
              </w:rPr>
              <w:t>损失以“－”号填列</w:t>
            </w:r>
            <w:r>
              <w:rPr>
                <w:rFonts w:ascii="宋体" w:hAnsi="宋体" w:eastAsia="宋体" w:cs="Times New Roman"/>
                <w:sz w:val="18"/>
                <w:szCs w:val="18"/>
              </w:rPr>
              <w:t>）</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其他</w:t>
            </w:r>
            <w:r>
              <w:rPr>
                <w:rFonts w:ascii="宋体" w:hAnsi="宋体" w:eastAsia="宋体" w:cs="Times New Roman"/>
                <w:sz w:val="18"/>
                <w:szCs w:val="18"/>
              </w:rPr>
              <w:t>收益</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汇兑收益（损失以“－”号填列）</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其他业务收入</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二、营业支出</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税金及附加</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业务及管理费</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信用</w:t>
            </w:r>
            <w:r>
              <w:rPr>
                <w:rFonts w:ascii="宋体" w:hAnsi="宋体" w:eastAsia="宋体" w:cs="Times New Roman"/>
                <w:sz w:val="18"/>
                <w:szCs w:val="18"/>
              </w:rPr>
              <w:t>减值损失</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其他资产减值损失</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其他业务成本</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三、营业利润（亏损以“－”号填列）</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加：营业外收入</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减：营业外支出</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四、利润总额（亏损总额以“－”号填列）</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减：所得税费用</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b/>
                <w:sz w:val="18"/>
                <w:szCs w:val="18"/>
              </w:rPr>
              <w:t>五、净利润（净亏损以“－”号填列</w:t>
            </w:r>
            <w:r>
              <w:rPr>
                <w:rFonts w:hint="eastAsia" w:ascii="宋体" w:hAnsi="宋体" w:eastAsia="宋体" w:cs="Times New Roman"/>
                <w:sz w:val="18"/>
                <w:szCs w:val="18"/>
              </w:rPr>
              <w:t>）</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（一）不能重分类进损益的其他综合收益</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 xml:space="preserve"> 重新计量设定受益计划变动额</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 xml:space="preserve"> 权益法下不能转损益的其他综合收益</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3.</w:t>
            </w:r>
            <w:r>
              <w:rPr>
                <w:rFonts w:hint="eastAsia" w:ascii="Calibri" w:hAnsi="Calibri" w:eastAsia="宋体" w:cs="Times New Roman"/>
                <w:sz w:val="18"/>
                <w:szCs w:val="18"/>
              </w:rPr>
              <w:t xml:space="preserve"> 其他权益工具投资公允价值变动</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4.</w:t>
            </w:r>
            <w:r>
              <w:rPr>
                <w:rFonts w:hint="eastAsia" w:ascii="Calibri" w:hAnsi="Calibri" w:eastAsia="宋体" w:cs="Times New Roman"/>
                <w:sz w:val="18"/>
                <w:szCs w:val="18"/>
              </w:rPr>
              <w:t xml:space="preserve"> 企业自身信用风险公允价值变动</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5.其他</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 xml:space="preserve"> 权益法下可转损益的其他综合收益</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w:t>
            </w:r>
            <w:r>
              <w:rPr>
                <w:rFonts w:ascii="宋体" w:hAnsi="宋体" w:eastAsia="宋体" w:cs="Times New Roman"/>
                <w:sz w:val="18"/>
                <w:szCs w:val="18"/>
              </w:rPr>
              <w:t>2</w:t>
            </w:r>
            <w:r>
              <w:rPr>
                <w:rFonts w:hint="eastAsia" w:ascii="宋体" w:hAnsi="宋体" w:eastAsia="宋体" w:cs="Times New Roman"/>
                <w:sz w:val="18"/>
                <w:szCs w:val="18"/>
              </w:rPr>
              <w:t>.其他债权投资公允价值变动</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w:t>
            </w:r>
            <w:r>
              <w:rPr>
                <w:rFonts w:ascii="宋体" w:hAnsi="宋体" w:eastAsia="宋体" w:cs="Times New Roman"/>
                <w:sz w:val="18"/>
                <w:szCs w:val="18"/>
              </w:rPr>
              <w:t>4</w:t>
            </w:r>
            <w:r>
              <w:rPr>
                <w:rFonts w:hint="eastAsia" w:ascii="宋体" w:hAnsi="宋体" w:eastAsia="宋体" w:cs="Times New Roman"/>
                <w:sz w:val="18"/>
                <w:szCs w:val="18"/>
              </w:rPr>
              <w:t>.其他债权投资信用损失准备</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ascii="宋体" w:hAnsi="宋体" w:eastAsia="宋体" w:cs="Times New Roman"/>
                <w:sz w:val="18"/>
                <w:szCs w:val="18"/>
              </w:rPr>
              <w:t>5.现金流量套期</w:t>
            </w:r>
            <w:r>
              <w:rPr>
                <w:rFonts w:hint="eastAsia" w:ascii="宋体" w:hAnsi="宋体" w:eastAsia="宋体" w:cs="Times New Roman"/>
                <w:sz w:val="18"/>
                <w:szCs w:val="18"/>
              </w:rPr>
              <w:t>储备</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ascii="宋体" w:hAnsi="宋体" w:eastAsia="宋体" w:cs="Times New Roman"/>
                <w:sz w:val="18"/>
                <w:szCs w:val="18"/>
              </w:rPr>
              <w:t>6.外币财务报表折算差额</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ascii="宋体" w:hAnsi="宋体" w:eastAsia="宋体" w:cs="Times New Roman"/>
                <w:sz w:val="18"/>
                <w:szCs w:val="18"/>
              </w:rPr>
              <w:t xml:space="preserve">  7.其他</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七、综合收益总额</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八</w:t>
            </w:r>
            <w:r>
              <w:rPr>
                <w:rFonts w:ascii="宋体" w:hAnsi="宋体" w:eastAsia="宋体" w:cs="Times New Roman"/>
                <w:b/>
                <w:sz w:val="18"/>
                <w:szCs w:val="18"/>
              </w:rPr>
              <w:t>、每股收益：</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ascii="宋体" w:hAnsi="宋体" w:eastAsia="宋体" w:cs="Times New Roman"/>
                <w:sz w:val="18"/>
                <w:szCs w:val="18"/>
              </w:rPr>
              <w:t>（一）基本每股收益(元/股)</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ascii="宋体" w:hAnsi="宋体" w:eastAsia="宋体" w:cs="Times New Roman"/>
                <w:sz w:val="18"/>
                <w:szCs w:val="18"/>
              </w:rPr>
              <w:t>（二）稀释每股收益(元/股)</w:t>
            </w:r>
          </w:p>
        </w:tc>
        <w:tc>
          <w:tcPr>
            <w:tcW w:w="1569"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c>
          <w:tcPr>
            <w:tcW w:w="1772" w:type="pct"/>
            <w:tcBorders>
              <w:top w:val="single" w:color="5B9BD5" w:sz="4" w:space="0"/>
              <w:left w:val="single" w:color="5B9BD5" w:sz="4" w:space="0"/>
              <w:bottom w:val="single" w:color="5B9BD5" w:sz="4" w:space="0"/>
              <w:right w:val="single" w:color="5B9BD5" w:sz="4" w:space="0"/>
            </w:tcBorders>
          </w:tcPr>
          <w:p>
            <w:pPr>
              <w:jc w:val="center"/>
              <w:rPr>
                <w:rFonts w:ascii="宋体" w:hAnsi="宋体" w:eastAsia="宋体" w:cs="Times New Roman"/>
                <w:b/>
                <w:sz w:val="18"/>
                <w:szCs w:val="18"/>
              </w:rPr>
            </w:pPr>
          </w:p>
        </w:tc>
      </w:tr>
    </w:tbl>
    <w:p>
      <w:pPr>
        <w:rPr>
          <w:rFonts w:ascii="宋体" w:hAnsi="宋体" w:eastAsia="宋体" w:cs="Times New Roman"/>
          <w:sz w:val="18"/>
          <w:szCs w:val="18"/>
        </w:rPr>
      </w:pPr>
    </w:p>
    <w:p>
      <w:pPr>
        <w:pStyle w:val="64"/>
        <w:numPr>
          <w:ilvl w:val="0"/>
          <w:numId w:val="5"/>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5"/>
        <w:gridCol w:w="2612"/>
        <w:gridCol w:w="261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项目</w:t>
            </w:r>
          </w:p>
        </w:tc>
        <w:tc>
          <w:tcPr>
            <w:tcW w:w="132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b/>
                <w:sz w:val="18"/>
                <w:szCs w:val="18"/>
              </w:rPr>
              <w:t>2023年1-9月</w:t>
            </w:r>
          </w:p>
        </w:tc>
        <w:tc>
          <w:tcPr>
            <w:tcW w:w="132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一、经营活动产生的现金流量：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w:t>
            </w:r>
            <w:r>
              <w:rPr>
                <w:rFonts w:hint="eastAsia" w:ascii="宋体" w:hAnsi="宋体" w:eastAsia="宋体" w:cs="Times New Roman"/>
                <w:color w:val="000000"/>
                <w:sz w:val="18"/>
                <w:szCs w:val="21"/>
              </w:rPr>
              <w:t>减少</w:t>
            </w:r>
            <w:r>
              <w:rPr>
                <w:rFonts w:ascii="宋体" w:hAnsi="宋体" w:eastAsia="宋体" w:cs="Times New Roman"/>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销售</w:t>
            </w:r>
            <w:r>
              <w:rPr>
                <w:rFonts w:ascii="宋体" w:hAnsi="宋体" w:eastAsia="宋体" w:cs="Times New Roman"/>
                <w:color w:val="000000"/>
                <w:sz w:val="18"/>
                <w:szCs w:val="21"/>
              </w:rPr>
              <w:t>商品、提供劳务收到的现金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收取利息、手续费及佣金的现金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拆入资金净增加额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kern w:val="0"/>
                <w:sz w:val="18"/>
                <w:szCs w:val="21"/>
              </w:rPr>
              <w:t>拆出资金净减少额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回购业务资金净增加额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kern w:val="0"/>
                <w:sz w:val="18"/>
                <w:szCs w:val="21"/>
              </w:rPr>
              <w:t>返售业务资金净减少额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融出资金净减少额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代理买卖证券收到的现金净额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为</w:t>
            </w:r>
            <w:r>
              <w:rPr>
                <w:rFonts w:ascii="宋体" w:hAnsi="宋体" w:eastAsia="宋体" w:cs="Times New Roman"/>
                <w:color w:val="000000"/>
                <w:sz w:val="18"/>
                <w:szCs w:val="21"/>
              </w:rPr>
              <w:t>交易目的而持有的金融资产净增加额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kern w:val="0"/>
                <w:sz w:val="18"/>
                <w:szCs w:val="21"/>
              </w:rPr>
              <w:t>拆入资金净减少额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拆</w:t>
            </w:r>
            <w:r>
              <w:rPr>
                <w:rFonts w:hint="eastAsia" w:ascii="宋体" w:hAnsi="宋体" w:eastAsia="宋体" w:cs="Times New Roman"/>
                <w:color w:val="000000"/>
                <w:sz w:val="18"/>
                <w:szCs w:val="21"/>
              </w:rPr>
              <w:t>出</w:t>
            </w:r>
            <w:r>
              <w:rPr>
                <w:rFonts w:ascii="宋体" w:hAnsi="宋体" w:eastAsia="宋体" w:cs="Times New Roman"/>
                <w:color w:val="000000"/>
                <w:sz w:val="18"/>
                <w:szCs w:val="21"/>
              </w:rPr>
              <w:t>资金净</w:t>
            </w:r>
            <w:r>
              <w:rPr>
                <w:rFonts w:hint="eastAsia" w:ascii="宋体" w:hAnsi="宋体" w:eastAsia="宋体" w:cs="Times New Roman"/>
                <w:color w:val="000000"/>
                <w:sz w:val="18"/>
                <w:szCs w:val="21"/>
              </w:rPr>
              <w:t>增加</w:t>
            </w:r>
            <w:r>
              <w:rPr>
                <w:rFonts w:ascii="宋体" w:hAnsi="宋体" w:eastAsia="宋体" w:cs="Times New Roman"/>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kern w:val="0"/>
                <w:sz w:val="18"/>
                <w:szCs w:val="21"/>
              </w:rPr>
              <w:t>回购业务资金净减少</w:t>
            </w:r>
            <w:r>
              <w:rPr>
                <w:rFonts w:ascii="宋体" w:hAnsi="宋体" w:eastAsia="宋体" w:cs="Times New Roman"/>
                <w:color w:val="000000"/>
                <w:kern w:val="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返售</w:t>
            </w:r>
            <w:r>
              <w:rPr>
                <w:rFonts w:ascii="宋体" w:hAnsi="宋体" w:eastAsia="宋体" w:cs="Times New Roman"/>
                <w:color w:val="000000"/>
                <w:sz w:val="18"/>
                <w:szCs w:val="21"/>
              </w:rPr>
              <w:t>业务</w:t>
            </w:r>
            <w:r>
              <w:rPr>
                <w:rFonts w:hint="eastAsia" w:ascii="宋体" w:hAnsi="宋体" w:eastAsia="宋体" w:cs="Times New Roman"/>
                <w:color w:val="000000"/>
                <w:sz w:val="18"/>
                <w:szCs w:val="21"/>
              </w:rPr>
              <w:t>资金</w:t>
            </w:r>
            <w:r>
              <w:rPr>
                <w:rFonts w:ascii="宋体" w:hAnsi="宋体" w:eastAsia="宋体" w:cs="Times New Roman"/>
                <w:color w:val="000000"/>
                <w:sz w:val="18"/>
                <w:szCs w:val="21"/>
              </w:rPr>
              <w:t>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融出资金净增加额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代理买卖证券支付的现金净额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支付给职工以及为职工支付的现金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支付的各项税费</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二、投资活动产生的现金流量：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收回投资收到的现金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取得投资收益收到的现金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eastAsia="宋体" w:cs="Times New Roman"/>
                <w:color w:val="000000"/>
                <w:sz w:val="18"/>
                <w:szCs w:val="21"/>
              </w:rPr>
            </w:pPr>
            <w:r>
              <w:rPr>
                <w:rFonts w:ascii="宋体" w:hAnsi="宋体" w:eastAsia="宋体" w:cs="Times New Roman"/>
                <w:color w:val="000000"/>
                <w:sz w:val="18"/>
                <w:szCs w:val="21"/>
              </w:rPr>
              <w:t>处置</w:t>
            </w:r>
            <w:r>
              <w:rPr>
                <w:rFonts w:hint="eastAsia" w:ascii="宋体" w:hAnsi="宋体" w:eastAsia="宋体" w:cs="Times New Roman"/>
                <w:color w:val="000000"/>
                <w:sz w:val="18"/>
                <w:szCs w:val="21"/>
              </w:rPr>
              <w:t>固定资产</w:t>
            </w:r>
            <w:r>
              <w:rPr>
                <w:rFonts w:ascii="宋体" w:hAnsi="宋体" w:eastAsia="宋体" w:cs="Times New Roman"/>
                <w:color w:val="000000"/>
                <w:sz w:val="18"/>
                <w:szCs w:val="21"/>
              </w:rPr>
              <w:t>、无形资产和其他长期资产收</w:t>
            </w:r>
            <w:r>
              <w:rPr>
                <w:rFonts w:hint="eastAsia" w:ascii="宋体" w:hAnsi="宋体" w:eastAsia="宋体" w:cs="Times New Roman"/>
                <w:color w:val="000000"/>
                <w:sz w:val="18"/>
                <w:szCs w:val="21"/>
              </w:rPr>
              <w:t>回</w:t>
            </w:r>
            <w:r>
              <w:rPr>
                <w:rFonts w:ascii="宋体" w:hAnsi="宋体" w:eastAsia="宋体" w:cs="Times New Roman"/>
                <w:color w:val="000000"/>
                <w:sz w:val="18"/>
                <w:szCs w:val="21"/>
              </w:rPr>
              <w:t>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处置</w:t>
            </w:r>
            <w:r>
              <w:rPr>
                <w:rFonts w:ascii="宋体" w:hAnsi="宋体" w:eastAsia="宋体" w:cs="Times New Roman"/>
                <w:color w:val="000000"/>
                <w:sz w:val="18"/>
                <w:szCs w:val="21"/>
              </w:rPr>
              <w:t>子公司及其他营业单位</w:t>
            </w:r>
            <w:r>
              <w:rPr>
                <w:rFonts w:hint="eastAsia" w:ascii="宋体" w:hAnsi="宋体" w:eastAsia="宋体" w:cs="Times New Roman"/>
                <w:color w:val="000000"/>
                <w:sz w:val="18"/>
                <w:szCs w:val="21"/>
              </w:rPr>
              <w:t>收到</w:t>
            </w:r>
            <w:r>
              <w:rPr>
                <w:rFonts w:ascii="宋体" w:hAnsi="宋体" w:eastAsia="宋体" w:cs="Times New Roman"/>
                <w:color w:val="000000"/>
                <w:sz w:val="18"/>
                <w:szCs w:val="21"/>
              </w:rPr>
              <w:t>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投资支付的现金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购建固定资产、无形资产和其他长期资产支付的现金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取得子公司及其他营业单位支付的现金净额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三、筹资活动产生的现金流量：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吸收投资收到的现金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color w:val="000000"/>
                <w:sz w:val="18"/>
                <w:szCs w:val="21"/>
              </w:rPr>
            </w:pPr>
            <w:r>
              <w:rPr>
                <w:rFonts w:ascii="宋体" w:hAnsi="宋体" w:eastAsia="宋体" w:cs="Times New Roman"/>
                <w:color w:val="000000"/>
                <w:sz w:val="18"/>
                <w:szCs w:val="21"/>
              </w:rPr>
              <w:t>其中：子公司吸收少数股东投资收到的现金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取得借款收到的现金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发行债券收到的现金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偿还债务支付的现金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分配股利、利润或偿付利息支付的现金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color w:val="000000"/>
                <w:sz w:val="18"/>
                <w:szCs w:val="21"/>
              </w:rPr>
            </w:pPr>
            <w:r>
              <w:rPr>
                <w:rFonts w:ascii="宋体" w:hAnsi="宋体" w:eastAsia="宋体" w:cs="Times New Roman"/>
                <w:color w:val="000000"/>
                <w:sz w:val="18"/>
                <w:szCs w:val="21"/>
              </w:rPr>
              <w:t>其中：子公司支付给少数股东的股利、利润</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四、汇率变动对现金及现金等价物的影响</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五、现金及现金等价物净增加额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加：期初现金及现金等价物余额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六、期末现金及现金等价物余额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numPr>
          <w:ilvl w:val="0"/>
          <w:numId w:val="5"/>
        </w:numPr>
        <w:spacing w:before="100" w:after="100" w:line="377" w:lineRule="auto"/>
        <w:ind w:firstLineChars="0"/>
        <w:jc w:val="left"/>
        <w:outlineLvl w:val="2"/>
        <w:rPr>
          <w:rFonts w:ascii="Arial" w:hAnsi="Arial" w:eastAsia="黑体"/>
          <w:b/>
          <w:bCs/>
          <w:sz w:val="22"/>
        </w:rPr>
      </w:pPr>
      <w:r>
        <w:rPr>
          <w:rFonts w:ascii="Arial" w:hAnsi="Arial" w:eastAsia="黑体"/>
          <w:b/>
          <w:bCs/>
          <w:sz w:val="22"/>
        </w:rPr>
        <w:t>母公司</w:t>
      </w:r>
      <w:r>
        <w:rPr>
          <w:rFonts w:hint="eastAsia" w:ascii="Arial" w:hAnsi="Arial" w:eastAsia="黑体"/>
          <w:b/>
          <w:bCs/>
          <w:sz w:val="22"/>
        </w:rPr>
        <w:t>现金</w:t>
      </w:r>
      <w:r>
        <w:rPr>
          <w:rFonts w:ascii="Arial" w:hAnsi="Arial" w:eastAsia="黑体"/>
          <w:b/>
          <w:bCs/>
          <w:sz w:val="22"/>
        </w:rPr>
        <w:t>流</w:t>
      </w:r>
      <w:r>
        <w:rPr>
          <w:rFonts w:hint="eastAsia" w:ascii="Arial" w:hAnsi="Arial" w:eastAsia="黑体"/>
          <w:b/>
          <w:bCs/>
          <w:sz w:val="22"/>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5829" w:type="pct"/>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3"/>
        <w:gridCol w:w="2612"/>
        <w:gridCol w:w="26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项目</w:t>
            </w:r>
          </w:p>
        </w:tc>
        <w:tc>
          <w:tcPr>
            <w:tcW w:w="132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b/>
                <w:sz w:val="18"/>
                <w:szCs w:val="18"/>
              </w:rPr>
              <w:t>2023年1-9月</w:t>
            </w:r>
          </w:p>
        </w:tc>
        <w:tc>
          <w:tcPr>
            <w:tcW w:w="132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一、经营活动产生的现金流量：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为</w:t>
            </w:r>
            <w:r>
              <w:rPr>
                <w:rFonts w:ascii="宋体" w:hAnsi="宋体" w:eastAsia="宋体" w:cs="Times New Roman"/>
                <w:color w:val="000000"/>
                <w:sz w:val="18"/>
                <w:szCs w:val="21"/>
              </w:rPr>
              <w:t>交易目的而持有的金融资产</w:t>
            </w:r>
            <w:r>
              <w:rPr>
                <w:rFonts w:hint="eastAsia" w:ascii="宋体" w:hAnsi="宋体" w:eastAsia="宋体" w:cs="Times New Roman"/>
                <w:color w:val="000000"/>
                <w:sz w:val="18"/>
                <w:szCs w:val="21"/>
              </w:rPr>
              <w:t>净</w:t>
            </w:r>
            <w:r>
              <w:rPr>
                <w:rFonts w:ascii="宋体" w:hAnsi="宋体" w:eastAsia="宋体" w:cs="Times New Roman"/>
                <w:color w:val="000000"/>
                <w:sz w:val="18"/>
                <w:szCs w:val="21"/>
              </w:rPr>
              <w:t>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销售商品</w:t>
            </w:r>
            <w:r>
              <w:rPr>
                <w:rFonts w:ascii="宋体" w:hAnsi="宋体" w:eastAsia="宋体" w:cs="Times New Roman"/>
                <w:color w:val="000000"/>
                <w:sz w:val="18"/>
                <w:szCs w:val="21"/>
              </w:rPr>
              <w:t>、提供劳务</w:t>
            </w:r>
            <w:r>
              <w:rPr>
                <w:rFonts w:hint="eastAsia" w:ascii="宋体" w:hAnsi="宋体" w:eastAsia="宋体" w:cs="Times New Roman"/>
                <w:color w:val="000000"/>
                <w:sz w:val="18"/>
                <w:szCs w:val="21"/>
              </w:rPr>
              <w:t>收到</w:t>
            </w:r>
            <w:r>
              <w:rPr>
                <w:rFonts w:ascii="宋体" w:hAnsi="宋体" w:eastAsia="宋体" w:cs="Times New Roman"/>
                <w:color w:val="000000"/>
                <w:sz w:val="18"/>
                <w:szCs w:val="21"/>
              </w:rPr>
              <w:t>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收取利息、手续费及佣金的现金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拆入资金净增加额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拆出资金净减少额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回购业务资金净增加额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返售业务资金净减少额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融出资金净减少额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代理买卖证券收到的现金净额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为</w:t>
            </w:r>
            <w:r>
              <w:rPr>
                <w:rFonts w:ascii="宋体" w:hAnsi="宋体" w:eastAsia="宋体" w:cs="Times New Roman"/>
                <w:color w:val="000000"/>
                <w:sz w:val="18"/>
                <w:szCs w:val="21"/>
              </w:rPr>
              <w:t>交易目的</w:t>
            </w:r>
            <w:r>
              <w:rPr>
                <w:rFonts w:hint="eastAsia" w:ascii="宋体" w:hAnsi="宋体" w:eastAsia="宋体" w:cs="Times New Roman"/>
                <w:color w:val="000000"/>
                <w:sz w:val="18"/>
                <w:szCs w:val="21"/>
              </w:rPr>
              <w:t>而</w:t>
            </w:r>
            <w:r>
              <w:rPr>
                <w:rFonts w:ascii="宋体" w:hAnsi="宋体" w:eastAsia="宋体" w:cs="Times New Roman"/>
                <w:color w:val="000000"/>
                <w:sz w:val="18"/>
                <w:szCs w:val="21"/>
              </w:rPr>
              <w:t>持有的金融资产净增加额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color w:val="000000"/>
                <w:sz w:val="18"/>
                <w:szCs w:val="18"/>
              </w:rPr>
              <w:t>拆入资金净减少额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color w:val="000000"/>
                <w:sz w:val="18"/>
                <w:szCs w:val="18"/>
              </w:rPr>
              <w:t>拆出资金净增加额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color w:val="000000"/>
                <w:sz w:val="18"/>
                <w:szCs w:val="18"/>
              </w:rPr>
              <w:t>回购业务资金净减少额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color w:val="000000"/>
                <w:sz w:val="18"/>
                <w:szCs w:val="18"/>
              </w:rPr>
              <w:t>返售业务资金净增加额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融出资金净增加额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代理买卖证券支付的现金净额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支付给职工以及为职工支付的现金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支付的各项税费</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二、投资活动产生的现金流量：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收回投资收到的现金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取得投资收益收到的现金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80" w:hanging="180" w:hanging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处置</w:t>
            </w:r>
            <w:r>
              <w:rPr>
                <w:rFonts w:ascii="宋体" w:hAnsi="宋体" w:eastAsia="宋体" w:cs="Times New Roman"/>
                <w:color w:val="000000"/>
                <w:sz w:val="18"/>
                <w:szCs w:val="21"/>
              </w:rPr>
              <w:t>固定资产、无形资产和其他长期资产收回的现金净额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处置</w:t>
            </w:r>
            <w:r>
              <w:rPr>
                <w:rFonts w:ascii="宋体" w:hAnsi="宋体" w:eastAsia="宋体" w:cs="Times New Roman"/>
                <w:color w:val="000000"/>
                <w:sz w:val="18"/>
                <w:szCs w:val="21"/>
              </w:rPr>
              <w:t>子公司及其他营业单位</w:t>
            </w:r>
            <w:r>
              <w:rPr>
                <w:rFonts w:hint="eastAsia" w:ascii="宋体" w:hAnsi="宋体" w:eastAsia="宋体" w:cs="Times New Roman"/>
                <w:color w:val="000000"/>
                <w:sz w:val="18"/>
                <w:szCs w:val="21"/>
              </w:rPr>
              <w:t>收到</w:t>
            </w:r>
            <w:r>
              <w:rPr>
                <w:rFonts w:ascii="宋体" w:hAnsi="宋体" w:eastAsia="宋体" w:cs="Times New Roman"/>
                <w:color w:val="000000"/>
                <w:sz w:val="18"/>
                <w:szCs w:val="21"/>
              </w:rPr>
              <w:t>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投资支付的现金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购建固定资产、无形资产和其他长期资产支付的现金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取得子公司及其他营业单位支付的现金净额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三、筹资活动产生的现金流量：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吸收投资收到的现金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取得借款收到的现金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发行债券收到的现金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偿还债务支付的现金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分配股利、利润或偿付利息支付的现金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四、汇率变动对现金及现金等价物的影响</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五、现金及现金等价物净增加额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加：期初现金及现金等价物余额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六、期末现金及现金等价物余额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bl>
    <w:p>
      <w:pPr>
        <w:spacing w:before="240" w:after="60" w:line="312" w:lineRule="auto"/>
        <w:jc w:val="center"/>
        <w:outlineLvl w:val="1"/>
        <w:rPr>
          <w:rFonts w:ascii="黑体" w:hAnsi="黑体" w:eastAsia="黑体" w:cs="Times New Roman"/>
          <w:bCs/>
          <w:kern w:val="28"/>
          <w:sz w:val="36"/>
          <w:szCs w:val="36"/>
        </w:rPr>
        <w:sectPr>
          <w:pgSz w:w="11906" w:h="16838"/>
          <w:pgMar w:top="1440" w:right="1841" w:bottom="1440" w:left="1800" w:header="851" w:footer="992" w:gutter="0"/>
          <w:cols w:space="425" w:num="1"/>
          <w:docGrid w:type="lines" w:linePitch="312" w:charSpace="0"/>
        </w:sectPr>
      </w:pP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保险公司</w:t>
      </w:r>
      <w:r>
        <w:rPr>
          <w:rFonts w:ascii="宋体" w:hAnsi="宋体" w:eastAsia="宋体" w:cs="Times New Roman"/>
          <w:b/>
          <w:color w:val="000000"/>
          <w:szCs w:val="21"/>
        </w:rPr>
        <w:t>：</w:t>
      </w:r>
    </w:p>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657"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3"/>
        <w:gridCol w:w="3276"/>
        <w:gridCol w:w="327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blHeader/>
        </w:trPr>
        <w:tc>
          <w:tcPr>
            <w:tcW w:w="1586"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707"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2023年9月30日</w:t>
            </w:r>
          </w:p>
        </w:tc>
        <w:tc>
          <w:tcPr>
            <w:tcW w:w="1707"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tcPr>
          <w:p>
            <w:pPr>
              <w:jc w:val="left"/>
              <w:rPr>
                <w:rFonts w:ascii="宋体" w:hAnsi="宋体" w:eastAsia="宋体" w:cs="Times New Roman"/>
                <w:b/>
                <w:color w:val="000000"/>
                <w:sz w:val="18"/>
                <w:szCs w:val="21"/>
              </w:rPr>
            </w:pPr>
            <w:r>
              <w:rPr>
                <w:rFonts w:hint="eastAsia" w:ascii="宋体" w:hAnsi="宋体" w:eastAsia="宋体" w:cs="Times New Roman"/>
                <w:b/>
                <w:color w:val="000000"/>
                <w:sz w:val="18"/>
                <w:szCs w:val="21"/>
              </w:rPr>
              <w:t>资产：</w:t>
            </w:r>
          </w:p>
        </w:tc>
        <w:tc>
          <w:tcPr>
            <w:tcW w:w="1707" w:type="pct"/>
            <w:shd w:val="clear" w:color="auto" w:fill="auto"/>
          </w:tcPr>
          <w:p>
            <w:pPr>
              <w:jc w:val="right"/>
              <w:rPr>
                <w:rFonts w:ascii="宋体" w:hAnsi="宋体" w:eastAsia="宋体" w:cs="宋体"/>
                <w:color w:val="000000"/>
                <w:sz w:val="18"/>
                <w:szCs w:val="21"/>
              </w:rPr>
            </w:pPr>
          </w:p>
        </w:tc>
        <w:tc>
          <w:tcPr>
            <w:tcW w:w="1707" w:type="pct"/>
            <w:shd w:val="clear" w:color="auto" w:fill="auto"/>
          </w:tcPr>
          <w:p>
            <w:pPr>
              <w:jc w:val="right"/>
              <w:rPr>
                <w:rFonts w:ascii="宋体" w:hAnsi="宋体" w:eastAsia="宋体" w:cs="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货币资金</w:t>
            </w:r>
          </w:p>
        </w:tc>
        <w:tc>
          <w:tcPr>
            <w:tcW w:w="1707" w:type="pct"/>
            <w:shd w:val="clear" w:color="auto" w:fill="auto"/>
          </w:tcPr>
          <w:p>
            <w:pPr>
              <w:widowControl/>
              <w:jc w:val="right"/>
              <w:rPr>
                <w:rFonts w:ascii="宋体" w:hAnsi="宋体" w:eastAsia="宋体" w:cs="宋体"/>
                <w:color w:val="000000"/>
                <w:sz w:val="18"/>
                <w:szCs w:val="21"/>
              </w:rPr>
            </w:pPr>
          </w:p>
        </w:tc>
        <w:tc>
          <w:tcPr>
            <w:tcW w:w="1707" w:type="pct"/>
            <w:shd w:val="clear" w:color="auto" w:fill="auto"/>
          </w:tcPr>
          <w:p>
            <w:pPr>
              <w:widowControl/>
              <w:jc w:val="right"/>
              <w:rPr>
                <w:rFonts w:ascii="宋体" w:hAnsi="宋体" w:eastAsia="宋体" w:cs="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以公允价值计量</w:t>
            </w:r>
            <w:r>
              <w:rPr>
                <w:rFonts w:ascii="宋体" w:hAnsi="宋体" w:eastAsia="宋体" w:cs="Times New Roman"/>
                <w:color w:val="000000"/>
                <w:sz w:val="18"/>
                <w:szCs w:val="21"/>
              </w:rPr>
              <w:t>且其变动计入当期损益的金融资产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衍生金融资产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买入返售金融资产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应收证券清算款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应收利息</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应收保费</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应收代位追偿款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应收分保账款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预付手续费</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应收分保未到期责任准备金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应收分保未决赔款准备金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应收分保寿险责任准备金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应收分保长期健康险责任准备金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保户质押贷款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债权计划投资</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定期存款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存出保证金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代付赔款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其他应收款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预付赔款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可供出售金融资产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持有至到期投资</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归入贷款及应收款的投资</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长期股权投资</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存出资本保证金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投资性房地产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固定资产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在建工程</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无形资产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商誉</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损余物资</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独立账户资产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递延所得税资产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资产总计</w:t>
            </w:r>
          </w:p>
        </w:tc>
        <w:tc>
          <w:tcPr>
            <w:tcW w:w="1707" w:type="pct"/>
            <w:shd w:val="clear" w:color="auto" w:fill="D9D9D9"/>
          </w:tcPr>
          <w:p>
            <w:pPr>
              <w:widowControl/>
              <w:jc w:val="right"/>
              <w:rPr>
                <w:rFonts w:ascii="宋体" w:hAnsi="宋体" w:eastAsia="宋体" w:cs="宋体"/>
                <w:color w:val="000000"/>
                <w:kern w:val="0"/>
                <w:sz w:val="18"/>
                <w:szCs w:val="21"/>
              </w:rPr>
            </w:pPr>
          </w:p>
        </w:tc>
        <w:tc>
          <w:tcPr>
            <w:tcW w:w="1707" w:type="pct"/>
            <w:shd w:val="clear" w:color="auto" w:fill="D9D9D9"/>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jc w:val="left"/>
              <w:rPr>
                <w:rFonts w:ascii="宋体" w:hAnsi="宋体" w:eastAsia="宋体" w:cs="Times New Roman"/>
                <w:b/>
                <w:color w:val="000000"/>
                <w:sz w:val="18"/>
                <w:szCs w:val="21"/>
              </w:rPr>
            </w:pPr>
            <w:r>
              <w:rPr>
                <w:rFonts w:hint="eastAsia" w:ascii="宋体" w:hAnsi="宋体" w:eastAsia="宋体" w:cs="Times New Roman"/>
                <w:b/>
                <w:color w:val="000000"/>
                <w:sz w:val="18"/>
                <w:szCs w:val="21"/>
              </w:rPr>
              <w:t>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短期借款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以公允价值计量</w:t>
            </w:r>
            <w:r>
              <w:rPr>
                <w:rFonts w:ascii="宋体" w:hAnsi="宋体" w:eastAsia="宋体" w:cs="Times New Roman"/>
                <w:color w:val="000000"/>
                <w:sz w:val="18"/>
                <w:szCs w:val="21"/>
              </w:rPr>
              <w:t>且其变动计入当期损益的金融负债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衍生金融负债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卖出回购金融资产款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预收保费</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应付手续费及佣金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应付保费</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Calibri" w:hAnsi="Calibri" w:eastAsia="宋体" w:cs="Times New Roman"/>
                <w:color w:val="000000"/>
                <w:sz w:val="18"/>
                <w:szCs w:val="18"/>
              </w:rPr>
            </w:pPr>
            <w:r>
              <w:rPr>
                <w:rFonts w:hint="eastAsia" w:ascii="宋体" w:hAnsi="宋体" w:eastAsia="宋体" w:cs="Times New Roman"/>
                <w:color w:val="000000"/>
                <w:sz w:val="18"/>
                <w:szCs w:val="21"/>
              </w:rPr>
              <w:t>应付利息</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应付分保账款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存入保证金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应付职工薪酬</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应交税费</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应付股利</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应付证券清算款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应付赔付款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应付保单红利</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保户储金及投资款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其他应付款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未到期责任准备金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未决赔款准备金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寿险责任准备金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长期健康险责任准备金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保费</w:t>
            </w:r>
            <w:r>
              <w:rPr>
                <w:rFonts w:ascii="宋体" w:hAnsi="宋体" w:eastAsia="宋体" w:cs="Times New Roman"/>
                <w:color w:val="000000"/>
                <w:sz w:val="18"/>
                <w:szCs w:val="21"/>
              </w:rPr>
              <w:t>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长期借款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应付债券</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保险保障基金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独立账户负债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递延所得税负债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负债合计</w:t>
            </w:r>
          </w:p>
        </w:tc>
        <w:tc>
          <w:tcPr>
            <w:tcW w:w="1707" w:type="pct"/>
            <w:shd w:val="clear" w:color="auto" w:fill="D9D9D9"/>
          </w:tcPr>
          <w:p>
            <w:pPr>
              <w:widowControl/>
              <w:jc w:val="right"/>
              <w:rPr>
                <w:rFonts w:ascii="宋体" w:hAnsi="宋体" w:eastAsia="宋体" w:cs="宋体"/>
                <w:color w:val="000000"/>
                <w:kern w:val="0"/>
                <w:sz w:val="18"/>
                <w:szCs w:val="21"/>
              </w:rPr>
            </w:pPr>
          </w:p>
        </w:tc>
        <w:tc>
          <w:tcPr>
            <w:tcW w:w="1707" w:type="pct"/>
            <w:shd w:val="clear" w:color="auto" w:fill="D9D9D9"/>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86" w:type="pct"/>
            <w:shd w:val="clear" w:color="auto" w:fill="D9D9D9"/>
            <w:vAlign w:val="center"/>
          </w:tcPr>
          <w:p>
            <w:pPr>
              <w:widowControl/>
              <w:jc w:val="left"/>
              <w:rPr>
                <w:rFonts w:ascii="宋体" w:hAnsi="宋体" w:eastAsia="宋体" w:cs="Times New Roman"/>
                <w:b/>
                <w:color w:val="000000"/>
                <w:sz w:val="18"/>
                <w:szCs w:val="21"/>
              </w:rPr>
            </w:pPr>
            <w:r>
              <w:rPr>
                <w:rFonts w:hint="eastAsia" w:ascii="宋体" w:hAnsi="宋体" w:eastAsia="宋体" w:cs="Times New Roman"/>
                <w:b/>
                <w:color w:val="000000"/>
                <w:sz w:val="18"/>
                <w:szCs w:val="21"/>
              </w:rPr>
              <w:t>所有者权益（或股东权益）：</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其他权益工具</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其中：优先股</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ind w:firstLine="540" w:firstLineChars="300"/>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永续债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资本公积</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减：库存股</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专项储备</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盈余公积</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一般风险准备</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未分配利润</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归属于母公司所有者权益合计</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少数股东权益</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86" w:type="pct"/>
            <w:shd w:val="clear" w:color="auto" w:fill="D9D9D9"/>
            <w:vAlign w:val="center"/>
          </w:tcPr>
          <w:p>
            <w:pPr>
              <w:widowControl/>
              <w:jc w:val="center"/>
              <w:rPr>
                <w:rFonts w:ascii="宋体" w:hAnsi="宋体" w:eastAsia="宋体" w:cs="Times New Roman"/>
                <w:b/>
                <w:color w:val="000000"/>
                <w:sz w:val="18"/>
                <w:szCs w:val="21"/>
                <w:shd w:val="clear" w:color="auto" w:fill="D9D9D9"/>
              </w:rPr>
            </w:pPr>
            <w:r>
              <w:rPr>
                <w:rFonts w:hint="eastAsia" w:ascii="宋体" w:hAnsi="宋体" w:eastAsia="宋体" w:cs="Times New Roman"/>
                <w:b/>
                <w:color w:val="000000"/>
                <w:sz w:val="18"/>
                <w:szCs w:val="21"/>
                <w:shd w:val="clear" w:color="auto" w:fill="D9D9D9"/>
              </w:rPr>
              <w:t>所有者权益（或股东权益）合计</w:t>
            </w:r>
          </w:p>
        </w:tc>
        <w:tc>
          <w:tcPr>
            <w:tcW w:w="1707" w:type="pct"/>
            <w:shd w:val="clear" w:color="auto" w:fill="D9D9D9"/>
          </w:tcPr>
          <w:p>
            <w:pPr>
              <w:widowControl/>
              <w:jc w:val="right"/>
              <w:rPr>
                <w:rFonts w:ascii="宋体" w:hAnsi="宋体" w:eastAsia="宋体" w:cs="宋体"/>
                <w:color w:val="000000"/>
                <w:kern w:val="0"/>
                <w:sz w:val="18"/>
                <w:szCs w:val="21"/>
                <w:shd w:val="clear" w:color="auto" w:fill="D9D9D9"/>
              </w:rPr>
            </w:pPr>
          </w:p>
        </w:tc>
        <w:tc>
          <w:tcPr>
            <w:tcW w:w="1707" w:type="pct"/>
            <w:shd w:val="clear" w:color="auto" w:fill="D9D9D9"/>
          </w:tcPr>
          <w:p>
            <w:pPr>
              <w:widowControl/>
              <w:jc w:val="right"/>
              <w:rPr>
                <w:rFonts w:ascii="宋体" w:hAnsi="宋体" w:eastAsia="宋体" w:cs="宋体"/>
                <w:color w:val="000000"/>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center"/>
              <w:rPr>
                <w:rFonts w:ascii="宋体" w:hAnsi="宋体" w:eastAsia="宋体" w:cs="Times New Roman"/>
                <w:b/>
                <w:color w:val="000000"/>
                <w:sz w:val="18"/>
                <w:szCs w:val="21"/>
                <w:shd w:val="clear" w:color="auto" w:fill="D9D9D9"/>
              </w:rPr>
            </w:pPr>
            <w:r>
              <w:rPr>
                <w:rFonts w:hint="eastAsia" w:ascii="宋体" w:hAnsi="宋体" w:eastAsia="宋体" w:cs="Times New Roman"/>
                <w:b/>
                <w:color w:val="000000"/>
                <w:sz w:val="18"/>
                <w:szCs w:val="21"/>
                <w:shd w:val="clear" w:color="auto" w:fill="D9D9D9"/>
              </w:rPr>
              <w:t>负债和所有者权益（或股东权益）总计</w:t>
            </w:r>
          </w:p>
        </w:tc>
        <w:tc>
          <w:tcPr>
            <w:tcW w:w="1707" w:type="pct"/>
            <w:shd w:val="clear" w:color="auto" w:fill="D9D9D9"/>
          </w:tcPr>
          <w:p>
            <w:pPr>
              <w:widowControl/>
              <w:jc w:val="right"/>
              <w:rPr>
                <w:rFonts w:ascii="宋体" w:hAnsi="宋体" w:eastAsia="宋体" w:cs="宋体"/>
                <w:color w:val="000000"/>
                <w:kern w:val="0"/>
                <w:sz w:val="18"/>
                <w:szCs w:val="21"/>
                <w:shd w:val="clear" w:color="auto" w:fill="D9D9D9"/>
              </w:rPr>
            </w:pPr>
          </w:p>
        </w:tc>
        <w:tc>
          <w:tcPr>
            <w:tcW w:w="1707" w:type="pct"/>
            <w:shd w:val="clear" w:color="auto" w:fill="D9D9D9"/>
          </w:tcPr>
          <w:p>
            <w:pPr>
              <w:widowControl/>
              <w:jc w:val="right"/>
              <w:rPr>
                <w:rFonts w:ascii="宋体" w:hAnsi="宋体" w:eastAsia="宋体" w:cs="宋体"/>
                <w:color w:val="000000"/>
                <w:kern w:val="0"/>
                <w:sz w:val="18"/>
                <w:szCs w:val="21"/>
                <w:shd w:val="clear" w:color="auto" w:fill="D9D9D9"/>
              </w:rPr>
            </w:pPr>
          </w:p>
        </w:tc>
      </w:tr>
    </w:tbl>
    <w:p>
      <w:pPr>
        <w:ind w:left="6300" w:firstLine="420"/>
        <w:rPr>
          <w:rFonts w:ascii="Calibri" w:hAnsi="Calibri" w:eastAsia="宋体" w:cs="Times New Roman"/>
        </w:rPr>
      </w:pPr>
    </w:p>
    <w:p>
      <w:pPr>
        <w:rPr>
          <w:rFonts w:ascii="Arial" w:hAnsi="Arial" w:eastAsia="黑体" w:cs="Times New Roman"/>
          <w:b/>
          <w:bCs/>
          <w:sz w:val="22"/>
          <w:lang w:val="zh-CN"/>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3"/>
        <w:gridCol w:w="3423"/>
        <w:gridCol w:w="34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731"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2023年9月30日</w:t>
            </w:r>
          </w:p>
        </w:tc>
        <w:tc>
          <w:tcPr>
            <w:tcW w:w="1730"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w:t>
            </w:r>
            <w:r>
              <w:rPr>
                <w:rFonts w:ascii="宋体" w:hAnsi="宋体" w:eastAsia="宋体" w:cs="Times New Roman"/>
                <w:b/>
                <w:sz w:val="18"/>
                <w:szCs w:val="18"/>
              </w:rPr>
              <w:t>022</w:t>
            </w:r>
            <w:r>
              <w:rPr>
                <w:rFonts w:hint="eastAsia" w:ascii="宋体" w:hAnsi="宋体" w:eastAsia="宋体" w:cs="Times New Roman"/>
                <w:b/>
                <w:sz w:val="18"/>
                <w:szCs w:val="18"/>
              </w:rPr>
              <w:t>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宋体"/>
                <w:b/>
                <w:color w:val="000000"/>
                <w:sz w:val="18"/>
                <w:szCs w:val="21"/>
              </w:rPr>
            </w:pPr>
            <w:r>
              <w:rPr>
                <w:rFonts w:hint="eastAsia" w:ascii="宋体" w:hAnsi="宋体" w:eastAsia="宋体" w:cs="宋体"/>
                <w:b/>
                <w:color w:val="000000"/>
                <w:sz w:val="18"/>
                <w:szCs w:val="21"/>
              </w:rPr>
              <w:t>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货币资金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以公允价值计量</w:t>
            </w:r>
            <w:r>
              <w:rPr>
                <w:rFonts w:ascii="宋体" w:hAnsi="宋体" w:eastAsia="宋体" w:cs="Times New Roman"/>
                <w:color w:val="000000"/>
                <w:sz w:val="18"/>
                <w:szCs w:val="21"/>
              </w:rPr>
              <w:t>且其变动计入当期损益的金融资产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衍生金融资产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买入返售金融资产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应收证券清算款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应收利息</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应收保费</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应收代位追偿款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应收分保账款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预付手续费</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应收分保未到期责任准备金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应收分保未决赔款准备金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应收分保寿险责任准备金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应收分保长期健康险责任准备金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保户质押贷款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债权计划投资</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定期存款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存出保证金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代付赔款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其他应收款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预付赔款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可供出售金融资产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持有至到期投资</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归入贷款及应收款的投资</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长期股权投资</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存出资本保证金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投资性房地产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固定资产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在建工程</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无形资产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损余物资</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独立账户资产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递延所得税资产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资产总计</w:t>
            </w:r>
          </w:p>
        </w:tc>
        <w:tc>
          <w:tcPr>
            <w:tcW w:w="1731" w:type="pct"/>
            <w:shd w:val="clear" w:color="auto" w:fill="D9D9D9"/>
          </w:tcPr>
          <w:p>
            <w:pPr>
              <w:widowControl/>
              <w:jc w:val="right"/>
              <w:rPr>
                <w:rFonts w:ascii="宋体" w:hAnsi="宋体" w:eastAsia="宋体" w:cs="宋体"/>
                <w:color w:val="000000"/>
                <w:kern w:val="0"/>
                <w:sz w:val="18"/>
                <w:szCs w:val="21"/>
              </w:rPr>
            </w:pPr>
          </w:p>
        </w:tc>
        <w:tc>
          <w:tcPr>
            <w:tcW w:w="1730" w:type="pct"/>
            <w:shd w:val="clear" w:color="auto" w:fill="D9D9D9"/>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jc w:val="left"/>
              <w:rPr>
                <w:rFonts w:ascii="宋体" w:hAnsi="宋体" w:eastAsia="宋体" w:cs="Times New Roman"/>
                <w:b/>
                <w:color w:val="000000"/>
                <w:sz w:val="18"/>
                <w:szCs w:val="21"/>
              </w:rPr>
            </w:pPr>
            <w:r>
              <w:rPr>
                <w:rFonts w:hint="eastAsia" w:ascii="宋体" w:hAnsi="宋体" w:eastAsia="宋体" w:cs="Times New Roman"/>
                <w:b/>
                <w:color w:val="000000"/>
                <w:sz w:val="18"/>
                <w:szCs w:val="21"/>
              </w:rPr>
              <w:t>负债：</w:t>
            </w:r>
          </w:p>
        </w:tc>
        <w:tc>
          <w:tcPr>
            <w:tcW w:w="1731" w:type="pct"/>
            <w:shd w:val="clear" w:color="auto" w:fill="D9D9D9"/>
          </w:tcPr>
          <w:p>
            <w:pPr>
              <w:widowControl/>
              <w:jc w:val="right"/>
              <w:rPr>
                <w:rFonts w:ascii="宋体" w:hAnsi="宋体" w:eastAsia="宋体" w:cs="宋体"/>
                <w:color w:val="000000"/>
                <w:kern w:val="0"/>
                <w:sz w:val="18"/>
                <w:szCs w:val="21"/>
              </w:rPr>
            </w:pPr>
          </w:p>
        </w:tc>
        <w:tc>
          <w:tcPr>
            <w:tcW w:w="1730" w:type="pct"/>
            <w:shd w:val="clear" w:color="auto" w:fill="D9D9D9"/>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短期借款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以公允价值计量</w:t>
            </w:r>
            <w:r>
              <w:rPr>
                <w:rFonts w:ascii="宋体" w:hAnsi="宋体" w:eastAsia="宋体" w:cs="Times New Roman"/>
                <w:color w:val="000000"/>
                <w:sz w:val="18"/>
                <w:szCs w:val="21"/>
              </w:rPr>
              <w:t>且其变动计入当期损益的金融负债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衍生金融负债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卖出回购金融资产款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预收保费</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应付手续费及佣金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应付保费</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Calibri" w:hAnsi="Calibri" w:eastAsia="宋体" w:cs="Times New Roman"/>
                <w:color w:val="000000"/>
                <w:sz w:val="18"/>
                <w:szCs w:val="18"/>
              </w:rPr>
            </w:pPr>
            <w:r>
              <w:rPr>
                <w:rFonts w:hint="eastAsia" w:ascii="宋体" w:hAnsi="宋体" w:eastAsia="宋体" w:cs="Times New Roman"/>
                <w:color w:val="000000"/>
                <w:sz w:val="18"/>
                <w:szCs w:val="21"/>
              </w:rPr>
              <w:t>应付利息</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应付分保账款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存入保证金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应付职工薪酬</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应交税费</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应付股利</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应付证券清算款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应付赔付款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应付保单红利</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保户储金及投资款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其他应付款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未到期责任准备金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未决赔款准备金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寿险责任准备金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长期健康险责任准备金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保费</w:t>
            </w:r>
            <w:r>
              <w:rPr>
                <w:rFonts w:ascii="宋体" w:hAnsi="宋体" w:eastAsia="宋体" w:cs="Times New Roman"/>
                <w:color w:val="000000"/>
                <w:sz w:val="18"/>
                <w:szCs w:val="21"/>
              </w:rPr>
              <w:t>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长期借款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应付债券</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保险保障基金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独立账户负债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递延所得税负债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负债合计</w:t>
            </w:r>
          </w:p>
        </w:tc>
        <w:tc>
          <w:tcPr>
            <w:tcW w:w="1731" w:type="pct"/>
            <w:shd w:val="clear" w:color="auto" w:fill="D9D9D9"/>
          </w:tcPr>
          <w:p>
            <w:pPr>
              <w:widowControl/>
              <w:jc w:val="right"/>
              <w:rPr>
                <w:rFonts w:ascii="宋体" w:hAnsi="宋体" w:eastAsia="宋体" w:cs="宋体"/>
                <w:color w:val="000000"/>
                <w:kern w:val="0"/>
                <w:sz w:val="18"/>
                <w:szCs w:val="21"/>
              </w:rPr>
            </w:pPr>
          </w:p>
        </w:tc>
        <w:tc>
          <w:tcPr>
            <w:tcW w:w="1730" w:type="pct"/>
            <w:shd w:val="clear" w:color="auto" w:fill="D9D9D9"/>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clear" w:color="auto" w:fill="D9D9D9"/>
            <w:vAlign w:val="center"/>
          </w:tcPr>
          <w:p>
            <w:pPr>
              <w:widowControl/>
              <w:jc w:val="left"/>
              <w:rPr>
                <w:rFonts w:ascii="宋体" w:hAnsi="宋体" w:eastAsia="宋体" w:cs="Times New Roman"/>
                <w:b/>
                <w:color w:val="000000"/>
                <w:sz w:val="18"/>
                <w:szCs w:val="21"/>
              </w:rPr>
            </w:pPr>
            <w:r>
              <w:rPr>
                <w:rFonts w:hint="eastAsia" w:ascii="宋体" w:hAnsi="宋体" w:eastAsia="宋体" w:cs="Times New Roman"/>
                <w:b/>
                <w:color w:val="000000"/>
                <w:sz w:val="18"/>
                <w:szCs w:val="21"/>
              </w:rPr>
              <w:t>所有者权益（或股东权益）：</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其他权益工具</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其中：优先股</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ind w:firstLine="540" w:firstLineChars="300"/>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永续债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资本公积</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减：库存股</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专项储备</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盈余公积</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一般风险准备</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未分配利润</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39" w:type="pct"/>
            <w:shd w:val="clear" w:color="auto" w:fill="D9D9D9"/>
            <w:vAlign w:val="center"/>
          </w:tcPr>
          <w:p>
            <w:pPr>
              <w:widowControl/>
              <w:jc w:val="center"/>
              <w:rPr>
                <w:rFonts w:ascii="宋体" w:hAnsi="宋体" w:eastAsia="宋体" w:cs="Times New Roman"/>
                <w:b/>
                <w:color w:val="000000"/>
                <w:sz w:val="18"/>
                <w:szCs w:val="21"/>
                <w:shd w:val="clear" w:color="auto" w:fill="D9D9D9"/>
              </w:rPr>
            </w:pPr>
            <w:r>
              <w:rPr>
                <w:rFonts w:hint="eastAsia" w:ascii="宋体" w:hAnsi="宋体" w:eastAsia="宋体" w:cs="Times New Roman"/>
                <w:b/>
                <w:color w:val="000000"/>
                <w:sz w:val="18"/>
                <w:szCs w:val="21"/>
                <w:shd w:val="clear" w:color="auto" w:fill="D9D9D9"/>
              </w:rPr>
              <w:t>所有者权益（或股东权益）合计</w:t>
            </w:r>
          </w:p>
        </w:tc>
        <w:tc>
          <w:tcPr>
            <w:tcW w:w="1731" w:type="pct"/>
            <w:shd w:val="clear" w:color="auto" w:fill="D9D9D9"/>
          </w:tcPr>
          <w:p>
            <w:pPr>
              <w:widowControl/>
              <w:jc w:val="right"/>
              <w:rPr>
                <w:rFonts w:ascii="宋体" w:hAnsi="宋体" w:eastAsia="宋体" w:cs="宋体"/>
                <w:color w:val="000000"/>
                <w:kern w:val="0"/>
                <w:sz w:val="18"/>
                <w:szCs w:val="21"/>
                <w:shd w:val="clear" w:color="auto" w:fill="D9D9D9"/>
              </w:rPr>
            </w:pPr>
          </w:p>
        </w:tc>
        <w:tc>
          <w:tcPr>
            <w:tcW w:w="1730" w:type="pct"/>
            <w:shd w:val="clear" w:color="auto" w:fill="D9D9D9"/>
          </w:tcPr>
          <w:p>
            <w:pPr>
              <w:widowControl/>
              <w:jc w:val="right"/>
              <w:rPr>
                <w:rFonts w:ascii="宋体" w:hAnsi="宋体" w:eastAsia="宋体" w:cs="宋体"/>
                <w:color w:val="000000"/>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center"/>
              <w:rPr>
                <w:rFonts w:ascii="宋体" w:hAnsi="宋体" w:eastAsia="宋体" w:cs="Times New Roman"/>
                <w:b/>
                <w:color w:val="000000"/>
                <w:sz w:val="18"/>
                <w:szCs w:val="21"/>
                <w:shd w:val="clear" w:color="auto" w:fill="D9D9D9"/>
              </w:rPr>
            </w:pPr>
            <w:r>
              <w:rPr>
                <w:rFonts w:hint="eastAsia" w:ascii="宋体" w:hAnsi="宋体" w:eastAsia="宋体" w:cs="Times New Roman"/>
                <w:b/>
                <w:color w:val="000000"/>
                <w:sz w:val="18"/>
                <w:szCs w:val="21"/>
                <w:shd w:val="clear" w:color="auto" w:fill="D9D9D9"/>
              </w:rPr>
              <w:t>负债和所有者权益（或股东权益）总计</w:t>
            </w:r>
          </w:p>
        </w:tc>
        <w:tc>
          <w:tcPr>
            <w:tcW w:w="1731" w:type="pct"/>
            <w:shd w:val="clear" w:color="auto" w:fill="D9D9D9"/>
          </w:tcPr>
          <w:p>
            <w:pPr>
              <w:widowControl/>
              <w:jc w:val="right"/>
              <w:rPr>
                <w:rFonts w:ascii="宋体" w:hAnsi="宋体" w:eastAsia="宋体" w:cs="宋体"/>
                <w:color w:val="000000"/>
                <w:kern w:val="0"/>
                <w:sz w:val="18"/>
                <w:szCs w:val="21"/>
                <w:shd w:val="clear" w:color="auto" w:fill="D9D9D9"/>
              </w:rPr>
            </w:pPr>
          </w:p>
        </w:tc>
        <w:tc>
          <w:tcPr>
            <w:tcW w:w="1730" w:type="pct"/>
            <w:shd w:val="clear" w:color="auto" w:fill="D9D9D9"/>
          </w:tcPr>
          <w:p>
            <w:pPr>
              <w:widowControl/>
              <w:jc w:val="right"/>
              <w:rPr>
                <w:rFonts w:ascii="宋体" w:hAnsi="宋体" w:eastAsia="宋体" w:cs="宋体"/>
                <w:color w:val="000000"/>
                <w:kern w:val="0"/>
                <w:sz w:val="18"/>
                <w:szCs w:val="21"/>
                <w:shd w:val="clear" w:color="auto" w:fill="D9D9D9"/>
              </w:rPr>
            </w:pPr>
          </w:p>
        </w:tc>
      </w:tr>
    </w:tbl>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34"/>
        <w:gridCol w:w="3476"/>
        <w:gridCol w:w="349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755" w:type="pct"/>
            <w:shd w:val="clear" w:color="auto" w:fill="D9D9D9"/>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2023年1-9月</w:t>
            </w:r>
          </w:p>
        </w:tc>
        <w:tc>
          <w:tcPr>
            <w:tcW w:w="1765" w:type="pct"/>
            <w:shd w:val="clear" w:color="auto" w:fill="D9D9D9"/>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一、营业收入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利息收入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已赚保费</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保险业务收入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其中：分保费收入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减：分出保费</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w:t>
            </w:r>
            <w:r>
              <w:rPr>
                <w:rFonts w:ascii="宋体" w:hAnsi="宋体" w:eastAsia="宋体" w:cs="Times New Roman"/>
                <w:color w:val="000000"/>
                <w:sz w:val="18"/>
                <w:szCs w:val="21"/>
              </w:rPr>
              <w:t xml:space="preserve">    </w:t>
            </w:r>
            <w:r>
              <w:rPr>
                <w:rFonts w:hint="eastAsia" w:ascii="宋体" w:hAnsi="宋体" w:eastAsia="宋体" w:cs="Times New Roman"/>
                <w:color w:val="000000"/>
                <w:sz w:val="18"/>
                <w:szCs w:val="21"/>
              </w:rPr>
              <w:t>提取未到期责任准备金</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手续费及佣金收入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投资收益( 损失以“-” 号填列)  </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其中：对联营企业和合营企业的投资收益</w:t>
            </w:r>
            <w:r>
              <w:rPr>
                <w:rFonts w:hint="eastAsia" w:ascii="宋体" w:hAnsi="宋体" w:eastAsia="宋体" w:cs="Times New Roman"/>
                <w:sz w:val="18"/>
                <w:szCs w:val="18"/>
              </w:rPr>
              <w:t>（损失以“－”号填列）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公允价值变动收益(损失以“-” 号填列)  </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汇兑收益( 损失以“-” 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其他业务收入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资产处置收益（损失以“-”号填列）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二、营业成本</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利息支出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退保金</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赔付支出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减：摊回赔付支出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提取保险责任准备金</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减：摊回保险责任准备金</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提取保费准备金</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保单红利支出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分保费用</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税金及附加</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手续费及佣金支出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业务及管理费</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减：摊回分保费用</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其他业务成本</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资产减值损失</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三、营业利润（亏损以“－”号填列）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加：营业外收入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减：营业外支出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四、利润总额（亏损总额以“－”号填列）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减：所得税费用</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五、净利润（净亏损以“－”号填列）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color w:val="000000"/>
                <w:sz w:val="18"/>
                <w:szCs w:val="18"/>
              </w:rPr>
              <w:t>其中：被合并方在合并前实现的净利润</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1.少数股东损益( 损失以“-” 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2.归属于母公司所有者的净利润( 损失以“-” 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六、其他综合收益的</w:t>
            </w:r>
            <w:r>
              <w:rPr>
                <w:rFonts w:ascii="宋体" w:hAnsi="宋体" w:eastAsia="宋体" w:cs="Times New Roman"/>
                <w:b/>
                <w:color w:val="000000"/>
                <w:sz w:val="18"/>
                <w:szCs w:val="21"/>
              </w:rPr>
              <w:t>税后净额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color w:val="000000"/>
                <w:sz w:val="18"/>
                <w:szCs w:val="21"/>
              </w:rPr>
              <w:t>(一)</w:t>
            </w:r>
            <w:r>
              <w:rPr>
                <w:rFonts w:hint="eastAsia" w:ascii="Calibri" w:hAnsi="Calibri" w:eastAsia="宋体" w:cs="Times New Roman"/>
                <w:color w:val="000000"/>
                <w:sz w:val="18"/>
                <w:szCs w:val="18"/>
              </w:rPr>
              <w:t>归属母公司所有者的其他综合收益的税后净额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1.</w:t>
            </w:r>
            <w:r>
              <w:rPr>
                <w:rFonts w:hint="eastAsia" w:ascii="宋体" w:hAnsi="宋体" w:eastAsia="宋体" w:cs="Times New Roman"/>
                <w:color w:val="000000"/>
                <w:sz w:val="18"/>
                <w:szCs w:val="21"/>
              </w:rPr>
              <w:t>不能</w:t>
            </w:r>
            <w:r>
              <w:rPr>
                <w:rFonts w:ascii="宋体" w:hAnsi="宋体" w:eastAsia="宋体" w:cs="Times New Roman"/>
                <w:color w:val="000000"/>
                <w:sz w:val="18"/>
                <w:szCs w:val="21"/>
              </w:rPr>
              <w:t>重分类进损益的其他综合收益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（1）重新计量设定受益计划变动额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w:t>
            </w:r>
            <w:r>
              <w:rPr>
                <w:rFonts w:ascii="宋体" w:hAnsi="宋体" w:eastAsia="宋体" w:cs="Times New Roman"/>
                <w:color w:val="000000"/>
                <w:sz w:val="18"/>
                <w:szCs w:val="21"/>
              </w:rPr>
              <w:t>2</w:t>
            </w:r>
            <w:r>
              <w:rPr>
                <w:rFonts w:hint="eastAsia" w:ascii="宋体" w:hAnsi="宋体" w:eastAsia="宋体" w:cs="Times New Roman"/>
                <w:color w:val="000000"/>
                <w:sz w:val="18"/>
                <w:szCs w:val="21"/>
              </w:rPr>
              <w:t>）权益法下不能转损益的其他综合收益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2</w:t>
            </w:r>
            <w:r>
              <w:rPr>
                <w:rFonts w:ascii="宋体" w:hAnsi="宋体" w:eastAsia="宋体" w:cs="Times New Roman"/>
                <w:color w:val="000000"/>
                <w:sz w:val="18"/>
                <w:szCs w:val="21"/>
              </w:rPr>
              <w:t>.</w:t>
            </w:r>
            <w:r>
              <w:rPr>
                <w:rFonts w:hint="eastAsia" w:ascii="宋体" w:hAnsi="宋体" w:eastAsia="宋体" w:cs="Times New Roman"/>
                <w:color w:val="000000"/>
                <w:sz w:val="18"/>
                <w:szCs w:val="21"/>
              </w:rPr>
              <w:t>将重分类进损益的其他综合收益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（1）</w:t>
            </w:r>
            <w:r>
              <w:rPr>
                <w:rFonts w:hint="eastAsia" w:ascii="宋体" w:hAnsi="宋体" w:eastAsia="宋体" w:cs="Times New Roman"/>
                <w:sz w:val="18"/>
                <w:szCs w:val="18"/>
              </w:rPr>
              <w:t>权益法下可转损益的其他综合收益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w:t>
            </w:r>
            <w:r>
              <w:rPr>
                <w:rFonts w:ascii="宋体" w:hAnsi="宋体" w:eastAsia="宋体" w:cs="Times New Roman"/>
                <w:color w:val="000000"/>
                <w:sz w:val="18"/>
                <w:szCs w:val="21"/>
              </w:rPr>
              <w:t>2</w:t>
            </w:r>
            <w:r>
              <w:rPr>
                <w:rFonts w:hint="eastAsia" w:ascii="宋体" w:hAnsi="宋体" w:eastAsia="宋体" w:cs="Times New Roman"/>
                <w:color w:val="000000"/>
                <w:sz w:val="18"/>
                <w:szCs w:val="21"/>
              </w:rPr>
              <w:t>）可供出售金融资产公允价值变动损益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（3）持有至到期投资重分类为可供出售金融资产损益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（4）现金流量套期损益的有效部分</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w:t>
            </w:r>
            <w:r>
              <w:rPr>
                <w:rFonts w:ascii="宋体" w:hAnsi="宋体" w:eastAsia="宋体" w:cs="Times New Roman"/>
                <w:color w:val="000000"/>
                <w:sz w:val="18"/>
                <w:szCs w:val="21"/>
              </w:rPr>
              <w:t>5</w:t>
            </w:r>
            <w:r>
              <w:rPr>
                <w:rFonts w:hint="eastAsia" w:ascii="宋体" w:hAnsi="宋体" w:eastAsia="宋体" w:cs="Times New Roman"/>
                <w:color w:val="000000"/>
                <w:sz w:val="18"/>
                <w:szCs w:val="21"/>
              </w:rPr>
              <w:t>）外币财务报表折算差额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（6）其他</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b/>
                <w:color w:val="000000"/>
                <w:sz w:val="18"/>
                <w:szCs w:val="21"/>
              </w:rPr>
            </w:pPr>
            <w:r>
              <w:rPr>
                <w:rFonts w:hint="eastAsia" w:ascii="Calibri" w:hAnsi="Calibri" w:eastAsia="宋体" w:cs="Times New Roman"/>
                <w:color w:val="000000"/>
                <w:sz w:val="18"/>
                <w:szCs w:val="18"/>
              </w:rPr>
              <w:t>（二）归属少数股东的其他综合收益的税后净额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七、综合收益总额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（一）归属于母公司所有者的综合收益总额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w:t>
            </w:r>
            <w:r>
              <w:rPr>
                <w:rFonts w:hint="eastAsia" w:ascii="宋体" w:hAnsi="宋体" w:eastAsia="宋体" w:cs="Times New Roman"/>
                <w:color w:val="000000"/>
                <w:sz w:val="18"/>
                <w:szCs w:val="21"/>
              </w:rPr>
              <w:t>二</w:t>
            </w:r>
            <w:r>
              <w:rPr>
                <w:rFonts w:ascii="宋体" w:hAnsi="宋体" w:eastAsia="宋体" w:cs="Times New Roman"/>
                <w:color w:val="000000"/>
                <w:sz w:val="18"/>
                <w:szCs w:val="21"/>
              </w:rPr>
              <w:t>）</w:t>
            </w:r>
            <w:r>
              <w:rPr>
                <w:rFonts w:hint="eastAsia" w:ascii="宋体" w:hAnsi="宋体" w:eastAsia="宋体" w:cs="Times New Roman"/>
                <w:color w:val="000000"/>
                <w:sz w:val="18"/>
                <w:szCs w:val="21"/>
              </w:rPr>
              <w:t>归属于少数股东的综合收益总额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b/>
                <w:color w:val="000000"/>
                <w:sz w:val="18"/>
                <w:szCs w:val="21"/>
              </w:rPr>
              <w:t>八、每股收益：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（一）基本每股收益</w:t>
            </w:r>
            <w:r>
              <w:rPr>
                <w:rFonts w:hint="eastAsia" w:ascii="宋体" w:hAnsi="宋体" w:eastAsia="宋体" w:cs="Times New Roman"/>
                <w:sz w:val="18"/>
                <w:szCs w:val="18"/>
              </w:rPr>
              <w:t>（元/股）</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（二）稀释每股收益</w:t>
            </w:r>
            <w:r>
              <w:rPr>
                <w:rFonts w:hint="eastAsia" w:ascii="宋体" w:hAnsi="宋体" w:eastAsia="宋体" w:cs="Times New Roman"/>
                <w:sz w:val="18"/>
                <w:szCs w:val="18"/>
              </w:rPr>
              <w:t>（元/股）</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bl>
    <w:p>
      <w:pPr>
        <w:widowControl/>
        <w:jc w:val="left"/>
        <w:rPr>
          <w:rFonts w:ascii="Calibri" w:hAnsi="Calibri" w:eastAsia="宋体" w:cs="Times New Roman"/>
          <w:sz w:val="18"/>
          <w:szCs w:val="18"/>
        </w:rPr>
      </w:pPr>
    </w:p>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34"/>
        <w:gridCol w:w="3476"/>
        <w:gridCol w:w="349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755" w:type="pct"/>
            <w:shd w:val="clear" w:color="auto" w:fill="D9D9D9"/>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2023年1-9月</w:t>
            </w:r>
          </w:p>
        </w:tc>
        <w:tc>
          <w:tcPr>
            <w:tcW w:w="1765" w:type="pct"/>
            <w:shd w:val="clear" w:color="auto" w:fill="D9D9D9"/>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一、营业收入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利息收入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已赚保费</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保险业务收入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其中：分保费收入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减：分出保费</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提取未到期责任准备金</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手续费及佣金收入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投资收益( 损失以“-” 号填列)  </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其中：对联营企业和合营企业的投资收益</w:t>
            </w:r>
            <w:r>
              <w:rPr>
                <w:rFonts w:hint="eastAsia" w:ascii="宋体" w:hAnsi="宋体" w:eastAsia="宋体" w:cs="Times New Roman"/>
                <w:sz w:val="18"/>
                <w:szCs w:val="18"/>
              </w:rPr>
              <w:t>（损失以“－”号填列）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公允价值变动收益(损失以“-” 号填列)  </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汇兑收益( 损失以“-” 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其他业务收入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资产处置收益（损失以“-”号填列）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二、营业成本</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利息支出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赔付支出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减：摊回赔付支出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提取保险责任准备金</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减：摊回保险责任准备金</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提取保费准备金</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保单红利支出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分保费用</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税金及附加</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手续费及佣金支出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业务及管理费</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减：摊回分保费用</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其他业务成本</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资产减值损失</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三、营业利润（亏损以“－”号填列）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加：营业外收入</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减：营业外支出</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四、利润总额（亏损总额以“－”号填列）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减：所得税费用</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五、净利润（净亏损以“－”号填列）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六、其他综合收益的</w:t>
            </w:r>
            <w:r>
              <w:rPr>
                <w:rFonts w:ascii="宋体" w:hAnsi="宋体" w:eastAsia="宋体" w:cs="Times New Roman"/>
                <w:b/>
                <w:color w:val="000000"/>
                <w:sz w:val="18"/>
                <w:szCs w:val="21"/>
              </w:rPr>
              <w:t>税后净额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(一)不能</w:t>
            </w:r>
            <w:r>
              <w:rPr>
                <w:rFonts w:ascii="宋体" w:hAnsi="宋体" w:eastAsia="宋体" w:cs="Times New Roman"/>
                <w:color w:val="000000"/>
                <w:sz w:val="18"/>
                <w:szCs w:val="21"/>
              </w:rPr>
              <w:t>重分类进损益的其他综合收益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1</w:t>
            </w:r>
            <w:r>
              <w:rPr>
                <w:rFonts w:hint="eastAsia" w:ascii="宋体" w:hAnsi="宋体" w:eastAsia="宋体" w:cs="Times New Roman"/>
                <w:color w:val="000000"/>
                <w:sz w:val="18"/>
                <w:szCs w:val="21"/>
              </w:rPr>
              <w:t>．重新计量设定受益计划变动额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2</w:t>
            </w:r>
            <w:r>
              <w:rPr>
                <w:rFonts w:hint="eastAsia" w:ascii="宋体" w:hAnsi="宋体" w:eastAsia="宋体" w:cs="Times New Roman"/>
                <w:color w:val="000000"/>
                <w:sz w:val="18"/>
                <w:szCs w:val="21"/>
              </w:rPr>
              <w:t>．权益法下不能转损益的其他综合收益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（二</w:t>
            </w:r>
            <w:r>
              <w:rPr>
                <w:rFonts w:ascii="宋体" w:hAnsi="宋体" w:eastAsia="宋体" w:cs="Times New Roman"/>
                <w:color w:val="000000"/>
                <w:sz w:val="18"/>
                <w:szCs w:val="21"/>
              </w:rPr>
              <w:t>）</w:t>
            </w:r>
            <w:r>
              <w:rPr>
                <w:rFonts w:hint="eastAsia" w:ascii="宋体" w:hAnsi="宋体" w:eastAsia="宋体" w:cs="Times New Roman"/>
                <w:color w:val="000000"/>
                <w:sz w:val="18"/>
                <w:szCs w:val="21"/>
              </w:rPr>
              <w:t>将重分类进损益的其他综合收益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1．</w:t>
            </w:r>
            <w:r>
              <w:rPr>
                <w:rFonts w:hint="eastAsia" w:ascii="宋体" w:hAnsi="宋体" w:eastAsia="宋体" w:cs="Times New Roman"/>
                <w:sz w:val="18"/>
                <w:szCs w:val="18"/>
              </w:rPr>
              <w:t>权益法下可转损益的其他综合收益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2</w:t>
            </w:r>
            <w:r>
              <w:rPr>
                <w:rFonts w:hint="eastAsia" w:ascii="宋体" w:hAnsi="宋体" w:eastAsia="宋体" w:cs="Times New Roman"/>
                <w:color w:val="000000"/>
                <w:sz w:val="18"/>
                <w:szCs w:val="21"/>
              </w:rPr>
              <w:t>．可供出售金融资产公允价值变动损益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3．持有至到期投资重分类为可供出售金融资产损益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4．现金流量套期损益的有效部分</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5</w:t>
            </w:r>
            <w:r>
              <w:rPr>
                <w:rFonts w:hint="eastAsia" w:ascii="宋体" w:hAnsi="宋体" w:eastAsia="宋体" w:cs="Times New Roman"/>
                <w:color w:val="000000"/>
                <w:sz w:val="18"/>
                <w:szCs w:val="21"/>
              </w:rPr>
              <w:t>．外币财务报表折算差额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6．其他</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七、综合收益总额</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b/>
                <w:color w:val="000000"/>
                <w:sz w:val="18"/>
                <w:szCs w:val="21"/>
              </w:rPr>
              <w:t>八、每股收益：</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（一）基本每股收益</w:t>
            </w:r>
            <w:r>
              <w:rPr>
                <w:rFonts w:hint="eastAsia" w:ascii="宋体" w:hAnsi="宋体" w:eastAsia="宋体" w:cs="Times New Roman"/>
                <w:sz w:val="18"/>
                <w:szCs w:val="18"/>
              </w:rPr>
              <w:t>（元/股）</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1"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（二）稀释每股收益</w:t>
            </w:r>
            <w:r>
              <w:rPr>
                <w:rFonts w:hint="eastAsia" w:ascii="宋体" w:hAnsi="宋体" w:eastAsia="宋体" w:cs="Times New Roman"/>
                <w:sz w:val="18"/>
                <w:szCs w:val="18"/>
              </w:rPr>
              <w:t>（元/股）</w:t>
            </w:r>
          </w:p>
        </w:tc>
        <w:tc>
          <w:tcPr>
            <w:tcW w:w="1755" w:type="pct"/>
          </w:tcPr>
          <w:p>
            <w:pPr>
              <w:jc w:val="right"/>
              <w:rPr>
                <w:rFonts w:ascii="宋体" w:hAnsi="宋体" w:eastAsia="宋体" w:cs="Times New Roman"/>
                <w:color w:val="000000"/>
                <w:sz w:val="18"/>
                <w:szCs w:val="21"/>
              </w:rPr>
            </w:pPr>
          </w:p>
        </w:tc>
        <w:tc>
          <w:tcPr>
            <w:tcW w:w="1765" w:type="pct"/>
          </w:tcPr>
          <w:p>
            <w:pPr>
              <w:jc w:val="right"/>
              <w:rPr>
                <w:rFonts w:ascii="宋体" w:hAnsi="宋体" w:eastAsia="宋体" w:cs="Times New Roman"/>
                <w:color w:val="000000"/>
                <w:sz w:val="18"/>
                <w:szCs w:val="21"/>
              </w:rPr>
            </w:pPr>
          </w:p>
        </w:tc>
      </w:tr>
    </w:tbl>
    <w:p>
      <w:pPr>
        <w:rPr>
          <w:rFonts w:ascii="宋体" w:hAnsi="宋体" w:eastAsia="宋体" w:cs="Times New Roman"/>
          <w:sz w:val="18"/>
          <w:szCs w:val="18"/>
        </w:rPr>
      </w:pPr>
    </w:p>
    <w:p>
      <w:pPr>
        <w:pStyle w:val="64"/>
        <w:numPr>
          <w:ilvl w:val="0"/>
          <w:numId w:val="4"/>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51"/>
        <w:gridCol w:w="2618"/>
        <w:gridCol w:w="261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324" w:type="pct"/>
            <w:shd w:val="clear" w:color="auto" w:fill="D9D9D9"/>
            <w:vAlign w:val="center"/>
          </w:tcPr>
          <w:p>
            <w:pPr>
              <w:jc w:val="center"/>
              <w:rPr>
                <w:rFonts w:ascii="宋体" w:hAnsi="宋体" w:eastAsia="宋体" w:cs="宋体"/>
                <w:b/>
                <w:color w:val="000000"/>
                <w:sz w:val="18"/>
                <w:szCs w:val="21"/>
              </w:rPr>
            </w:pPr>
            <w:r>
              <w:rPr>
                <w:rFonts w:ascii="宋体" w:hAnsi="宋体"/>
                <w:b/>
                <w:sz w:val="18"/>
                <w:szCs w:val="18"/>
              </w:rPr>
              <w:t>2023年1-9月</w:t>
            </w:r>
          </w:p>
        </w:tc>
        <w:tc>
          <w:tcPr>
            <w:tcW w:w="1324" w:type="pct"/>
            <w:shd w:val="clear" w:color="auto" w:fill="D9D9D9"/>
            <w:vAlign w:val="center"/>
          </w:tcPr>
          <w:p>
            <w:pPr>
              <w:jc w:val="center"/>
              <w:rPr>
                <w:rFonts w:ascii="宋体" w:hAnsi="宋体" w:eastAsia="宋体" w:cs="宋体"/>
                <w:b/>
                <w:color w:val="000000"/>
                <w:sz w:val="18"/>
                <w:szCs w:val="21"/>
              </w:rPr>
            </w:pPr>
            <w:r>
              <w:rPr>
                <w:rFonts w:ascii="宋体" w:hAnsi="宋体"/>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一、经营活动产生的现金流量：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收到原保险合同保费取得的现金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收到再保险业务现金净额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保户储金及投资款净增加额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收到以公允价值计量且其变动计入当期损益的金融资产现金净额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Calibri" w:hAnsi="Calibri" w:eastAsia="宋体" w:cs="Times New Roman"/>
                <w:color w:val="000000"/>
                <w:sz w:val="18"/>
                <w:szCs w:val="18"/>
              </w:rPr>
              <w:t>收到以公允价值计量且其变动计入当期损益的金融负债现金净额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收取利息、手续费及佣金的现金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收到的税费返还</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收到其他与经营活动有关的现金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经营活动现金流入小计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支付原保险合同赔付款项的现金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Calibri" w:hAnsi="Calibri" w:eastAsia="宋体" w:cs="Times New Roman"/>
                <w:color w:val="000000"/>
                <w:sz w:val="18"/>
                <w:szCs w:val="18"/>
              </w:rPr>
              <w:t>支付再保险业务现金净额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Calibri" w:hAnsi="Calibri" w:eastAsia="宋体" w:cs="Times New Roman"/>
                <w:color w:val="000000"/>
                <w:sz w:val="18"/>
                <w:szCs w:val="18"/>
              </w:rPr>
              <w:t>保户储金及投资款净减少额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支付保单红利的现金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支付以公允价值计量且其变动计入当期损益的金融资产现金净额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支付以公允价值计量且其变动计入当期损益的金融负债现金净额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支付利息、手续费及佣金的现金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支付给职工以及为职工支付的现金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支付的各项税费</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支付其他与经营活动有关的现金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经营活动现金流出小计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经营活动产生的现金流量净额</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二、投资活动产生的现金流量：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收回投资收到的现金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取得投资收益收到的现金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处置固定资产、无形资产和其他长期资产收回的现金净额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处置子公司及其他营业单位收到的现金净额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收到其他与投资活动有关的现金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投资活动现金流入小计</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left"/>
              <w:rPr>
                <w:rFonts w:ascii="宋体" w:hAnsi="宋体" w:eastAsia="宋体" w:cs="Times New Roman"/>
                <w:b/>
                <w:color w:val="000000"/>
                <w:sz w:val="18"/>
                <w:szCs w:val="21"/>
              </w:rPr>
            </w:pPr>
            <w:r>
              <w:rPr>
                <w:rFonts w:hint="eastAsia" w:ascii="宋体" w:hAnsi="宋体" w:eastAsia="宋体" w:cs="Times New Roman"/>
                <w:color w:val="000000"/>
                <w:sz w:val="18"/>
                <w:szCs w:val="21"/>
              </w:rPr>
              <w:t>投资支付的现金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返售业务资金净增加额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质押贷款净增加额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购建固定资产、无形资产和其他长期资产支付的现金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取得子公司及其他营业单位支付的现金净额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支付其他与投资活动有关的现金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投资活动现金流出小计</w:t>
            </w:r>
          </w:p>
        </w:tc>
        <w:tc>
          <w:tcPr>
            <w:tcW w:w="1324" w:type="pct"/>
            <w:shd w:val="clear" w:color="auto" w:fill="D9D9D9"/>
          </w:tcPr>
          <w:p>
            <w:pPr>
              <w:jc w:val="right"/>
              <w:rPr>
                <w:rFonts w:ascii="宋体" w:hAnsi="宋体" w:eastAsia="宋体" w:cs="宋体"/>
                <w:b/>
                <w:color w:val="000000"/>
                <w:kern w:val="0"/>
                <w:sz w:val="18"/>
                <w:szCs w:val="21"/>
              </w:rPr>
            </w:pPr>
          </w:p>
        </w:tc>
        <w:tc>
          <w:tcPr>
            <w:tcW w:w="1324" w:type="pct"/>
            <w:shd w:val="clear" w:color="auto" w:fill="D9D9D9"/>
          </w:tcPr>
          <w:p>
            <w:pPr>
              <w:jc w:val="right"/>
              <w:rPr>
                <w:rFonts w:ascii="宋体" w:hAnsi="宋体" w:eastAsia="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投资活动产生的现金流量净额</w:t>
            </w:r>
          </w:p>
        </w:tc>
        <w:tc>
          <w:tcPr>
            <w:tcW w:w="1324" w:type="pct"/>
            <w:shd w:val="clear" w:color="auto" w:fill="D9D9D9"/>
          </w:tcPr>
          <w:p>
            <w:pPr>
              <w:jc w:val="right"/>
              <w:rPr>
                <w:rFonts w:ascii="宋体" w:hAnsi="宋体" w:eastAsia="宋体" w:cs="宋体"/>
                <w:b/>
                <w:color w:val="000000"/>
                <w:kern w:val="0"/>
                <w:sz w:val="18"/>
                <w:szCs w:val="21"/>
              </w:rPr>
            </w:pPr>
          </w:p>
        </w:tc>
        <w:tc>
          <w:tcPr>
            <w:tcW w:w="1324" w:type="pct"/>
            <w:shd w:val="clear" w:color="auto" w:fill="D9D9D9"/>
          </w:tcPr>
          <w:p>
            <w:pPr>
              <w:jc w:val="right"/>
              <w:rPr>
                <w:rFonts w:ascii="宋体" w:hAnsi="宋体" w:eastAsia="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三、筹资活动产生的现金流量：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吸收投资收到的现金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其中：子公司吸收少数股东投资收到的现金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取得借款收到的现金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发行债券收到的现金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回购业务资金净增加额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收到其他与筹资活动有关的现金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筹资活动现金流入小计</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偿还债务支付的现金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分配股利、利润或偿付利息支付的现金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其中：子公司支付给少数股东的股利、利润</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支付其他与筹资活动有关的现金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筹资活动现金流出小计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筹资活动产生的现金流量净额</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四、汇率变动对现金及现金等价物的影响</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五、现金及现金等价物净增加额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加：期初现金及现金等价物余额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六、期末现金及现金等价物余额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bl>
    <w:p>
      <w:pPr>
        <w:widowControl/>
        <w:ind w:right="-382"/>
        <w:jc w:val="left"/>
        <w:rPr>
          <w:rFonts w:ascii="Calibri" w:hAnsi="Calibri" w:eastAsia="宋体" w:cs="Times New Roman"/>
          <w:sz w:val="18"/>
          <w:szCs w:val="18"/>
        </w:rPr>
      </w:pPr>
    </w:p>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numPr>
          <w:ilvl w:val="0"/>
          <w:numId w:val="4"/>
        </w:numPr>
        <w:spacing w:before="100" w:after="100" w:line="377" w:lineRule="auto"/>
        <w:ind w:firstLineChars="0"/>
        <w:jc w:val="left"/>
        <w:outlineLvl w:val="2"/>
        <w:rPr>
          <w:rFonts w:ascii="Arial" w:hAnsi="Arial" w:eastAsia="黑体"/>
          <w:b/>
          <w:bCs/>
          <w:sz w:val="22"/>
          <w:lang w:val="zh-CN"/>
        </w:rPr>
      </w:pPr>
      <w:r>
        <w:rPr>
          <w:rFonts w:ascii="Arial" w:hAnsi="Arial" w:eastAsia="黑体"/>
          <w:b/>
          <w:bCs/>
          <w:sz w:val="22"/>
          <w:lang w:val="zh-CN"/>
        </w:rPr>
        <w:t>母公司</w:t>
      </w:r>
      <w:r>
        <w:rPr>
          <w:rFonts w:hint="eastAsia" w:ascii="Arial" w:hAnsi="Arial" w:eastAsia="黑体"/>
          <w:b/>
          <w:bCs/>
          <w:sz w:val="22"/>
          <w:lang w:val="zh-CN"/>
        </w:rPr>
        <w:t>现金</w:t>
      </w:r>
      <w:r>
        <w:rPr>
          <w:rFonts w:ascii="Arial" w:hAnsi="Arial" w:eastAsia="黑体"/>
          <w:b/>
          <w:bCs/>
          <w:sz w:val="22"/>
          <w:lang w:val="zh-CN"/>
        </w:rPr>
        <w:t>流</w:t>
      </w:r>
      <w:r>
        <w:rPr>
          <w:rFonts w:hint="eastAsia" w:ascii="Arial" w:hAnsi="Arial" w:eastAsia="黑体"/>
          <w:b/>
          <w:bCs/>
          <w:sz w:val="22"/>
          <w:lang w:val="zh-CN"/>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51"/>
        <w:gridCol w:w="2618"/>
        <w:gridCol w:w="261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324" w:type="pct"/>
            <w:shd w:val="clear" w:color="auto" w:fill="D9D9D9"/>
            <w:vAlign w:val="center"/>
          </w:tcPr>
          <w:p>
            <w:pPr>
              <w:jc w:val="center"/>
              <w:rPr>
                <w:rFonts w:ascii="宋体" w:hAnsi="宋体" w:eastAsia="宋体" w:cs="宋体"/>
                <w:b/>
                <w:color w:val="000000"/>
                <w:sz w:val="18"/>
                <w:szCs w:val="21"/>
              </w:rPr>
            </w:pPr>
            <w:r>
              <w:rPr>
                <w:rFonts w:ascii="宋体" w:hAnsi="宋体"/>
                <w:b/>
                <w:sz w:val="18"/>
                <w:szCs w:val="18"/>
              </w:rPr>
              <w:t>2023年1-9月</w:t>
            </w:r>
          </w:p>
        </w:tc>
        <w:tc>
          <w:tcPr>
            <w:tcW w:w="1324" w:type="pct"/>
            <w:shd w:val="clear" w:color="auto" w:fill="D9D9D9"/>
            <w:vAlign w:val="center"/>
          </w:tcPr>
          <w:p>
            <w:pPr>
              <w:jc w:val="center"/>
              <w:rPr>
                <w:rFonts w:ascii="宋体" w:hAnsi="宋体" w:eastAsia="宋体" w:cs="宋体"/>
                <w:b/>
                <w:color w:val="000000"/>
                <w:sz w:val="18"/>
                <w:szCs w:val="21"/>
              </w:rPr>
            </w:pPr>
            <w:r>
              <w:rPr>
                <w:rFonts w:ascii="宋体" w:hAnsi="宋体"/>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一、经营活动产生的现金流量：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收到原保险合同保费取得的现金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收到再保险业务现金净额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保户储金及投资款净增加额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收到以公允价值计量且其变动计入当期损益的金融资产现金净额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Calibri" w:hAnsi="Calibri" w:eastAsia="宋体" w:cs="Times New Roman"/>
                <w:color w:val="000000"/>
                <w:sz w:val="18"/>
                <w:szCs w:val="18"/>
              </w:rPr>
              <w:t>收到以公允价值计量且其变动计入当期损益的金融负债现金净额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收取利息、手续费及佣金的现金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收到的税费返还</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收到其他与经营活动有关的现金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经营活动现金流入小计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支付原保险合同赔付款项的现金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Calibri" w:hAnsi="Calibri" w:eastAsia="宋体" w:cs="Times New Roman"/>
                <w:color w:val="000000"/>
                <w:sz w:val="18"/>
                <w:szCs w:val="18"/>
              </w:rPr>
              <w:t>支付再保险业务现金净额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Calibri" w:hAnsi="Calibri" w:eastAsia="宋体" w:cs="Times New Roman"/>
                <w:color w:val="000000"/>
                <w:sz w:val="18"/>
                <w:szCs w:val="18"/>
              </w:rPr>
              <w:t>保户储金及投资款净减少额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支付保单红利的现金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支付以公允价值计量且其变动计入当期损益的金融资产现金净额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支付以公允价值计量且其变动计入当期损益的金融负债现金净额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支付利息、手续费及佣金的现金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支付给职工以及为职工支付的现金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支付的各项税费</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支付其他与经营活动有关的现金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经营活动现金流出小计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经营活动产生的现金流量净额</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二、投资活动产生的现金流量：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收回投资收到的现金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取得投资收益收到的现金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处置固定资产、无形资产和其他长期资产收回的现金净额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处置子公司及其他营业单位收到的现金净额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收到其他与投资活动有关的现金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投资活动现金流入小计</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left"/>
              <w:rPr>
                <w:rFonts w:ascii="宋体" w:hAnsi="宋体" w:eastAsia="宋体" w:cs="Times New Roman"/>
                <w:b/>
                <w:color w:val="000000"/>
                <w:sz w:val="18"/>
                <w:szCs w:val="21"/>
              </w:rPr>
            </w:pPr>
            <w:r>
              <w:rPr>
                <w:rFonts w:hint="eastAsia" w:ascii="宋体" w:hAnsi="宋体" w:eastAsia="宋体" w:cs="Times New Roman"/>
                <w:color w:val="000000"/>
                <w:sz w:val="18"/>
                <w:szCs w:val="21"/>
              </w:rPr>
              <w:t>投资支付的现金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返售业务资金净增加额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质押贷款净增加额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购建固定资产、无形资产和其他长期资产支付的现金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取得子公司及其他营业单位支付的现金净额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支付其他与投资活动有关的现金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投资活动现金流出小计</w:t>
            </w:r>
          </w:p>
        </w:tc>
        <w:tc>
          <w:tcPr>
            <w:tcW w:w="1324" w:type="pct"/>
            <w:shd w:val="clear" w:color="auto" w:fill="D9D9D9"/>
          </w:tcPr>
          <w:p>
            <w:pPr>
              <w:jc w:val="right"/>
              <w:rPr>
                <w:rFonts w:ascii="宋体" w:hAnsi="宋体" w:eastAsia="宋体" w:cs="宋体"/>
                <w:b/>
                <w:color w:val="000000"/>
                <w:kern w:val="0"/>
                <w:sz w:val="18"/>
                <w:szCs w:val="21"/>
              </w:rPr>
            </w:pPr>
          </w:p>
        </w:tc>
        <w:tc>
          <w:tcPr>
            <w:tcW w:w="1324" w:type="pct"/>
            <w:shd w:val="clear" w:color="auto" w:fill="D9D9D9"/>
          </w:tcPr>
          <w:p>
            <w:pPr>
              <w:jc w:val="right"/>
              <w:rPr>
                <w:rFonts w:ascii="宋体" w:hAnsi="宋体" w:eastAsia="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投资活动产生的现金流量净额</w:t>
            </w:r>
          </w:p>
        </w:tc>
        <w:tc>
          <w:tcPr>
            <w:tcW w:w="1324" w:type="pct"/>
            <w:shd w:val="clear" w:color="auto" w:fill="D9D9D9"/>
          </w:tcPr>
          <w:p>
            <w:pPr>
              <w:jc w:val="right"/>
              <w:rPr>
                <w:rFonts w:ascii="宋体" w:hAnsi="宋体" w:eastAsia="宋体" w:cs="宋体"/>
                <w:b/>
                <w:color w:val="000000"/>
                <w:kern w:val="0"/>
                <w:sz w:val="18"/>
                <w:szCs w:val="21"/>
              </w:rPr>
            </w:pPr>
          </w:p>
        </w:tc>
        <w:tc>
          <w:tcPr>
            <w:tcW w:w="1324" w:type="pct"/>
            <w:shd w:val="clear" w:color="auto" w:fill="D9D9D9"/>
          </w:tcPr>
          <w:p>
            <w:pPr>
              <w:jc w:val="right"/>
              <w:rPr>
                <w:rFonts w:ascii="宋体" w:hAnsi="宋体" w:eastAsia="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三、筹资活动产生的现金流量：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吸收投资收到的现金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取得借款收到的现金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发行债券收到的现金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回购业务资金净增加额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收到其他与筹资活动有关的现金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筹资活动现金流入小计</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偿还债务支付的现金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分配股利、利润或偿付利息支付的现金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其中：子公司支付给少数股东的股利、利润</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支付其他与筹资活动有关的现金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筹资活动现金流出小计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筹资活动产生的现金流量净额</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四、汇率变动对现金及现金等价物的影响</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五、现金及现金等价物净增加额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加：期初现金及现金等价物余额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六、期末现金及现金等价物余额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bl>
    <w:p>
      <w:pPr>
        <w:rPr>
          <w:rFonts w:ascii="Calibri" w:hAnsi="Calibri" w:eastAsia="宋体" w:cs="Times New Roman"/>
        </w:rPr>
        <w:sectPr>
          <w:pgSz w:w="11906" w:h="16838"/>
          <w:pgMar w:top="1440" w:right="1841" w:bottom="1440" w:left="1800" w:header="851" w:footer="992" w:gutter="0"/>
          <w:cols w:space="425" w:num="1"/>
          <w:docGrid w:type="lines" w:linePitch="312" w:charSpace="0"/>
        </w:sectPr>
      </w:pP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期货公司：</w:t>
      </w:r>
    </w:p>
    <w:p>
      <w:pPr>
        <w:pStyle w:val="64"/>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2981"/>
        <w:gridCol w:w="3321"/>
        <w:gridCol w:w="33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2981" w:type="dxa"/>
            <w:shd w:val="clear" w:color="auto" w:fill="D9D9D9"/>
            <w:vAlign w:val="center"/>
          </w:tcPr>
          <w:p>
            <w:pPr>
              <w:jc w:val="center"/>
              <w:rPr>
                <w:rFonts w:ascii="宋体" w:hAnsi="宋体" w:eastAsia="宋体" w:cs="宋体"/>
                <w:b/>
                <w:color w:val="000000"/>
                <w:sz w:val="18"/>
                <w:szCs w:val="21"/>
              </w:rPr>
            </w:pPr>
            <w:r>
              <w:rPr>
                <w:rFonts w:ascii="宋体" w:hAnsi="宋体" w:eastAsia="宋体" w:cs="宋体"/>
                <w:b/>
                <w:color w:val="000000"/>
                <w:sz w:val="18"/>
                <w:szCs w:val="21"/>
              </w:rPr>
              <w:t>项目</w:t>
            </w:r>
          </w:p>
        </w:tc>
        <w:tc>
          <w:tcPr>
            <w:tcW w:w="3321" w:type="dxa"/>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2023年9月30日</w:t>
            </w:r>
          </w:p>
        </w:tc>
        <w:tc>
          <w:tcPr>
            <w:tcW w:w="3321" w:type="dxa"/>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w:t>
            </w:r>
            <w:r>
              <w:rPr>
                <w:rFonts w:ascii="宋体" w:hAnsi="宋体" w:eastAsia="宋体" w:cs="Times New Roman"/>
                <w:b/>
                <w:color w:val="000000"/>
                <w:sz w:val="18"/>
                <w:szCs w:val="21"/>
              </w:rPr>
              <w:t>资产：</w:t>
            </w:r>
          </w:p>
        </w:tc>
        <w:tc>
          <w:tcPr>
            <w:tcW w:w="3321" w:type="dxa"/>
            <w:shd w:val="clear" w:color="auto" w:fill="auto"/>
          </w:tcPr>
          <w:p>
            <w:pPr>
              <w:rPr>
                <w:rFonts w:ascii="Calibri" w:hAnsi="Calibri" w:eastAsia="宋体" w:cs="Times New Roman"/>
              </w:rPr>
            </w:pPr>
          </w:p>
        </w:tc>
        <w:tc>
          <w:tcPr>
            <w:tcW w:w="3321" w:type="dxa"/>
            <w:shd w:val="clear" w:color="auto" w:fill="auto"/>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货币资金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ind w:firstLine="360" w:firstLineChars="200"/>
              <w:rPr>
                <w:rFonts w:ascii="宋体" w:hAnsi="宋体" w:eastAsia="宋体" w:cs="Times New Roman"/>
                <w:color w:val="000000"/>
                <w:sz w:val="18"/>
                <w:szCs w:val="21"/>
              </w:rPr>
            </w:pPr>
            <w:r>
              <w:rPr>
                <w:rFonts w:hint="eastAsia" w:ascii="宋体" w:hAnsi="宋体" w:eastAsia="宋体" w:cs="Times New Roman"/>
                <w:color w:val="000000"/>
                <w:sz w:val="18"/>
                <w:szCs w:val="21"/>
              </w:rPr>
              <w:t>其中：期货保证金存款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应收货币保证金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应收质押保证金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w:t>
            </w:r>
            <w:r>
              <w:rPr>
                <w:rFonts w:ascii="宋体" w:hAnsi="宋体" w:eastAsia="宋体" w:cs="Times New Roman"/>
                <w:color w:val="000000"/>
                <w:sz w:val="18"/>
                <w:szCs w:val="21"/>
              </w:rPr>
              <w:t>性</w:t>
            </w: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应收票据</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trPr>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应收账款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应收款项融资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预付款项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应收结算担保金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应收风险损失款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应收佣金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其他应收款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其中：应收利息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应收股利</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买入返售金融资产</w:t>
            </w:r>
          </w:p>
        </w:tc>
        <w:tc>
          <w:tcPr>
            <w:tcW w:w="3321" w:type="dxa"/>
            <w:shd w:val="clear" w:color="auto" w:fill="auto"/>
          </w:tcPr>
          <w:p>
            <w:pPr>
              <w:jc w:val="right"/>
              <w:rPr>
                <w:rFonts w:ascii="宋体" w:hAnsi="宋体" w:eastAsia="宋体" w:cs="Times New Roman"/>
                <w:sz w:val="18"/>
                <w:szCs w:val="18"/>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一年内到期的非流动资产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其他流动资产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流动资产</w:t>
            </w:r>
            <w:r>
              <w:rPr>
                <w:rFonts w:ascii="宋体" w:hAnsi="宋体" w:eastAsia="宋体" w:cs="Times New Roman"/>
                <w:b/>
                <w:color w:val="000000"/>
                <w:sz w:val="18"/>
                <w:szCs w:val="21"/>
              </w:rPr>
              <w:t>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非流动资产</w:t>
            </w:r>
            <w:r>
              <w:rPr>
                <w:rFonts w:ascii="宋体" w:hAnsi="宋体" w:eastAsia="宋体" w:cs="Times New Roman"/>
                <w:b/>
                <w:color w:val="000000"/>
                <w:sz w:val="18"/>
                <w:szCs w:val="21"/>
              </w:rPr>
              <w:t>：</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债权</w:t>
            </w:r>
            <w:r>
              <w:rPr>
                <w:rFonts w:ascii="宋体" w:hAnsi="宋体" w:eastAsia="宋体" w:cs="Times New Roman"/>
                <w:color w:val="000000"/>
                <w:sz w:val="18"/>
                <w:szCs w:val="21"/>
              </w:rPr>
              <w:t>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债权投资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长期应收款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长期股权投资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权益工具投资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期货会员资格投资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投资性房地产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固定资产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在建工程</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使用权</w:t>
            </w:r>
            <w:r>
              <w:rPr>
                <w:rFonts w:ascii="宋体" w:hAnsi="宋体" w:eastAsia="宋体" w:cs="Times New Roman"/>
                <w:color w:val="000000"/>
                <w:sz w:val="18"/>
                <w:szCs w:val="21"/>
              </w:rPr>
              <w:t>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无形资产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开发支出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商誉</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w:t>
            </w:r>
            <w:r>
              <w:rPr>
                <w:rFonts w:hint="eastAsia" w:ascii="宋体" w:hAnsi="宋体" w:eastAsia="宋体" w:cs="Times New Roman"/>
                <w:color w:val="000000"/>
                <w:sz w:val="18"/>
                <w:szCs w:val="21"/>
              </w:rPr>
              <w:t>非流动资产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vAlign w:val="center"/>
          </w:tcPr>
          <w:p>
            <w:pPr>
              <w:jc w:val="center"/>
              <w:rPr>
                <w:rFonts w:ascii="宋体" w:hAnsi="宋体" w:eastAsia="宋体" w:cs="Times New Roman"/>
                <w:color w:val="000000"/>
                <w:sz w:val="18"/>
                <w:szCs w:val="21"/>
              </w:rPr>
            </w:pPr>
            <w:r>
              <w:rPr>
                <w:rFonts w:hint="eastAsia" w:ascii="宋体" w:hAnsi="宋体" w:eastAsia="宋体" w:cs="Times New Roman"/>
                <w:b/>
                <w:sz w:val="18"/>
                <w:szCs w:val="18"/>
              </w:rPr>
              <w:t>非流动资产合计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vAlign w:val="center"/>
          </w:tcPr>
          <w:p>
            <w:pPr>
              <w:jc w:val="center"/>
              <w:rPr>
                <w:rFonts w:ascii="宋体" w:hAnsi="宋体" w:eastAsia="宋体" w:cs="Times New Roman"/>
                <w:color w:val="000000"/>
                <w:sz w:val="18"/>
                <w:szCs w:val="21"/>
              </w:rPr>
            </w:pPr>
            <w:r>
              <w:rPr>
                <w:rFonts w:hint="eastAsia" w:ascii="宋体" w:hAnsi="宋体" w:eastAsia="宋体" w:cs="Times New Roman"/>
                <w:b/>
                <w:sz w:val="18"/>
                <w:szCs w:val="18"/>
              </w:rPr>
              <w:t>资产总计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w:t>
            </w:r>
            <w:r>
              <w:rPr>
                <w:rFonts w:ascii="宋体" w:hAnsi="宋体" w:eastAsia="宋体" w:cs="Times New Roman"/>
                <w:b/>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短期借款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应付货币保证金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应付质押保证金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交易性金融</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期货风险准备金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应付票据</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应付账款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预收款项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卖出回购金融资产</w:t>
            </w:r>
            <w:r>
              <w:rPr>
                <w:rFonts w:hint="eastAsia" w:ascii="宋体" w:hAnsi="宋体" w:eastAsia="宋体" w:cs="Times New Roman"/>
                <w:color w:val="000000"/>
                <w:sz w:val="18"/>
                <w:szCs w:val="21"/>
              </w:rPr>
              <w:t>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应付期货投资者保障基金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应付手续费及佣金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应付职工薪酬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应交税费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其中：应付利息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应付股利</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一年内到期的非流动负债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其他流动负债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vAlign w:val="center"/>
          </w:tcPr>
          <w:p>
            <w:pPr>
              <w:jc w:val="center"/>
              <w:rPr>
                <w:rFonts w:ascii="宋体" w:hAnsi="宋体" w:eastAsia="宋体" w:cs="Times New Roman"/>
                <w:color w:val="000000"/>
                <w:sz w:val="18"/>
                <w:szCs w:val="21"/>
              </w:rPr>
            </w:pPr>
            <w:r>
              <w:rPr>
                <w:rFonts w:hint="eastAsia" w:ascii="宋体" w:hAnsi="宋体" w:eastAsia="宋体" w:cs="Times New Roman"/>
                <w:b/>
                <w:sz w:val="18"/>
                <w:szCs w:val="18"/>
              </w:rPr>
              <w:t>流动负债合计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b/>
                <w:sz w:val="18"/>
                <w:szCs w:val="18"/>
              </w:rPr>
              <w:t>非流动负债：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长期借款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应付债券</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租赁负债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w:t>
            </w:r>
            <w:r>
              <w:rPr>
                <w:rFonts w:ascii="宋体" w:hAnsi="宋体" w:eastAsia="宋体" w:cs="Times New Roman"/>
                <w:color w:val="000000"/>
                <w:sz w:val="18"/>
                <w:szCs w:val="21"/>
              </w:rPr>
              <w:t>应付款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长期应付</w:t>
            </w:r>
            <w:r>
              <w:rPr>
                <w:rFonts w:ascii="宋体" w:hAnsi="宋体" w:eastAsia="宋体" w:cs="Times New Roman"/>
                <w:color w:val="000000"/>
                <w:sz w:val="18"/>
                <w:szCs w:val="21"/>
              </w:rPr>
              <w:t>职工薪酬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预计负债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递延收益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w:t>
            </w:r>
            <w:r>
              <w:rPr>
                <w:rFonts w:hint="eastAsia" w:ascii="宋体" w:hAnsi="宋体" w:eastAsia="宋体" w:cs="Times New Roman"/>
                <w:color w:val="000000"/>
                <w:sz w:val="18"/>
                <w:szCs w:val="21"/>
              </w:rPr>
              <w:t>非流动</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 w:hRule="atLeast"/>
        </w:trPr>
        <w:tc>
          <w:tcPr>
            <w:tcW w:w="2981" w:type="dxa"/>
            <w:shd w:val="clear" w:color="auto" w:fill="D9D9D9"/>
          </w:tcPr>
          <w:p>
            <w:pPr>
              <w:jc w:val="center"/>
              <w:rPr>
                <w:rFonts w:ascii="宋体" w:hAnsi="宋体" w:eastAsia="宋体" w:cs="Times New Roman"/>
                <w:color w:val="000000"/>
                <w:sz w:val="18"/>
                <w:szCs w:val="21"/>
              </w:rPr>
            </w:pPr>
            <w:r>
              <w:rPr>
                <w:rFonts w:hint="eastAsia" w:ascii="宋体" w:hAnsi="宋体" w:eastAsia="宋体" w:cs="Times New Roman"/>
                <w:b/>
                <w:sz w:val="18"/>
                <w:szCs w:val="18"/>
              </w:rPr>
              <w:t>非流动负债合计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所有者权益（或股东权益）：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其他权益工具</w:t>
            </w:r>
            <w:r>
              <w:rPr>
                <w:rFonts w:ascii="宋体" w:hAnsi="宋体" w:eastAsia="宋体" w:cs="Times New Roman"/>
                <w:color w:val="000000"/>
                <w:sz w:val="18"/>
                <w:szCs w:val="21"/>
              </w:rPr>
              <w:t> </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r>
              <w:rPr>
                <w:rFonts w:ascii="宋体" w:hAnsi="宋体" w:eastAsia="宋体" w:cs="Times New Roman"/>
                <w:color w:val="000000"/>
                <w:sz w:val="18"/>
                <w:szCs w:val="21"/>
              </w:rPr>
              <w:t> </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资本公积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减：库存股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专项储备</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盈余公积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一般风险准备</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未分配利润</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sz w:val="18"/>
                <w:szCs w:val="18"/>
              </w:rPr>
              <w:t>归属于母公司所有者权益合计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sz w:val="18"/>
                <w:szCs w:val="18"/>
              </w:rPr>
              <w:t>少数股东权益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股东权益合计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负债和股东权益总计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bl>
    <w:p>
      <w:pPr>
        <w:rPr>
          <w:rFonts w:ascii="Arial" w:hAnsi="Arial" w:eastAsia="黑体" w:cs="Times New Roman"/>
          <w:b/>
          <w:bCs/>
          <w:sz w:val="22"/>
          <w:lang w:val="zh-CN"/>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2981"/>
        <w:gridCol w:w="3321"/>
        <w:gridCol w:w="33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2981" w:type="dxa"/>
            <w:shd w:val="clear" w:color="auto" w:fill="D9D9D9"/>
            <w:vAlign w:val="center"/>
          </w:tcPr>
          <w:p>
            <w:pPr>
              <w:jc w:val="center"/>
              <w:rPr>
                <w:rFonts w:ascii="宋体" w:hAnsi="宋体" w:eastAsia="宋体" w:cs="宋体"/>
                <w:b/>
                <w:color w:val="000000"/>
                <w:sz w:val="18"/>
                <w:szCs w:val="21"/>
              </w:rPr>
            </w:pPr>
            <w:r>
              <w:rPr>
                <w:rFonts w:ascii="宋体" w:hAnsi="宋体" w:eastAsia="宋体" w:cs="宋体"/>
                <w:b/>
                <w:color w:val="000000"/>
                <w:sz w:val="18"/>
                <w:szCs w:val="21"/>
              </w:rPr>
              <w:t>项目</w:t>
            </w:r>
          </w:p>
        </w:tc>
        <w:tc>
          <w:tcPr>
            <w:tcW w:w="3321" w:type="dxa"/>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2023年9月30日</w:t>
            </w:r>
          </w:p>
        </w:tc>
        <w:tc>
          <w:tcPr>
            <w:tcW w:w="3321" w:type="dxa"/>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w:t>
            </w:r>
            <w:r>
              <w:rPr>
                <w:rFonts w:ascii="宋体" w:hAnsi="宋体" w:eastAsia="宋体" w:cs="Times New Roman"/>
                <w:b/>
                <w:color w:val="000000"/>
                <w:sz w:val="18"/>
                <w:szCs w:val="21"/>
              </w:rPr>
              <w:t>资产：</w:t>
            </w:r>
          </w:p>
        </w:tc>
        <w:tc>
          <w:tcPr>
            <w:tcW w:w="3321" w:type="dxa"/>
            <w:shd w:val="clear" w:color="auto" w:fill="auto"/>
          </w:tcPr>
          <w:p>
            <w:pPr>
              <w:rPr>
                <w:rFonts w:ascii="Calibri" w:hAnsi="Calibri" w:eastAsia="宋体" w:cs="Times New Roman"/>
              </w:rPr>
            </w:pPr>
          </w:p>
        </w:tc>
        <w:tc>
          <w:tcPr>
            <w:tcW w:w="3321" w:type="dxa"/>
            <w:shd w:val="clear" w:color="auto" w:fill="auto"/>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货币资金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ind w:firstLine="360" w:firstLineChars="200"/>
              <w:rPr>
                <w:rFonts w:ascii="宋体" w:hAnsi="宋体" w:eastAsia="宋体" w:cs="Times New Roman"/>
                <w:color w:val="000000"/>
                <w:sz w:val="18"/>
                <w:szCs w:val="21"/>
              </w:rPr>
            </w:pPr>
            <w:r>
              <w:rPr>
                <w:rFonts w:hint="eastAsia" w:ascii="宋体" w:hAnsi="宋体" w:eastAsia="宋体" w:cs="Times New Roman"/>
                <w:color w:val="000000"/>
                <w:sz w:val="18"/>
                <w:szCs w:val="21"/>
              </w:rPr>
              <w:t>其中：期货保证金存款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应收货币保证金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应收质押保证金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w:t>
            </w:r>
            <w:r>
              <w:rPr>
                <w:rFonts w:ascii="宋体" w:hAnsi="宋体" w:eastAsia="宋体" w:cs="Times New Roman"/>
                <w:color w:val="000000"/>
                <w:sz w:val="18"/>
                <w:szCs w:val="21"/>
              </w:rPr>
              <w:t>性</w:t>
            </w: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应收票据</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trPr>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应收账款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应收款项融资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预付款项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应收结算担保金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应收风险损失款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应收佣金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其他应收款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其中：应收利息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应收股利</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买入返售金融资产</w:t>
            </w:r>
          </w:p>
        </w:tc>
        <w:tc>
          <w:tcPr>
            <w:tcW w:w="3321" w:type="dxa"/>
            <w:shd w:val="clear" w:color="auto" w:fill="auto"/>
          </w:tcPr>
          <w:p>
            <w:pPr>
              <w:jc w:val="right"/>
              <w:rPr>
                <w:rFonts w:ascii="宋体" w:hAnsi="宋体" w:eastAsia="宋体" w:cs="Times New Roman"/>
                <w:sz w:val="18"/>
                <w:szCs w:val="18"/>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一年内到期的非流动资产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其他流动资产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流动资产</w:t>
            </w:r>
            <w:r>
              <w:rPr>
                <w:rFonts w:ascii="宋体" w:hAnsi="宋体" w:eastAsia="宋体" w:cs="Times New Roman"/>
                <w:b/>
                <w:color w:val="000000"/>
                <w:sz w:val="18"/>
                <w:szCs w:val="21"/>
              </w:rPr>
              <w:t>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非流动资产</w:t>
            </w:r>
            <w:r>
              <w:rPr>
                <w:rFonts w:ascii="宋体" w:hAnsi="宋体" w:eastAsia="宋体" w:cs="Times New Roman"/>
                <w:b/>
                <w:color w:val="000000"/>
                <w:sz w:val="18"/>
                <w:szCs w:val="21"/>
              </w:rPr>
              <w:t>：</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债权</w:t>
            </w:r>
            <w:r>
              <w:rPr>
                <w:rFonts w:ascii="宋体" w:hAnsi="宋体" w:eastAsia="宋体" w:cs="Times New Roman"/>
                <w:color w:val="000000"/>
                <w:sz w:val="18"/>
                <w:szCs w:val="21"/>
              </w:rPr>
              <w:t>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债权投资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长期应收款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长期股权投资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权益工具投资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期货会员资格投资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投资性房地产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固定资产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在建工程</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使用权</w:t>
            </w:r>
            <w:r>
              <w:rPr>
                <w:rFonts w:ascii="宋体" w:hAnsi="宋体" w:eastAsia="宋体" w:cs="Times New Roman"/>
                <w:color w:val="000000"/>
                <w:sz w:val="18"/>
                <w:szCs w:val="21"/>
              </w:rPr>
              <w:t>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无形资产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开发支出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商誉</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w:t>
            </w:r>
            <w:r>
              <w:rPr>
                <w:rFonts w:hint="eastAsia" w:ascii="宋体" w:hAnsi="宋体" w:eastAsia="宋体" w:cs="Times New Roman"/>
                <w:color w:val="000000"/>
                <w:sz w:val="18"/>
                <w:szCs w:val="21"/>
              </w:rPr>
              <w:t>非流动资产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color w:val="000000"/>
                <w:sz w:val="18"/>
                <w:szCs w:val="21"/>
              </w:rPr>
            </w:pPr>
            <w:r>
              <w:rPr>
                <w:rFonts w:hint="eastAsia" w:ascii="宋体" w:hAnsi="宋体" w:eastAsia="宋体" w:cs="Times New Roman"/>
                <w:b/>
                <w:color w:val="000000"/>
                <w:sz w:val="18"/>
                <w:szCs w:val="21"/>
              </w:rPr>
              <w:t>非流动</w:t>
            </w:r>
            <w:r>
              <w:rPr>
                <w:rFonts w:ascii="宋体" w:hAnsi="宋体" w:eastAsia="宋体" w:cs="Times New Roman"/>
                <w:b/>
                <w:color w:val="000000"/>
                <w:sz w:val="18"/>
                <w:szCs w:val="21"/>
              </w:rPr>
              <w:t>资产</w:t>
            </w:r>
            <w:r>
              <w:rPr>
                <w:rFonts w:hint="eastAsia" w:ascii="宋体" w:hAnsi="宋体" w:eastAsia="宋体" w:cs="Times New Roman"/>
                <w:b/>
                <w:color w:val="000000"/>
                <w:sz w:val="18"/>
                <w:szCs w:val="21"/>
              </w:rPr>
              <w:t>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资产</w:t>
            </w:r>
            <w:r>
              <w:rPr>
                <w:rFonts w:hint="eastAsia" w:ascii="宋体" w:hAnsi="宋体" w:eastAsia="宋体" w:cs="Times New Roman"/>
                <w:b/>
                <w:color w:val="000000"/>
                <w:sz w:val="18"/>
                <w:szCs w:val="21"/>
              </w:rPr>
              <w:t>总计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w:t>
            </w:r>
            <w:r>
              <w:rPr>
                <w:rFonts w:ascii="宋体" w:hAnsi="宋体" w:eastAsia="宋体" w:cs="Times New Roman"/>
                <w:b/>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短期借款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应付货币保证金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应付质押保证金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交易性金融</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期货风险准备金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应付票据</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应付账款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预收款项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卖出回购金融资产</w:t>
            </w:r>
            <w:r>
              <w:rPr>
                <w:rFonts w:hint="eastAsia" w:ascii="宋体" w:hAnsi="宋体" w:eastAsia="宋体" w:cs="Times New Roman"/>
                <w:color w:val="000000"/>
                <w:sz w:val="18"/>
                <w:szCs w:val="21"/>
              </w:rPr>
              <w:t>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应付期货投资者保障基金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应付手续费及佣金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应付职工薪酬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应交税费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其中：应付利息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应付股利</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一年内到期的非流动负债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其他流动负债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w:t>
            </w:r>
            <w:r>
              <w:rPr>
                <w:rFonts w:ascii="宋体" w:hAnsi="宋体" w:eastAsia="宋体" w:cs="Times New Roman"/>
                <w:b/>
                <w:color w:val="000000"/>
                <w:sz w:val="18"/>
                <w:szCs w:val="21"/>
              </w:rPr>
              <w:t>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非流动</w:t>
            </w:r>
            <w:r>
              <w:rPr>
                <w:rFonts w:ascii="宋体" w:hAnsi="宋体" w:eastAsia="宋体" w:cs="Times New Roman"/>
                <w:b/>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长期借款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应付债券</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租赁负债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w:t>
            </w:r>
            <w:r>
              <w:rPr>
                <w:rFonts w:ascii="宋体" w:hAnsi="宋体" w:eastAsia="宋体" w:cs="Times New Roman"/>
                <w:color w:val="000000"/>
                <w:sz w:val="18"/>
                <w:szCs w:val="21"/>
              </w:rPr>
              <w:t>应付款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长期应付</w:t>
            </w:r>
            <w:r>
              <w:rPr>
                <w:rFonts w:ascii="宋体" w:hAnsi="宋体" w:eastAsia="宋体" w:cs="Times New Roman"/>
                <w:color w:val="000000"/>
                <w:sz w:val="18"/>
                <w:szCs w:val="21"/>
              </w:rPr>
              <w:t>职工薪酬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预计负债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递延收益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w:t>
            </w:r>
            <w:r>
              <w:rPr>
                <w:rFonts w:hint="eastAsia" w:ascii="宋体" w:hAnsi="宋体" w:eastAsia="宋体" w:cs="Times New Roman"/>
                <w:color w:val="000000"/>
                <w:sz w:val="18"/>
                <w:szCs w:val="21"/>
              </w:rPr>
              <w:t>非流动</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非流动</w:t>
            </w:r>
            <w:r>
              <w:rPr>
                <w:rFonts w:ascii="宋体" w:hAnsi="宋体" w:eastAsia="宋体" w:cs="Times New Roman"/>
                <w:b/>
                <w:color w:val="000000"/>
                <w:sz w:val="18"/>
                <w:szCs w:val="21"/>
              </w:rPr>
              <w:t>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所有者权益（或股东权益）：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其他权益工具</w:t>
            </w:r>
            <w:r>
              <w:rPr>
                <w:rFonts w:ascii="宋体" w:hAnsi="宋体" w:eastAsia="宋体" w:cs="Times New Roman"/>
                <w:color w:val="000000"/>
                <w:sz w:val="18"/>
                <w:szCs w:val="21"/>
              </w:rPr>
              <w:t> </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r>
              <w:rPr>
                <w:rFonts w:ascii="宋体" w:hAnsi="宋体" w:eastAsia="宋体" w:cs="Times New Roman"/>
                <w:color w:val="000000"/>
                <w:sz w:val="18"/>
                <w:szCs w:val="21"/>
              </w:rPr>
              <w:t> </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资本公积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减：库存股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专项储备</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盈余公积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一般风险准备</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未分配利润</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股东权益合计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负债和股东权益总计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bl>
    <w:p>
      <w:pPr>
        <w:pStyle w:val="64"/>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090"/>
        <w:gridCol w:w="2289"/>
        <w:gridCol w:w="326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2289" w:type="dxa"/>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3260" w:type="dxa"/>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手续费及</w:t>
            </w:r>
            <w:r>
              <w:rPr>
                <w:rFonts w:ascii="宋体" w:hAnsi="宋体" w:eastAsia="宋体" w:cs="Times New Roman"/>
                <w:color w:val="000000"/>
                <w:sz w:val="18"/>
                <w:szCs w:val="21"/>
              </w:rPr>
              <w:t>佣金</w:t>
            </w:r>
            <w:r>
              <w:rPr>
                <w:rFonts w:hint="eastAsia" w:ascii="宋体" w:hAnsi="宋体" w:eastAsia="宋体" w:cs="Times New Roman"/>
                <w:color w:val="000000"/>
                <w:sz w:val="18"/>
                <w:szCs w:val="21"/>
              </w:rPr>
              <w:t>净收入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其中：</w:t>
            </w:r>
            <w:r>
              <w:rPr>
                <w:rFonts w:ascii="宋体" w:hAnsi="宋体" w:eastAsia="宋体" w:cs="Times New Roman"/>
                <w:color w:val="000000"/>
                <w:sz w:val="18"/>
                <w:szCs w:val="21"/>
              </w:rPr>
              <w:t>经纪业务手续费收入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资产</w:t>
            </w:r>
            <w:r>
              <w:rPr>
                <w:rFonts w:ascii="宋体" w:hAnsi="宋体" w:eastAsia="宋体" w:cs="Times New Roman"/>
                <w:color w:val="000000"/>
                <w:sz w:val="18"/>
                <w:szCs w:val="21"/>
              </w:rPr>
              <w:t>管理业务收入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投资咨询</w:t>
            </w:r>
            <w:r>
              <w:rPr>
                <w:rFonts w:ascii="宋体" w:hAnsi="宋体" w:eastAsia="宋体" w:cs="Times New Roman"/>
                <w:color w:val="000000"/>
                <w:sz w:val="18"/>
                <w:szCs w:val="21"/>
              </w:rPr>
              <w:t>业务收入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代理</w:t>
            </w:r>
            <w:r>
              <w:rPr>
                <w:rFonts w:ascii="宋体" w:hAnsi="宋体" w:eastAsia="宋体" w:cs="Times New Roman"/>
                <w:color w:val="000000"/>
                <w:sz w:val="18"/>
                <w:szCs w:val="21"/>
              </w:rPr>
              <w:t>销售金融产品收入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其他</w:t>
            </w:r>
            <w:r>
              <w:rPr>
                <w:rFonts w:ascii="宋体" w:hAnsi="宋体" w:eastAsia="宋体" w:cs="Times New Roman"/>
                <w:color w:val="000000"/>
                <w:sz w:val="18"/>
                <w:szCs w:val="21"/>
              </w:rPr>
              <w:t>代理业务收入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Calibri" w:hAnsi="Calibri" w:eastAsia="宋体" w:cs="Times New Roman"/>
                <w:color w:val="000000"/>
                <w:sz w:val="18"/>
                <w:szCs w:val="18"/>
              </w:rPr>
              <w:t>利息净收入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其中：利息收入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      利息支出</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投资收益（损失以“－”号填列）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firstLine="360" w:firstLineChars="200"/>
              <w:rPr>
                <w:rFonts w:ascii="宋体" w:hAnsi="宋体" w:eastAsia="宋体" w:cs="Times New Roman"/>
                <w:b/>
                <w:sz w:val="18"/>
                <w:szCs w:val="18"/>
              </w:rPr>
            </w:pPr>
            <w:r>
              <w:rPr>
                <w:rFonts w:hint="eastAsia" w:ascii="宋体" w:hAnsi="宋体" w:eastAsia="宋体" w:cs="Times New Roman"/>
                <w:sz w:val="18"/>
                <w:szCs w:val="18"/>
              </w:rPr>
              <w:t>其中：对联营企业和合营企业的投资收益（损失以“－”号填列）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 xml:space="preserve">          以摊余成本计量的金融资产终止确认产生的收益（损失以“-”号填列）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其他收益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公允价值变动收益（损失以“－”号填列）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汇兑收益（损失以“-”号填列）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Calibri" w:hAnsi="Calibri" w:eastAsia="宋体" w:cs="Times New Roman"/>
                <w:color w:val="000000"/>
                <w:sz w:val="18"/>
                <w:szCs w:val="18"/>
              </w:rPr>
              <w:t>其他业务收入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firstLine="360" w:firstLineChars="200"/>
              <w:rPr>
                <w:rFonts w:ascii="宋体" w:hAnsi="宋体" w:eastAsia="宋体" w:cs="Times New Roman"/>
                <w:b/>
                <w:sz w:val="18"/>
                <w:szCs w:val="18"/>
              </w:rPr>
            </w:pPr>
            <w:r>
              <w:rPr>
                <w:rFonts w:hint="eastAsia" w:ascii="宋体" w:hAnsi="宋体" w:eastAsia="宋体" w:cs="Times New Roman"/>
                <w:color w:val="000000"/>
                <w:sz w:val="18"/>
                <w:szCs w:val="21"/>
              </w:rPr>
              <w:t>其中：风险管理</w:t>
            </w:r>
            <w:r>
              <w:rPr>
                <w:rFonts w:ascii="宋体" w:hAnsi="宋体" w:eastAsia="宋体" w:cs="Times New Roman"/>
                <w:color w:val="000000"/>
                <w:sz w:val="18"/>
                <w:szCs w:val="21"/>
              </w:rPr>
              <w:t>业务收入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二、营业支出</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ascii="Times New Roman" w:hAnsi="Times New Roman" w:eastAsia="宋体" w:cs="Times New Roman"/>
                <w:color w:val="000000"/>
                <w:sz w:val="18"/>
                <w:szCs w:val="21"/>
              </w:rPr>
              <w:t>提取期货风险准备金</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税金及附加</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21"/>
              </w:rPr>
              <w:t>业务及管理费</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研发费用</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信用减值损失</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其他资产减值损失</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21"/>
              </w:rPr>
              <w:t>其他业务成本</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1.少数股东损益（净亏损以“-”号填列）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2.归属于母公司所有者的净利润（净亏损以“-”号填列）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（一）归属于母公司所有者的其他综合收益的税后净额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1.不能重分类进损益的其他综合收益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（3）其他权益工具投资公允价值变动</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（4）企业自身信用风险公允价值变动</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（5）其他</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2.将重分类进损益的其他综合收益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（1）权益法下可转损益的其他综合收益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）其他债权投资信用损失准备</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w:t>
            </w:r>
            <w:r>
              <w:rPr>
                <w:rFonts w:hint="eastAsia" w:ascii="宋体" w:hAnsi="宋体" w:eastAsia="宋体" w:cs="Times New Roman"/>
                <w:color w:val="000000"/>
                <w:sz w:val="18"/>
                <w:szCs w:val="18"/>
              </w:rPr>
              <w:t xml:space="preserve">归属于少数股东的其他综合收益的税后净额 </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（一）</w:t>
            </w:r>
            <w:r>
              <w:rPr>
                <w:rFonts w:hint="eastAsia" w:ascii="宋体" w:hAnsi="宋体" w:eastAsia="宋体" w:cs="Times New Roman"/>
                <w:color w:val="000000"/>
                <w:sz w:val="18"/>
                <w:szCs w:val="18"/>
              </w:rPr>
              <w:t>归属于母公司所有者的综合收益总额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w:t>
            </w:r>
            <w:r>
              <w:rPr>
                <w:rFonts w:hint="eastAsia" w:ascii="宋体" w:hAnsi="宋体" w:eastAsia="宋体" w:cs="Times New Roman"/>
                <w:color w:val="000000"/>
                <w:sz w:val="18"/>
                <w:szCs w:val="18"/>
              </w:rPr>
              <w:t>归属于少数股东的综合收益总额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090"/>
        <w:gridCol w:w="2289"/>
        <w:gridCol w:w="326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2289" w:type="dxa"/>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3260" w:type="dxa"/>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手续费及</w:t>
            </w:r>
            <w:r>
              <w:rPr>
                <w:rFonts w:ascii="宋体" w:hAnsi="宋体" w:eastAsia="宋体" w:cs="Times New Roman"/>
                <w:color w:val="000000"/>
                <w:sz w:val="18"/>
                <w:szCs w:val="21"/>
              </w:rPr>
              <w:t>佣金</w:t>
            </w:r>
            <w:r>
              <w:rPr>
                <w:rFonts w:hint="eastAsia" w:ascii="宋体" w:hAnsi="宋体" w:eastAsia="宋体" w:cs="Times New Roman"/>
                <w:color w:val="000000"/>
                <w:sz w:val="18"/>
                <w:szCs w:val="21"/>
              </w:rPr>
              <w:t>净收入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其中：</w:t>
            </w:r>
            <w:r>
              <w:rPr>
                <w:rFonts w:ascii="宋体" w:hAnsi="宋体" w:eastAsia="宋体" w:cs="Times New Roman"/>
                <w:color w:val="000000"/>
                <w:sz w:val="18"/>
                <w:szCs w:val="21"/>
              </w:rPr>
              <w:t>经纪业务手续费收入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资产</w:t>
            </w:r>
            <w:r>
              <w:rPr>
                <w:rFonts w:ascii="宋体" w:hAnsi="宋体" w:eastAsia="宋体" w:cs="Times New Roman"/>
                <w:color w:val="000000"/>
                <w:sz w:val="18"/>
                <w:szCs w:val="21"/>
              </w:rPr>
              <w:t>管理业务收入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投资咨询</w:t>
            </w:r>
            <w:r>
              <w:rPr>
                <w:rFonts w:ascii="宋体" w:hAnsi="宋体" w:eastAsia="宋体" w:cs="Times New Roman"/>
                <w:color w:val="000000"/>
                <w:sz w:val="18"/>
                <w:szCs w:val="21"/>
              </w:rPr>
              <w:t>业务收入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代理</w:t>
            </w:r>
            <w:r>
              <w:rPr>
                <w:rFonts w:ascii="宋体" w:hAnsi="宋体" w:eastAsia="宋体" w:cs="Times New Roman"/>
                <w:color w:val="000000"/>
                <w:sz w:val="18"/>
                <w:szCs w:val="21"/>
              </w:rPr>
              <w:t>销售金融产品收入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其他</w:t>
            </w:r>
            <w:r>
              <w:rPr>
                <w:rFonts w:ascii="宋体" w:hAnsi="宋体" w:eastAsia="宋体" w:cs="Times New Roman"/>
                <w:color w:val="000000"/>
                <w:sz w:val="18"/>
                <w:szCs w:val="21"/>
              </w:rPr>
              <w:t>代理业务收入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Calibri" w:hAnsi="Calibri" w:eastAsia="宋体" w:cs="Times New Roman"/>
                <w:color w:val="000000"/>
                <w:sz w:val="18"/>
                <w:szCs w:val="18"/>
              </w:rPr>
              <w:t>利息净收入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其中：利息收入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      利息支出</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投资收益（损失以“－”号填列）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firstLine="360" w:firstLineChars="200"/>
              <w:rPr>
                <w:rFonts w:ascii="宋体" w:hAnsi="宋体" w:eastAsia="宋体" w:cs="Times New Roman"/>
                <w:b/>
                <w:sz w:val="18"/>
                <w:szCs w:val="18"/>
              </w:rPr>
            </w:pPr>
            <w:r>
              <w:rPr>
                <w:rFonts w:hint="eastAsia" w:ascii="宋体" w:hAnsi="宋体" w:eastAsia="宋体" w:cs="Times New Roman"/>
                <w:sz w:val="18"/>
                <w:szCs w:val="18"/>
              </w:rPr>
              <w:t>其中：对联营企业和合营企业的投资收益（损失以“－”号填列）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 xml:space="preserve">          以摊余成本计量的金融资产终止确认产生的收益（损失以“-”号填列）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其他收益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公允价值变动收益（损失以“－”号填列）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汇兑收益（损失以“-”号填列）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Calibri" w:hAnsi="Calibri" w:eastAsia="宋体" w:cs="Times New Roman"/>
                <w:color w:val="000000"/>
                <w:sz w:val="18"/>
                <w:szCs w:val="18"/>
              </w:rPr>
              <w:t>其他业务收入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firstLine="360" w:firstLineChars="200"/>
              <w:rPr>
                <w:rFonts w:ascii="宋体" w:hAnsi="宋体" w:eastAsia="宋体" w:cs="Times New Roman"/>
                <w:b/>
                <w:sz w:val="18"/>
                <w:szCs w:val="18"/>
              </w:rPr>
            </w:pPr>
            <w:r>
              <w:rPr>
                <w:rFonts w:hint="eastAsia" w:ascii="宋体" w:hAnsi="宋体" w:eastAsia="宋体" w:cs="Times New Roman"/>
                <w:color w:val="000000"/>
                <w:sz w:val="18"/>
                <w:szCs w:val="21"/>
              </w:rPr>
              <w:t>其中：风险管理</w:t>
            </w:r>
            <w:r>
              <w:rPr>
                <w:rFonts w:ascii="宋体" w:hAnsi="宋体" w:eastAsia="宋体" w:cs="Times New Roman"/>
                <w:color w:val="000000"/>
                <w:sz w:val="18"/>
                <w:szCs w:val="21"/>
              </w:rPr>
              <w:t>业务收入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二、营业支出</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ascii="Times New Roman" w:hAnsi="Times New Roman" w:eastAsia="宋体" w:cs="Times New Roman"/>
                <w:color w:val="000000"/>
                <w:sz w:val="18"/>
                <w:szCs w:val="21"/>
              </w:rPr>
              <w:t>提取期货风险准备金</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税金及附加</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21"/>
              </w:rPr>
              <w:t>业务及管理费</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研发费用</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信用减值损失</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其他资产减值损失</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21"/>
              </w:rPr>
              <w:t>其他业务成本</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（一）不能重分类进损益的其他综合收益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3.其他权益工具投资公允价值变动</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4.企业自身信用风险公允价值变动</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5.其他</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1.权益法下可转损益的其他综合收益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.其他债权投资信用损失准备</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w:t>
            </w:r>
          </w:p>
        </w:tc>
        <w:tc>
          <w:tcPr>
            <w:tcW w:w="2289" w:type="dxa"/>
          </w:tcPr>
          <w:p>
            <w:pPr>
              <w:jc w:val="right"/>
              <w:rPr>
                <w:rFonts w:ascii="宋体" w:hAnsi="宋体" w:eastAsia="宋体" w:cs="Times New Roman"/>
                <w:sz w:val="18"/>
                <w:szCs w:val="18"/>
              </w:rPr>
            </w:pPr>
          </w:p>
        </w:tc>
        <w:tc>
          <w:tcPr>
            <w:tcW w:w="3260" w:type="dxa"/>
          </w:tcPr>
          <w:p>
            <w:pPr>
              <w:jc w:val="right"/>
              <w:rPr>
                <w:rFonts w:ascii="宋体" w:hAnsi="宋体" w:eastAsia="宋体" w:cs="Times New Roman"/>
                <w:sz w:val="18"/>
                <w:szCs w:val="18"/>
              </w:rPr>
            </w:pPr>
          </w:p>
        </w:tc>
      </w:tr>
    </w:tbl>
    <w:p>
      <w:pPr>
        <w:pStyle w:val="64"/>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526"/>
        <w:gridCol w:w="2556"/>
        <w:gridCol w:w="255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2556" w:type="dxa"/>
            <w:shd w:val="pct10" w:color="auto" w:fill="FFFFFF"/>
            <w:vAlign w:val="center"/>
          </w:tcPr>
          <w:p>
            <w:pPr>
              <w:jc w:val="center"/>
              <w:rPr>
                <w:rFonts w:ascii="宋体" w:hAnsi="宋体" w:eastAsia="宋体" w:cs="宋体"/>
                <w:b/>
                <w:sz w:val="18"/>
                <w:szCs w:val="18"/>
              </w:rPr>
            </w:pPr>
            <w:r>
              <w:rPr>
                <w:rFonts w:ascii="宋体" w:hAnsi="宋体"/>
                <w:b/>
                <w:sz w:val="18"/>
                <w:szCs w:val="18"/>
              </w:rPr>
              <w:t>2023年1-9月</w:t>
            </w:r>
          </w:p>
        </w:tc>
        <w:tc>
          <w:tcPr>
            <w:tcW w:w="2557" w:type="dxa"/>
            <w:shd w:val="pct10" w:color="auto" w:fill="FFFFFF"/>
            <w:vAlign w:val="center"/>
          </w:tcPr>
          <w:p>
            <w:pPr>
              <w:jc w:val="center"/>
              <w:rPr>
                <w:rFonts w:ascii="宋体" w:hAnsi="宋体" w:eastAsia="宋体" w:cs="宋体"/>
                <w:b/>
                <w:sz w:val="18"/>
                <w:szCs w:val="18"/>
              </w:rPr>
            </w:pPr>
            <w:r>
              <w:rPr>
                <w:rFonts w:ascii="宋体" w:hAnsi="宋体"/>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4526"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bCs/>
                <w:sz w:val="18"/>
                <w:szCs w:val="18"/>
              </w:rPr>
              <w:t>为交易目的而持有的金融资产净减少额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2556" w:type="dxa"/>
            <w:shd w:val="pct10" w:color="auto" w:fill="FFFFFF"/>
          </w:tcPr>
          <w:p>
            <w:pPr>
              <w:jc w:val="right"/>
              <w:rPr>
                <w:rFonts w:ascii="宋体" w:hAnsi="宋体" w:eastAsia="宋体" w:cs="宋体"/>
                <w:kern w:val="0"/>
                <w:sz w:val="18"/>
                <w:szCs w:val="18"/>
              </w:rPr>
            </w:pPr>
          </w:p>
        </w:tc>
        <w:tc>
          <w:tcPr>
            <w:tcW w:w="2557"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bCs/>
                <w:sz w:val="18"/>
                <w:szCs w:val="18"/>
              </w:rPr>
            </w:pPr>
            <w:r>
              <w:rPr>
                <w:rFonts w:hint="eastAsia" w:ascii="宋体" w:hAnsi="宋体" w:eastAsia="宋体" w:cs="Times New Roman"/>
                <w:bCs/>
                <w:sz w:val="18"/>
                <w:szCs w:val="18"/>
              </w:rPr>
              <w:t>为交易目的而持有的金融资产净增加额</w:t>
            </w:r>
          </w:p>
        </w:tc>
        <w:tc>
          <w:tcPr>
            <w:tcW w:w="2556" w:type="dxa"/>
            <w:shd w:val="pct10" w:color="auto" w:fill="FFFFFF"/>
          </w:tcPr>
          <w:p>
            <w:pPr>
              <w:jc w:val="right"/>
              <w:rPr>
                <w:rFonts w:ascii="宋体" w:hAnsi="宋体" w:eastAsia="宋体" w:cs="宋体"/>
                <w:bCs/>
                <w:kern w:val="0"/>
                <w:sz w:val="18"/>
                <w:szCs w:val="18"/>
              </w:rPr>
            </w:pPr>
          </w:p>
        </w:tc>
        <w:tc>
          <w:tcPr>
            <w:tcW w:w="2557" w:type="dxa"/>
            <w:shd w:val="pct10" w:color="auto" w:fill="FFFFFF"/>
          </w:tcPr>
          <w:p>
            <w:pPr>
              <w:jc w:val="right"/>
              <w:rPr>
                <w:rFonts w:ascii="宋体" w:hAnsi="宋体" w:eastAsia="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bCs/>
                <w:sz w:val="18"/>
                <w:szCs w:val="18"/>
              </w:rPr>
            </w:pPr>
            <w:r>
              <w:rPr>
                <w:rFonts w:hint="eastAsia" w:ascii="宋体" w:hAnsi="宋体" w:eastAsia="宋体" w:cs="Times New Roman"/>
                <w:bCs/>
                <w:sz w:val="18"/>
                <w:szCs w:val="18"/>
              </w:rPr>
              <w:t>返售业务资金净增加额</w:t>
            </w:r>
          </w:p>
        </w:tc>
        <w:tc>
          <w:tcPr>
            <w:tcW w:w="2556" w:type="dxa"/>
            <w:shd w:val="pct10" w:color="auto" w:fill="FFFFFF"/>
          </w:tcPr>
          <w:p>
            <w:pPr>
              <w:jc w:val="right"/>
              <w:rPr>
                <w:rFonts w:ascii="宋体" w:hAnsi="宋体" w:eastAsia="宋体" w:cs="宋体"/>
                <w:bCs/>
                <w:kern w:val="0"/>
                <w:sz w:val="18"/>
                <w:szCs w:val="18"/>
              </w:rPr>
            </w:pPr>
          </w:p>
        </w:tc>
        <w:tc>
          <w:tcPr>
            <w:tcW w:w="2557" w:type="dxa"/>
            <w:shd w:val="pct10" w:color="auto" w:fill="FFFFFF"/>
          </w:tcPr>
          <w:p>
            <w:pPr>
              <w:jc w:val="right"/>
              <w:rPr>
                <w:rFonts w:ascii="宋体" w:hAnsi="宋体" w:eastAsia="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21"/>
              </w:rPr>
              <w:t>以现金支付的业务及管理费</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2556" w:type="dxa"/>
            <w:shd w:val="pct10" w:color="auto" w:fill="FFFFFF"/>
          </w:tcPr>
          <w:p>
            <w:pPr>
              <w:jc w:val="right"/>
              <w:rPr>
                <w:rFonts w:ascii="宋体" w:hAnsi="宋体" w:eastAsia="宋体" w:cs="宋体"/>
                <w:kern w:val="0"/>
                <w:sz w:val="18"/>
                <w:szCs w:val="18"/>
              </w:rPr>
            </w:pPr>
          </w:p>
        </w:tc>
        <w:tc>
          <w:tcPr>
            <w:tcW w:w="2557"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2556" w:type="dxa"/>
            <w:shd w:val="pct10" w:color="auto" w:fill="FFFFFF"/>
          </w:tcPr>
          <w:p>
            <w:pPr>
              <w:jc w:val="right"/>
              <w:rPr>
                <w:rFonts w:ascii="宋体" w:hAnsi="宋体" w:eastAsia="宋体" w:cs="宋体"/>
                <w:kern w:val="0"/>
                <w:sz w:val="18"/>
                <w:szCs w:val="18"/>
              </w:rPr>
            </w:pPr>
          </w:p>
        </w:tc>
        <w:tc>
          <w:tcPr>
            <w:tcW w:w="2557" w:type="dxa"/>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2556" w:type="dxa"/>
            <w:shd w:val="pct10" w:color="auto" w:fill="auto"/>
          </w:tcPr>
          <w:p>
            <w:pPr>
              <w:jc w:val="right"/>
              <w:rPr>
                <w:rFonts w:ascii="宋体" w:hAnsi="宋体" w:eastAsia="宋体" w:cs="宋体"/>
                <w:kern w:val="0"/>
                <w:sz w:val="18"/>
                <w:szCs w:val="18"/>
              </w:rPr>
            </w:pPr>
          </w:p>
        </w:tc>
        <w:tc>
          <w:tcPr>
            <w:tcW w:w="2557"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投资支付的现金</w:t>
            </w:r>
          </w:p>
        </w:tc>
        <w:tc>
          <w:tcPr>
            <w:tcW w:w="2556" w:type="dxa"/>
            <w:shd w:val="pct10" w:color="auto" w:fill="auto"/>
          </w:tcPr>
          <w:p>
            <w:pPr>
              <w:jc w:val="right"/>
              <w:rPr>
                <w:rFonts w:ascii="宋体" w:hAnsi="宋体" w:eastAsia="宋体" w:cs="宋体"/>
                <w:kern w:val="0"/>
                <w:sz w:val="18"/>
                <w:szCs w:val="18"/>
              </w:rPr>
            </w:pPr>
          </w:p>
        </w:tc>
        <w:tc>
          <w:tcPr>
            <w:tcW w:w="2557"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2556" w:type="dxa"/>
            <w:shd w:val="pct10" w:color="auto" w:fill="FFFFFF"/>
          </w:tcPr>
          <w:p>
            <w:pPr>
              <w:jc w:val="right"/>
              <w:rPr>
                <w:rFonts w:ascii="宋体" w:hAnsi="宋体" w:eastAsia="宋体" w:cs="宋体"/>
                <w:b/>
                <w:kern w:val="0"/>
                <w:sz w:val="18"/>
                <w:szCs w:val="18"/>
              </w:rPr>
            </w:pPr>
          </w:p>
        </w:tc>
        <w:tc>
          <w:tcPr>
            <w:tcW w:w="2557" w:type="dxa"/>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2556" w:type="dxa"/>
            <w:shd w:val="pct10" w:color="auto" w:fill="FFFFFF"/>
          </w:tcPr>
          <w:p>
            <w:pPr>
              <w:jc w:val="right"/>
              <w:rPr>
                <w:rFonts w:ascii="宋体" w:hAnsi="宋体" w:eastAsia="宋体" w:cs="宋体"/>
                <w:b/>
                <w:kern w:val="0"/>
                <w:sz w:val="18"/>
                <w:szCs w:val="18"/>
              </w:rPr>
            </w:pPr>
          </w:p>
        </w:tc>
        <w:tc>
          <w:tcPr>
            <w:tcW w:w="2557" w:type="dxa"/>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发行债券收到的现金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2556" w:type="dxa"/>
            <w:shd w:val="pct10" w:color="auto" w:fill="auto"/>
          </w:tcPr>
          <w:p>
            <w:pPr>
              <w:jc w:val="right"/>
              <w:rPr>
                <w:rFonts w:ascii="宋体" w:hAnsi="宋体" w:eastAsia="宋体" w:cs="宋体"/>
                <w:kern w:val="0"/>
                <w:sz w:val="18"/>
                <w:szCs w:val="18"/>
              </w:rPr>
            </w:pPr>
          </w:p>
        </w:tc>
        <w:tc>
          <w:tcPr>
            <w:tcW w:w="2557"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2556" w:type="dxa"/>
            <w:shd w:val="pct10" w:color="auto" w:fill="FFFFFF"/>
          </w:tcPr>
          <w:p>
            <w:pPr>
              <w:jc w:val="right"/>
              <w:rPr>
                <w:rFonts w:ascii="宋体" w:hAnsi="宋体" w:eastAsia="宋体" w:cs="宋体"/>
                <w:kern w:val="0"/>
                <w:sz w:val="18"/>
                <w:szCs w:val="18"/>
              </w:rPr>
            </w:pPr>
          </w:p>
        </w:tc>
        <w:tc>
          <w:tcPr>
            <w:tcW w:w="2557"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2556" w:type="dxa"/>
            <w:shd w:val="pct10" w:color="auto" w:fill="FFFFFF"/>
          </w:tcPr>
          <w:p>
            <w:pPr>
              <w:jc w:val="right"/>
              <w:rPr>
                <w:rFonts w:ascii="宋体" w:hAnsi="宋体" w:eastAsia="宋体" w:cs="宋体"/>
                <w:kern w:val="0"/>
                <w:sz w:val="18"/>
                <w:szCs w:val="18"/>
              </w:rPr>
            </w:pPr>
          </w:p>
        </w:tc>
        <w:tc>
          <w:tcPr>
            <w:tcW w:w="2557"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numPr>
          <w:ilvl w:val="0"/>
          <w:numId w:val="7"/>
        </w:numPr>
        <w:spacing w:before="100" w:after="100" w:line="377" w:lineRule="auto"/>
        <w:ind w:firstLineChars="0"/>
        <w:jc w:val="left"/>
        <w:outlineLvl w:val="2"/>
        <w:rPr>
          <w:rFonts w:ascii="Arial" w:hAnsi="Arial" w:eastAsia="黑体"/>
          <w:b/>
          <w:bCs/>
          <w:sz w:val="22"/>
          <w:lang w:val="zh-CN"/>
        </w:rPr>
      </w:pPr>
      <w:r>
        <w:rPr>
          <w:rFonts w:ascii="Arial" w:hAnsi="Arial" w:eastAsia="黑体"/>
          <w:b/>
          <w:bCs/>
          <w:sz w:val="22"/>
          <w:lang w:val="zh-CN"/>
        </w:rPr>
        <w:t>母公司</w:t>
      </w:r>
      <w:r>
        <w:rPr>
          <w:rFonts w:hint="eastAsia" w:ascii="Arial" w:hAnsi="Arial" w:eastAsia="黑体"/>
          <w:b/>
          <w:bCs/>
          <w:sz w:val="22"/>
          <w:lang w:val="zh-CN"/>
        </w:rPr>
        <w:t>现金</w:t>
      </w:r>
      <w:r>
        <w:rPr>
          <w:rFonts w:ascii="Arial" w:hAnsi="Arial" w:eastAsia="黑体"/>
          <w:b/>
          <w:bCs/>
          <w:sz w:val="22"/>
          <w:lang w:val="zh-CN"/>
        </w:rPr>
        <w:t>流</w:t>
      </w:r>
      <w:r>
        <w:rPr>
          <w:rFonts w:hint="eastAsia" w:ascii="Arial" w:hAnsi="Arial" w:eastAsia="黑体"/>
          <w:b/>
          <w:bCs/>
          <w:sz w:val="22"/>
          <w:lang w:val="zh-CN"/>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526"/>
        <w:gridCol w:w="2548"/>
        <w:gridCol w:w="254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2548" w:type="dxa"/>
            <w:shd w:val="pct10" w:color="auto" w:fill="FFFFFF"/>
            <w:vAlign w:val="center"/>
          </w:tcPr>
          <w:p>
            <w:pPr>
              <w:jc w:val="center"/>
              <w:rPr>
                <w:rFonts w:ascii="宋体" w:hAnsi="宋体" w:eastAsia="宋体" w:cs="宋体"/>
                <w:b/>
                <w:sz w:val="18"/>
                <w:szCs w:val="18"/>
              </w:rPr>
            </w:pPr>
            <w:r>
              <w:rPr>
                <w:rFonts w:ascii="宋体" w:hAnsi="宋体"/>
                <w:b/>
                <w:sz w:val="18"/>
                <w:szCs w:val="18"/>
              </w:rPr>
              <w:t>2023年1-9月</w:t>
            </w:r>
          </w:p>
        </w:tc>
        <w:tc>
          <w:tcPr>
            <w:tcW w:w="2549" w:type="dxa"/>
            <w:shd w:val="pct10" w:color="auto" w:fill="FFFFFF"/>
            <w:vAlign w:val="center"/>
          </w:tcPr>
          <w:p>
            <w:pPr>
              <w:jc w:val="center"/>
              <w:rPr>
                <w:rFonts w:ascii="宋体" w:hAnsi="宋体" w:eastAsia="宋体" w:cs="宋体"/>
                <w:b/>
                <w:sz w:val="18"/>
                <w:szCs w:val="18"/>
              </w:rPr>
            </w:pPr>
            <w:r>
              <w:rPr>
                <w:rFonts w:ascii="宋体" w:hAnsi="宋体"/>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4526"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bCs/>
                <w:sz w:val="18"/>
                <w:szCs w:val="18"/>
              </w:rPr>
              <w:t>为交易目的而持有的金融资产净减少额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2548" w:type="dxa"/>
            <w:shd w:val="pct10" w:color="auto" w:fill="FFFFFF"/>
          </w:tcPr>
          <w:p>
            <w:pPr>
              <w:jc w:val="right"/>
              <w:rPr>
                <w:rFonts w:ascii="宋体" w:hAnsi="宋体" w:eastAsia="宋体" w:cs="宋体"/>
                <w:kern w:val="0"/>
                <w:sz w:val="18"/>
                <w:szCs w:val="18"/>
              </w:rPr>
            </w:pPr>
          </w:p>
        </w:tc>
        <w:tc>
          <w:tcPr>
            <w:tcW w:w="2549"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bCs/>
                <w:sz w:val="18"/>
                <w:szCs w:val="18"/>
              </w:rPr>
            </w:pPr>
            <w:r>
              <w:rPr>
                <w:rFonts w:hint="eastAsia" w:ascii="宋体" w:hAnsi="宋体" w:eastAsia="宋体" w:cs="Times New Roman"/>
                <w:bCs/>
                <w:sz w:val="18"/>
                <w:szCs w:val="18"/>
              </w:rPr>
              <w:t>为交易目的而持有的金融资产净增加额</w:t>
            </w:r>
          </w:p>
        </w:tc>
        <w:tc>
          <w:tcPr>
            <w:tcW w:w="2548" w:type="dxa"/>
            <w:shd w:val="pct10" w:color="auto" w:fill="FFFFFF"/>
          </w:tcPr>
          <w:p>
            <w:pPr>
              <w:jc w:val="right"/>
              <w:rPr>
                <w:rFonts w:ascii="宋体" w:hAnsi="宋体" w:eastAsia="宋体" w:cs="宋体"/>
                <w:bCs/>
                <w:kern w:val="0"/>
                <w:sz w:val="18"/>
                <w:szCs w:val="18"/>
              </w:rPr>
            </w:pPr>
          </w:p>
        </w:tc>
        <w:tc>
          <w:tcPr>
            <w:tcW w:w="2549" w:type="dxa"/>
            <w:shd w:val="pct10" w:color="auto" w:fill="FFFFFF"/>
          </w:tcPr>
          <w:p>
            <w:pPr>
              <w:jc w:val="right"/>
              <w:rPr>
                <w:rFonts w:ascii="宋体" w:hAnsi="宋体" w:eastAsia="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526" w:type="dxa"/>
            <w:shd w:val="pct10" w:color="auto" w:fill="FFFFFF"/>
            <w:vAlign w:val="center"/>
          </w:tcPr>
          <w:p>
            <w:pPr>
              <w:rPr>
                <w:rFonts w:ascii="宋体" w:hAnsi="宋体" w:eastAsia="宋体" w:cs="Times New Roman"/>
                <w:bCs/>
                <w:sz w:val="18"/>
                <w:szCs w:val="18"/>
              </w:rPr>
            </w:pPr>
            <w:r>
              <w:rPr>
                <w:rFonts w:hint="eastAsia" w:ascii="宋体" w:hAnsi="宋体" w:eastAsia="宋体" w:cs="Times New Roman"/>
                <w:bCs/>
                <w:sz w:val="18"/>
                <w:szCs w:val="18"/>
              </w:rPr>
              <w:t>返售业务资金净增加额</w:t>
            </w:r>
          </w:p>
        </w:tc>
        <w:tc>
          <w:tcPr>
            <w:tcW w:w="2548" w:type="dxa"/>
            <w:shd w:val="pct10" w:color="auto" w:fill="FFFFFF"/>
          </w:tcPr>
          <w:p>
            <w:pPr>
              <w:jc w:val="right"/>
              <w:rPr>
                <w:rFonts w:ascii="宋体" w:hAnsi="宋体" w:eastAsia="宋体" w:cs="宋体"/>
                <w:bCs/>
                <w:kern w:val="0"/>
                <w:sz w:val="18"/>
                <w:szCs w:val="18"/>
              </w:rPr>
            </w:pPr>
          </w:p>
        </w:tc>
        <w:tc>
          <w:tcPr>
            <w:tcW w:w="2549" w:type="dxa"/>
            <w:shd w:val="pct10" w:color="auto" w:fill="FFFFFF"/>
          </w:tcPr>
          <w:p>
            <w:pPr>
              <w:jc w:val="right"/>
              <w:rPr>
                <w:rFonts w:ascii="宋体" w:hAnsi="宋体" w:eastAsia="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21"/>
              </w:rPr>
              <w:t>以现金支付的业务及管理费</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2548" w:type="dxa"/>
            <w:shd w:val="pct10" w:color="auto" w:fill="FFFFFF"/>
          </w:tcPr>
          <w:p>
            <w:pPr>
              <w:jc w:val="right"/>
              <w:rPr>
                <w:rFonts w:ascii="宋体" w:hAnsi="宋体" w:eastAsia="宋体" w:cs="宋体"/>
                <w:kern w:val="0"/>
                <w:sz w:val="18"/>
                <w:szCs w:val="18"/>
              </w:rPr>
            </w:pPr>
          </w:p>
        </w:tc>
        <w:tc>
          <w:tcPr>
            <w:tcW w:w="2549"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2548" w:type="dxa"/>
            <w:shd w:val="pct10" w:color="auto" w:fill="FFFFFF"/>
          </w:tcPr>
          <w:p>
            <w:pPr>
              <w:jc w:val="right"/>
              <w:rPr>
                <w:rFonts w:ascii="宋体" w:hAnsi="宋体" w:eastAsia="宋体" w:cs="宋体"/>
                <w:kern w:val="0"/>
                <w:sz w:val="18"/>
                <w:szCs w:val="18"/>
              </w:rPr>
            </w:pPr>
          </w:p>
        </w:tc>
        <w:tc>
          <w:tcPr>
            <w:tcW w:w="2549" w:type="dxa"/>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2548" w:type="dxa"/>
            <w:shd w:val="pct10" w:color="auto" w:fill="auto"/>
          </w:tcPr>
          <w:p>
            <w:pPr>
              <w:jc w:val="right"/>
              <w:rPr>
                <w:rFonts w:ascii="宋体" w:hAnsi="宋体" w:eastAsia="宋体" w:cs="宋体"/>
                <w:kern w:val="0"/>
                <w:sz w:val="18"/>
                <w:szCs w:val="18"/>
              </w:rPr>
            </w:pPr>
          </w:p>
        </w:tc>
        <w:tc>
          <w:tcPr>
            <w:tcW w:w="2549"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526"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投资支付的现金</w:t>
            </w:r>
          </w:p>
        </w:tc>
        <w:tc>
          <w:tcPr>
            <w:tcW w:w="2548" w:type="dxa"/>
            <w:shd w:val="pct10" w:color="auto" w:fill="auto"/>
          </w:tcPr>
          <w:p>
            <w:pPr>
              <w:jc w:val="right"/>
              <w:rPr>
                <w:rFonts w:ascii="宋体" w:hAnsi="宋体" w:eastAsia="宋体" w:cs="宋体"/>
                <w:kern w:val="0"/>
                <w:sz w:val="18"/>
                <w:szCs w:val="18"/>
              </w:rPr>
            </w:pPr>
          </w:p>
        </w:tc>
        <w:tc>
          <w:tcPr>
            <w:tcW w:w="2549"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2548" w:type="dxa"/>
            <w:shd w:val="pct10" w:color="auto" w:fill="FFFFFF"/>
          </w:tcPr>
          <w:p>
            <w:pPr>
              <w:jc w:val="right"/>
              <w:rPr>
                <w:rFonts w:ascii="宋体" w:hAnsi="宋体" w:eastAsia="宋体" w:cs="宋体"/>
                <w:b/>
                <w:kern w:val="0"/>
                <w:sz w:val="18"/>
                <w:szCs w:val="18"/>
              </w:rPr>
            </w:pPr>
          </w:p>
        </w:tc>
        <w:tc>
          <w:tcPr>
            <w:tcW w:w="2549" w:type="dxa"/>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2548" w:type="dxa"/>
            <w:shd w:val="pct10" w:color="auto" w:fill="FFFFFF"/>
          </w:tcPr>
          <w:p>
            <w:pPr>
              <w:jc w:val="right"/>
              <w:rPr>
                <w:rFonts w:ascii="宋体" w:hAnsi="宋体" w:eastAsia="宋体" w:cs="宋体"/>
                <w:b/>
                <w:kern w:val="0"/>
                <w:sz w:val="18"/>
                <w:szCs w:val="18"/>
              </w:rPr>
            </w:pPr>
          </w:p>
        </w:tc>
        <w:tc>
          <w:tcPr>
            <w:tcW w:w="2549" w:type="dxa"/>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发行债券收到的现金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2548" w:type="dxa"/>
            <w:shd w:val="pct10" w:color="auto" w:fill="auto"/>
          </w:tcPr>
          <w:p>
            <w:pPr>
              <w:jc w:val="right"/>
              <w:rPr>
                <w:rFonts w:ascii="宋体" w:hAnsi="宋体" w:eastAsia="宋体" w:cs="宋体"/>
                <w:kern w:val="0"/>
                <w:sz w:val="18"/>
                <w:szCs w:val="18"/>
              </w:rPr>
            </w:pPr>
          </w:p>
        </w:tc>
        <w:tc>
          <w:tcPr>
            <w:tcW w:w="2549"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2548" w:type="dxa"/>
            <w:shd w:val="pct10" w:color="auto" w:fill="FFFFFF"/>
          </w:tcPr>
          <w:p>
            <w:pPr>
              <w:jc w:val="right"/>
              <w:rPr>
                <w:rFonts w:ascii="宋体" w:hAnsi="宋体" w:eastAsia="宋体" w:cs="宋体"/>
                <w:kern w:val="0"/>
                <w:sz w:val="18"/>
                <w:szCs w:val="18"/>
              </w:rPr>
            </w:pPr>
          </w:p>
        </w:tc>
        <w:tc>
          <w:tcPr>
            <w:tcW w:w="2549"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2548" w:type="dxa"/>
            <w:shd w:val="pct10" w:color="auto" w:fill="FFFFFF"/>
          </w:tcPr>
          <w:p>
            <w:pPr>
              <w:jc w:val="right"/>
              <w:rPr>
                <w:rFonts w:ascii="宋体" w:hAnsi="宋体" w:eastAsia="宋体" w:cs="宋体"/>
                <w:kern w:val="0"/>
                <w:sz w:val="18"/>
                <w:szCs w:val="18"/>
              </w:rPr>
            </w:pPr>
          </w:p>
        </w:tc>
        <w:tc>
          <w:tcPr>
            <w:tcW w:w="2549"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bl>
    <w:p>
      <w:pPr>
        <w:spacing w:before="240" w:after="60" w:line="312" w:lineRule="auto"/>
        <w:jc w:val="center"/>
        <w:outlineLvl w:val="1"/>
        <w:rPr>
          <w:rFonts w:ascii="黑体" w:hAnsi="黑体" w:eastAsia="黑体" w:cs="Times New Roman"/>
          <w:bCs/>
          <w:kern w:val="28"/>
          <w:sz w:val="36"/>
          <w:szCs w:val="36"/>
        </w:rPr>
        <w:sectPr>
          <w:pgSz w:w="11906" w:h="16838"/>
          <w:pgMar w:top="1440" w:right="1841" w:bottom="1440" w:left="1800" w:header="851" w:footer="992" w:gutter="0"/>
          <w:cols w:space="425" w:num="1"/>
          <w:docGrid w:type="lines" w:linePitch="312" w:charSpace="0"/>
        </w:sectPr>
      </w:pP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小贷公司</w:t>
      </w:r>
      <w:r>
        <w:rPr>
          <w:rFonts w:ascii="宋体" w:hAnsi="宋体" w:eastAsia="宋体" w:cs="Times New Roman"/>
          <w:b/>
          <w:color w:val="000000"/>
          <w:szCs w:val="21"/>
        </w:rPr>
        <w:t>：</w:t>
      </w:r>
    </w:p>
    <w:p>
      <w:pPr>
        <w:pStyle w:val="64"/>
        <w:numPr>
          <w:ilvl w:val="0"/>
          <w:numId w:val="8"/>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2"/>
        <w:gridCol w:w="3431"/>
        <w:gridCol w:w="343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tcBorders>
              <w:bottom w:val="single" w:color="5B9BD5" w:sz="4" w:space="0"/>
            </w:tcBorders>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732" w:type="pct"/>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18"/>
              </w:rPr>
              <w:t>2023年9月30日</w:t>
            </w:r>
          </w:p>
        </w:tc>
        <w:tc>
          <w:tcPr>
            <w:tcW w:w="1732" w:type="pct"/>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资产：</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货币资金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拆出资金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衍生金融资产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应收</w:t>
            </w:r>
            <w:r>
              <w:rPr>
                <w:rFonts w:ascii="宋体" w:hAnsi="宋体" w:eastAsia="宋体" w:cs="Times New Roman"/>
                <w:sz w:val="18"/>
                <w:szCs w:val="21"/>
              </w:rPr>
              <w:t>款项</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其中</w:t>
            </w:r>
            <w:r>
              <w:rPr>
                <w:rFonts w:ascii="宋体" w:hAnsi="宋体" w:eastAsia="宋体" w:cs="Times New Roman"/>
                <w:sz w:val="18"/>
                <w:szCs w:val="21"/>
              </w:rPr>
              <w:t>：应收利息</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合同</w:t>
            </w:r>
            <w:r>
              <w:rPr>
                <w:rFonts w:ascii="宋体" w:hAnsi="宋体" w:eastAsia="宋体" w:cs="Times New Roman"/>
                <w:sz w:val="18"/>
                <w:szCs w:val="21"/>
              </w:rPr>
              <w:t>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买</w:t>
            </w:r>
            <w:r>
              <w:rPr>
                <w:rFonts w:ascii="宋体" w:hAnsi="宋体" w:eastAsia="宋体" w:cs="Times New Roman"/>
                <w:sz w:val="18"/>
                <w:szCs w:val="21"/>
              </w:rPr>
              <w:t>入返售</w:t>
            </w:r>
            <w:r>
              <w:rPr>
                <w:rFonts w:hint="eastAsia" w:ascii="宋体" w:hAnsi="宋体" w:eastAsia="宋体" w:cs="Times New Roman"/>
                <w:sz w:val="18"/>
                <w:szCs w:val="21"/>
              </w:rPr>
              <w:t>金</w:t>
            </w:r>
            <w:r>
              <w:rPr>
                <w:rFonts w:ascii="宋体" w:hAnsi="宋体" w:eastAsia="宋体" w:cs="Times New Roman"/>
                <w:sz w:val="18"/>
                <w:szCs w:val="21"/>
              </w:rPr>
              <w:t>融资产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预付款项</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其他应收款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代理业务</w:t>
            </w:r>
            <w:r>
              <w:rPr>
                <w:rFonts w:ascii="宋体" w:hAnsi="宋体" w:eastAsia="宋体" w:cs="Times New Roman"/>
                <w:sz w:val="18"/>
                <w:szCs w:val="21"/>
              </w:rPr>
              <w:t>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持有待售资产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发放贷款及垫款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金融</w:t>
            </w:r>
            <w:r>
              <w:rPr>
                <w:rFonts w:ascii="宋体" w:hAnsi="宋体" w:eastAsia="宋体" w:cs="Times New Roman"/>
                <w:sz w:val="18"/>
                <w:szCs w:val="21"/>
              </w:rPr>
              <w:t>投资：</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交易</w:t>
            </w:r>
            <w:r>
              <w:rPr>
                <w:rFonts w:ascii="宋体" w:hAnsi="宋体" w:eastAsia="宋体" w:cs="Times New Roman"/>
                <w:sz w:val="18"/>
                <w:szCs w:val="21"/>
              </w:rPr>
              <w:t>性金融资产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债权</w:t>
            </w:r>
            <w:r>
              <w:rPr>
                <w:rFonts w:ascii="宋体" w:hAnsi="宋体" w:eastAsia="宋体" w:cs="Times New Roman"/>
                <w:sz w:val="18"/>
                <w:szCs w:val="21"/>
              </w:rPr>
              <w:t>投资</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债权投资</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权益工具投资</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委托贷款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长期股权投资</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投资性房地产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固定资产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在建工程</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使用权</w:t>
            </w:r>
            <w:r>
              <w:rPr>
                <w:rFonts w:ascii="宋体" w:hAnsi="宋体" w:eastAsia="宋体" w:cs="Times New Roman"/>
                <w:sz w:val="18"/>
                <w:szCs w:val="21"/>
              </w:rPr>
              <w:t>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无形资产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开发</w:t>
            </w:r>
            <w:r>
              <w:rPr>
                <w:rFonts w:ascii="宋体" w:hAnsi="宋体" w:eastAsia="宋体" w:cs="Times New Roman"/>
                <w:sz w:val="18"/>
                <w:szCs w:val="21"/>
              </w:rPr>
              <w:t>支出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抵债资产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商誉</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长期待摊费用</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递延所得税资产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其他资产</w:t>
            </w: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auto"/>
            <w:vAlign w:val="center"/>
          </w:tcPr>
          <w:p>
            <w:pPr>
              <w:jc w:val="center"/>
              <w:rPr>
                <w:rFonts w:ascii="宋体" w:hAnsi="宋体" w:eastAsia="宋体" w:cs="宋体"/>
                <w:b/>
                <w:sz w:val="18"/>
                <w:szCs w:val="21"/>
              </w:rPr>
            </w:pPr>
            <w:r>
              <w:rPr>
                <w:rFonts w:hint="eastAsia" w:ascii="宋体" w:hAnsi="宋体" w:eastAsia="宋体" w:cs="Times New Roman"/>
                <w:b/>
                <w:sz w:val="18"/>
                <w:szCs w:val="21"/>
              </w:rPr>
              <w:t>资产总计</w:t>
            </w:r>
          </w:p>
        </w:tc>
        <w:tc>
          <w:tcPr>
            <w:tcW w:w="1732" w:type="pct"/>
            <w:shd w:val="pct10" w:color="auto" w:fill="auto"/>
          </w:tcPr>
          <w:p>
            <w:pPr>
              <w:widowControl/>
              <w:jc w:val="right"/>
              <w:rPr>
                <w:rFonts w:ascii="宋体" w:hAnsi="宋体" w:eastAsia="宋体" w:cs="宋体"/>
                <w:kern w:val="0"/>
                <w:sz w:val="18"/>
                <w:szCs w:val="21"/>
              </w:rPr>
            </w:pPr>
          </w:p>
        </w:tc>
        <w:tc>
          <w:tcPr>
            <w:tcW w:w="1732" w:type="pct"/>
            <w:shd w:val="pct10"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53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负债：</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短期借款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拆入资金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交易性</w:t>
            </w:r>
            <w:r>
              <w:rPr>
                <w:rFonts w:ascii="宋体" w:hAnsi="宋体" w:eastAsia="宋体" w:cs="Times New Roman"/>
                <w:sz w:val="18"/>
                <w:szCs w:val="21"/>
              </w:rPr>
              <w:t>金融负债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衍生金融负债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应付款项</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预收款项</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合同</w:t>
            </w:r>
            <w:r>
              <w:rPr>
                <w:rFonts w:ascii="宋体" w:hAnsi="宋体" w:eastAsia="宋体" w:cs="Times New Roman"/>
                <w:sz w:val="18"/>
                <w:szCs w:val="21"/>
              </w:rPr>
              <w:t>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卖出回购金融资产款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应付职工薪酬</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应交税费</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其他应付款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Theme="minorEastAsia" w:hAnsiTheme="minorEastAsia"/>
                <w:sz w:val="18"/>
                <w:szCs w:val="21"/>
              </w:rPr>
              <w:t>未到期责任准备金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Theme="minorEastAsia" w:hAnsiTheme="minorEastAsia"/>
                <w:sz w:val="18"/>
                <w:szCs w:val="21"/>
              </w:rPr>
              <w:t>担保赔偿准备金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代理业务负债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持有待售负债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长期借款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应付债券</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其中：优先股</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 xml:space="preserve">      永续债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租赁</w:t>
            </w:r>
            <w:r>
              <w:rPr>
                <w:rFonts w:ascii="宋体" w:hAnsi="宋体" w:eastAsia="宋体" w:cs="Times New Roman"/>
                <w:sz w:val="18"/>
                <w:szCs w:val="21"/>
              </w:rPr>
              <w:t>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长期应付职工薪酬</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担保</w:t>
            </w:r>
            <w:r>
              <w:rPr>
                <w:rFonts w:ascii="宋体" w:hAnsi="宋体" w:eastAsia="宋体" w:cs="Times New Roman"/>
                <w:sz w:val="18"/>
                <w:szCs w:val="21"/>
              </w:rPr>
              <w:t>业务准备金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预计负债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递延收益</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递延所得税负债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tcBorders>
              <w:bottom w:val="single" w:color="5B9BD5" w:sz="4" w:space="0"/>
            </w:tcBorders>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其他负债</w:t>
            </w: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auto"/>
            <w:vAlign w:val="center"/>
          </w:tcPr>
          <w:p>
            <w:pPr>
              <w:widowControl/>
              <w:jc w:val="center"/>
              <w:rPr>
                <w:rFonts w:ascii="宋体" w:hAnsi="宋体" w:eastAsia="宋体" w:cs="Times New Roman"/>
                <w:b/>
                <w:sz w:val="18"/>
                <w:szCs w:val="21"/>
              </w:rPr>
            </w:pPr>
            <w:r>
              <w:rPr>
                <w:rFonts w:hint="eastAsia" w:ascii="宋体" w:hAnsi="宋体" w:eastAsia="宋体" w:cs="Times New Roman"/>
                <w:b/>
                <w:sz w:val="18"/>
                <w:szCs w:val="21"/>
              </w:rPr>
              <w:t>负债合计</w:t>
            </w:r>
          </w:p>
        </w:tc>
        <w:tc>
          <w:tcPr>
            <w:tcW w:w="1732" w:type="pct"/>
            <w:shd w:val="pct10" w:color="auto" w:fill="auto"/>
          </w:tcPr>
          <w:p>
            <w:pPr>
              <w:widowControl/>
              <w:jc w:val="right"/>
              <w:rPr>
                <w:rFonts w:ascii="宋体" w:hAnsi="宋体" w:eastAsia="宋体" w:cs="宋体"/>
                <w:kern w:val="0"/>
                <w:sz w:val="18"/>
                <w:szCs w:val="21"/>
              </w:rPr>
            </w:pPr>
          </w:p>
        </w:tc>
        <w:tc>
          <w:tcPr>
            <w:tcW w:w="1732" w:type="pct"/>
            <w:shd w:val="pct10"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6" w:type="pct"/>
            <w:shd w:val="pct10" w:color="auto" w:fill="FFFFFF"/>
            <w:vAlign w:val="center"/>
          </w:tcPr>
          <w:p>
            <w:pPr>
              <w:widowControl/>
              <w:jc w:val="left"/>
              <w:rPr>
                <w:rFonts w:ascii="宋体" w:hAnsi="宋体" w:eastAsia="宋体" w:cs="Times New Roman"/>
                <w:b/>
                <w:sz w:val="18"/>
                <w:szCs w:val="21"/>
              </w:rPr>
            </w:pPr>
            <w:r>
              <w:rPr>
                <w:rFonts w:hint="eastAsia" w:ascii="宋体" w:hAnsi="宋体" w:eastAsia="宋体" w:cs="Times New Roman"/>
                <w:b/>
                <w:sz w:val="18"/>
                <w:szCs w:val="21"/>
              </w:rPr>
              <w:t>所有者权益（或股东权益）：</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股本</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其他权益工具</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其中：优先股</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ind w:firstLine="540" w:firstLineChars="300"/>
              <w:jc w:val="left"/>
              <w:rPr>
                <w:rFonts w:ascii="宋体" w:hAnsi="宋体" w:eastAsia="宋体" w:cs="Times New Roman"/>
                <w:sz w:val="18"/>
                <w:szCs w:val="21"/>
              </w:rPr>
            </w:pPr>
            <w:r>
              <w:rPr>
                <w:rFonts w:hint="eastAsia" w:ascii="宋体" w:hAnsi="宋体" w:eastAsia="宋体" w:cs="Times New Roman"/>
                <w:sz w:val="18"/>
                <w:szCs w:val="21"/>
              </w:rPr>
              <w:t>永续债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资本公积</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减：库存股</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其他综合收益</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专项储备</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盈余公积</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一般风险准备</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未分配利润</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归属于母公司所有者权益合计</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tcBorders>
              <w:bottom w:val="single" w:color="5B9BD5" w:sz="4" w:space="0"/>
            </w:tcBorders>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少数股东权益</w:t>
            </w: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36" w:type="pct"/>
            <w:shd w:val="pct10" w:color="auto" w:fill="auto"/>
            <w:vAlign w:val="center"/>
          </w:tcPr>
          <w:p>
            <w:pPr>
              <w:widowControl/>
              <w:jc w:val="center"/>
              <w:rPr>
                <w:rFonts w:ascii="宋体" w:hAnsi="宋体" w:eastAsia="宋体" w:cs="Times New Roman"/>
                <w:b/>
                <w:sz w:val="18"/>
                <w:szCs w:val="21"/>
                <w:shd w:val="clear" w:color="auto" w:fill="D9D9D9"/>
              </w:rPr>
            </w:pPr>
            <w:r>
              <w:rPr>
                <w:rFonts w:hint="eastAsia" w:ascii="宋体" w:hAnsi="宋体" w:eastAsia="宋体" w:cs="Times New Roman"/>
                <w:b/>
                <w:sz w:val="18"/>
                <w:szCs w:val="21"/>
                <w:shd w:val="clear" w:color="auto" w:fill="D9D9D9"/>
              </w:rPr>
              <w:t>所有者权益（或股东权益）合计</w:t>
            </w:r>
          </w:p>
        </w:tc>
        <w:tc>
          <w:tcPr>
            <w:tcW w:w="1732" w:type="pct"/>
            <w:shd w:val="pct10" w:color="auto" w:fill="auto"/>
          </w:tcPr>
          <w:p>
            <w:pPr>
              <w:widowControl/>
              <w:jc w:val="right"/>
              <w:rPr>
                <w:rFonts w:ascii="宋体" w:hAnsi="宋体" w:eastAsia="宋体" w:cs="宋体"/>
                <w:kern w:val="0"/>
                <w:sz w:val="18"/>
                <w:szCs w:val="21"/>
                <w:shd w:val="clear" w:color="auto" w:fill="D9D9D9"/>
              </w:rPr>
            </w:pPr>
          </w:p>
        </w:tc>
        <w:tc>
          <w:tcPr>
            <w:tcW w:w="1732" w:type="pct"/>
            <w:shd w:val="pct10" w:color="auto" w:fill="auto"/>
          </w:tcPr>
          <w:p>
            <w:pPr>
              <w:widowControl/>
              <w:jc w:val="right"/>
              <w:rPr>
                <w:rFonts w:ascii="宋体" w:hAnsi="宋体" w:eastAsia="宋体" w:cs="宋体"/>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auto"/>
            <w:vAlign w:val="center"/>
          </w:tcPr>
          <w:p>
            <w:pPr>
              <w:widowControl/>
              <w:jc w:val="center"/>
              <w:rPr>
                <w:rFonts w:ascii="宋体" w:hAnsi="宋体" w:eastAsia="宋体" w:cs="Times New Roman"/>
                <w:b/>
                <w:sz w:val="18"/>
                <w:szCs w:val="21"/>
                <w:shd w:val="clear" w:color="auto" w:fill="D9D9D9"/>
              </w:rPr>
            </w:pPr>
            <w:r>
              <w:rPr>
                <w:rFonts w:hint="eastAsia" w:ascii="宋体" w:hAnsi="宋体" w:eastAsia="宋体" w:cs="Times New Roman"/>
                <w:b/>
                <w:sz w:val="18"/>
                <w:szCs w:val="21"/>
                <w:shd w:val="clear" w:color="auto" w:fill="D9D9D9"/>
              </w:rPr>
              <w:t>负债和所有者权益（或股东权益）总计</w:t>
            </w:r>
          </w:p>
        </w:tc>
        <w:tc>
          <w:tcPr>
            <w:tcW w:w="1732" w:type="pct"/>
            <w:shd w:val="pct10" w:color="auto" w:fill="auto"/>
          </w:tcPr>
          <w:p>
            <w:pPr>
              <w:widowControl/>
              <w:jc w:val="right"/>
              <w:rPr>
                <w:rFonts w:ascii="宋体" w:hAnsi="宋体" w:eastAsia="宋体" w:cs="宋体"/>
                <w:kern w:val="0"/>
                <w:sz w:val="18"/>
                <w:szCs w:val="21"/>
                <w:shd w:val="clear" w:color="auto" w:fill="D9D9D9"/>
              </w:rPr>
            </w:pPr>
          </w:p>
        </w:tc>
        <w:tc>
          <w:tcPr>
            <w:tcW w:w="1732" w:type="pct"/>
            <w:shd w:val="pct10" w:color="auto" w:fill="auto"/>
          </w:tcPr>
          <w:p>
            <w:pPr>
              <w:widowControl/>
              <w:jc w:val="right"/>
              <w:rPr>
                <w:rFonts w:ascii="宋体" w:hAnsi="宋体" w:eastAsia="宋体" w:cs="宋体"/>
                <w:kern w:val="0"/>
                <w:sz w:val="18"/>
                <w:szCs w:val="21"/>
                <w:shd w:val="clear" w:color="auto" w:fill="D9D9D9"/>
              </w:rPr>
            </w:pPr>
          </w:p>
        </w:tc>
      </w:tr>
    </w:tbl>
    <w:p>
      <w:pPr>
        <w:rPr>
          <w:rFonts w:ascii="Calibri" w:hAnsi="Calibri" w:eastAsia="宋体" w:cs="Times New Roman"/>
          <w:sz w:val="18"/>
          <w:szCs w:val="18"/>
        </w:rPr>
      </w:pPr>
    </w:p>
    <w:p>
      <w:pPr>
        <w:rPr>
          <w:rFonts w:ascii="Arial" w:hAnsi="Arial" w:eastAsia="黑体" w:cs="Times New Roman"/>
          <w:b/>
          <w:bCs/>
          <w:sz w:val="22"/>
          <w:lang w:val="zh-CN"/>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8"/>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2"/>
        <w:gridCol w:w="3423"/>
        <w:gridCol w:w="8"/>
        <w:gridCol w:w="3413"/>
        <w:gridCol w:w="1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tcBorders>
              <w:bottom w:val="single" w:color="5B9BD5" w:sz="4" w:space="0"/>
            </w:tcBorders>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728" w:type="pct"/>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18"/>
              </w:rPr>
              <w:t>2023年9月30日</w:t>
            </w:r>
          </w:p>
        </w:tc>
        <w:tc>
          <w:tcPr>
            <w:tcW w:w="1727" w:type="pct"/>
            <w:gridSpan w:val="2"/>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资产：</w:t>
            </w:r>
          </w:p>
        </w:tc>
        <w:tc>
          <w:tcPr>
            <w:tcW w:w="1728"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27" w:type="pct"/>
            <w:gridSpan w:val="2"/>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货币资金</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拆出资金</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衍生金融资产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应收</w:t>
            </w:r>
            <w:r>
              <w:rPr>
                <w:rFonts w:ascii="宋体" w:hAnsi="宋体" w:eastAsia="宋体" w:cs="Times New Roman"/>
                <w:sz w:val="18"/>
                <w:szCs w:val="21"/>
              </w:rPr>
              <w:t>款项</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其中</w:t>
            </w:r>
            <w:r>
              <w:rPr>
                <w:rFonts w:ascii="宋体" w:hAnsi="宋体" w:eastAsia="宋体" w:cs="Times New Roman"/>
                <w:sz w:val="18"/>
                <w:szCs w:val="21"/>
              </w:rPr>
              <w:t>：应收利息</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合同</w:t>
            </w:r>
            <w:r>
              <w:rPr>
                <w:rFonts w:ascii="宋体" w:hAnsi="宋体" w:eastAsia="宋体" w:cs="Times New Roman"/>
                <w:sz w:val="18"/>
                <w:szCs w:val="21"/>
              </w:rPr>
              <w:t>资产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买</w:t>
            </w:r>
            <w:r>
              <w:rPr>
                <w:rFonts w:ascii="宋体" w:hAnsi="宋体" w:eastAsia="宋体" w:cs="Times New Roman"/>
                <w:sz w:val="18"/>
                <w:szCs w:val="21"/>
              </w:rPr>
              <w:t>入返售</w:t>
            </w:r>
            <w:r>
              <w:rPr>
                <w:rFonts w:hint="eastAsia" w:ascii="宋体" w:hAnsi="宋体" w:eastAsia="宋体" w:cs="Times New Roman"/>
                <w:sz w:val="18"/>
                <w:szCs w:val="21"/>
              </w:rPr>
              <w:t>金</w:t>
            </w:r>
            <w:r>
              <w:rPr>
                <w:rFonts w:ascii="宋体" w:hAnsi="宋体" w:eastAsia="宋体" w:cs="Times New Roman"/>
                <w:sz w:val="18"/>
                <w:szCs w:val="21"/>
              </w:rPr>
              <w:t>融资产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预付款项</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其他应收款</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代理业务</w:t>
            </w:r>
            <w:r>
              <w:rPr>
                <w:rFonts w:ascii="宋体" w:hAnsi="宋体" w:eastAsia="宋体" w:cs="Times New Roman"/>
                <w:sz w:val="18"/>
                <w:szCs w:val="21"/>
              </w:rPr>
              <w:t>资产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持有待售资产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发放贷款及垫款</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金融</w:t>
            </w:r>
            <w:r>
              <w:rPr>
                <w:rFonts w:ascii="宋体" w:hAnsi="宋体" w:eastAsia="宋体" w:cs="Times New Roman"/>
                <w:sz w:val="18"/>
                <w:szCs w:val="21"/>
              </w:rPr>
              <w:t>投资：</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gridAfter w:val="1"/>
          <w:wAfter w:w="9" w:type="pct"/>
        </w:trPr>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交易</w:t>
            </w:r>
            <w:r>
              <w:rPr>
                <w:rFonts w:ascii="宋体" w:hAnsi="宋体" w:eastAsia="宋体" w:cs="Times New Roman"/>
                <w:sz w:val="18"/>
                <w:szCs w:val="21"/>
              </w:rPr>
              <w:t>性金融资产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债权</w:t>
            </w:r>
            <w:r>
              <w:rPr>
                <w:rFonts w:ascii="宋体" w:hAnsi="宋体" w:eastAsia="宋体" w:cs="Times New Roman"/>
                <w:sz w:val="18"/>
                <w:szCs w:val="21"/>
              </w:rPr>
              <w:t>投资</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债权投资</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权益工具投资</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长期股权投资</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委托贷款</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投资性房地产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固定资产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在建工程</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使用权</w:t>
            </w:r>
            <w:r>
              <w:rPr>
                <w:rFonts w:ascii="宋体" w:hAnsi="宋体" w:eastAsia="宋体" w:cs="Times New Roman"/>
                <w:sz w:val="18"/>
                <w:szCs w:val="21"/>
              </w:rPr>
              <w:t>资产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无形资产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开发</w:t>
            </w:r>
            <w:r>
              <w:rPr>
                <w:rFonts w:ascii="宋体" w:hAnsi="宋体" w:eastAsia="宋体" w:cs="Times New Roman"/>
                <w:sz w:val="18"/>
                <w:szCs w:val="21"/>
              </w:rPr>
              <w:t>支出</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gridAfter w:val="1"/>
          <w:wAfter w:w="9" w:type="pct"/>
        </w:trPr>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抵债资产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商誉</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长期待摊费用</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递延所得税资产</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gridAfter w:val="1"/>
          <w:wAfter w:w="9" w:type="pct"/>
        </w:trPr>
        <w:tc>
          <w:tcPr>
            <w:tcW w:w="1536"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其他资产</w:t>
            </w:r>
          </w:p>
        </w:tc>
        <w:tc>
          <w:tcPr>
            <w:tcW w:w="1728" w:type="pct"/>
            <w:tcBorders>
              <w:bottom w:val="single" w:color="5B9BD5" w:sz="4" w:space="0"/>
            </w:tcBorders>
            <w:shd w:val="clear" w:color="auto" w:fill="auto"/>
          </w:tcPr>
          <w:p>
            <w:pPr>
              <w:widowControl/>
              <w:jc w:val="right"/>
              <w:rPr>
                <w:rFonts w:ascii="宋体" w:hAnsi="宋体" w:eastAsia="宋体" w:cs="宋体"/>
                <w:kern w:val="0"/>
                <w:sz w:val="18"/>
                <w:szCs w:val="21"/>
              </w:rPr>
            </w:pPr>
          </w:p>
        </w:tc>
        <w:tc>
          <w:tcPr>
            <w:tcW w:w="1727" w:type="pct"/>
            <w:gridSpan w:val="2"/>
            <w:tcBorders>
              <w:bottom w:val="single" w:color="5B9BD5" w:sz="4" w:space="0"/>
            </w:tcBorders>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auto"/>
            <w:vAlign w:val="center"/>
          </w:tcPr>
          <w:p>
            <w:pPr>
              <w:jc w:val="center"/>
              <w:rPr>
                <w:rFonts w:ascii="宋体" w:hAnsi="宋体" w:eastAsia="宋体" w:cs="宋体"/>
                <w:b/>
                <w:sz w:val="18"/>
                <w:szCs w:val="21"/>
              </w:rPr>
            </w:pPr>
            <w:r>
              <w:rPr>
                <w:rFonts w:hint="eastAsia" w:ascii="宋体" w:hAnsi="宋体" w:eastAsia="宋体" w:cs="Times New Roman"/>
                <w:b/>
                <w:sz w:val="18"/>
                <w:szCs w:val="21"/>
              </w:rPr>
              <w:t>资产总计</w:t>
            </w:r>
          </w:p>
        </w:tc>
        <w:tc>
          <w:tcPr>
            <w:tcW w:w="1728" w:type="pct"/>
            <w:shd w:val="pct10" w:color="auto" w:fill="auto"/>
          </w:tcPr>
          <w:p>
            <w:pPr>
              <w:widowControl/>
              <w:jc w:val="right"/>
              <w:rPr>
                <w:rFonts w:ascii="宋体" w:hAnsi="宋体" w:eastAsia="宋体" w:cs="宋体"/>
                <w:kern w:val="0"/>
                <w:sz w:val="18"/>
                <w:szCs w:val="21"/>
              </w:rPr>
            </w:pPr>
          </w:p>
        </w:tc>
        <w:tc>
          <w:tcPr>
            <w:tcW w:w="1727" w:type="pct"/>
            <w:gridSpan w:val="2"/>
            <w:shd w:val="pct10"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Height w:val="305" w:hRule="atLeast"/>
        </w:trPr>
        <w:tc>
          <w:tcPr>
            <w:tcW w:w="153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负债：</w:t>
            </w:r>
          </w:p>
        </w:tc>
        <w:tc>
          <w:tcPr>
            <w:tcW w:w="1728"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27" w:type="pct"/>
            <w:gridSpan w:val="2"/>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短期借款</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拆入资金</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交易性</w:t>
            </w:r>
            <w:r>
              <w:rPr>
                <w:rFonts w:ascii="宋体" w:hAnsi="宋体" w:eastAsia="宋体" w:cs="Times New Roman"/>
                <w:sz w:val="18"/>
                <w:szCs w:val="21"/>
              </w:rPr>
              <w:t>金融负债</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衍生金融负债</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应付款项</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预收款项</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卖出回购金融资产款</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应付职工薪酬</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应交税费</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合同</w:t>
            </w:r>
            <w:r>
              <w:rPr>
                <w:rFonts w:ascii="宋体" w:hAnsi="宋体" w:eastAsia="宋体" w:cs="Times New Roman"/>
                <w:sz w:val="18"/>
                <w:szCs w:val="21"/>
              </w:rPr>
              <w:t>负债</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其他应付款</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未到期责任准备金</w:t>
            </w:r>
          </w:p>
        </w:tc>
        <w:tc>
          <w:tcPr>
            <w:tcW w:w="1732" w:type="pct"/>
            <w:gridSpan w:val="2"/>
            <w:shd w:val="clear" w:color="auto" w:fill="auto"/>
          </w:tcPr>
          <w:p>
            <w:pPr>
              <w:widowControl/>
              <w:jc w:val="right"/>
              <w:rPr>
                <w:rFonts w:ascii="宋体" w:hAnsi="宋体" w:eastAsia="宋体" w:cs="宋体"/>
                <w:kern w:val="0"/>
                <w:sz w:val="18"/>
                <w:szCs w:val="21"/>
              </w:rPr>
            </w:pPr>
          </w:p>
        </w:tc>
        <w:tc>
          <w:tcPr>
            <w:tcW w:w="1732"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Theme="minorEastAsia" w:hAnsiTheme="minorEastAsia"/>
                <w:sz w:val="18"/>
                <w:szCs w:val="21"/>
              </w:rPr>
              <w:t>担保赔偿准备金</w:t>
            </w:r>
          </w:p>
        </w:tc>
        <w:tc>
          <w:tcPr>
            <w:tcW w:w="1732" w:type="pct"/>
            <w:gridSpan w:val="2"/>
            <w:shd w:val="clear" w:color="auto" w:fill="auto"/>
          </w:tcPr>
          <w:p>
            <w:pPr>
              <w:widowControl/>
              <w:jc w:val="right"/>
              <w:rPr>
                <w:rFonts w:ascii="宋体" w:hAnsi="宋体" w:eastAsia="宋体" w:cs="宋体"/>
                <w:kern w:val="0"/>
                <w:sz w:val="18"/>
                <w:szCs w:val="21"/>
              </w:rPr>
            </w:pPr>
          </w:p>
        </w:tc>
        <w:tc>
          <w:tcPr>
            <w:tcW w:w="1732"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代理业务负债</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持有待售负债</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长期借款</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应付债券</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其中：优先股</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 xml:space="preserve">      永续债</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租赁负债</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长期应付职工薪酬</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担保</w:t>
            </w:r>
            <w:r>
              <w:rPr>
                <w:rFonts w:ascii="宋体" w:hAnsi="宋体" w:eastAsia="宋体" w:cs="Times New Roman"/>
                <w:sz w:val="18"/>
                <w:szCs w:val="21"/>
              </w:rPr>
              <w:t>业务准备金</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预计负债</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递延收益</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递延所得税负债</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tcBorders>
              <w:bottom w:val="single" w:color="5B9BD5" w:sz="4" w:space="0"/>
            </w:tcBorders>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其他负债</w:t>
            </w:r>
          </w:p>
        </w:tc>
        <w:tc>
          <w:tcPr>
            <w:tcW w:w="1728" w:type="pct"/>
            <w:tcBorders>
              <w:bottom w:val="single" w:color="5B9BD5" w:sz="4" w:space="0"/>
            </w:tcBorders>
            <w:shd w:val="clear" w:color="auto" w:fill="auto"/>
          </w:tcPr>
          <w:p>
            <w:pPr>
              <w:widowControl/>
              <w:jc w:val="right"/>
              <w:rPr>
                <w:rFonts w:ascii="宋体" w:hAnsi="宋体" w:eastAsia="宋体" w:cs="宋体"/>
                <w:kern w:val="0"/>
                <w:sz w:val="18"/>
                <w:szCs w:val="21"/>
              </w:rPr>
            </w:pPr>
          </w:p>
        </w:tc>
        <w:tc>
          <w:tcPr>
            <w:tcW w:w="1727" w:type="pct"/>
            <w:gridSpan w:val="2"/>
            <w:tcBorders>
              <w:bottom w:val="single" w:color="5B9BD5" w:sz="4" w:space="0"/>
            </w:tcBorders>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auto"/>
            <w:vAlign w:val="center"/>
          </w:tcPr>
          <w:p>
            <w:pPr>
              <w:widowControl/>
              <w:jc w:val="center"/>
              <w:rPr>
                <w:rFonts w:ascii="宋体" w:hAnsi="宋体" w:eastAsia="宋体" w:cs="Times New Roman"/>
                <w:b/>
                <w:sz w:val="18"/>
                <w:szCs w:val="21"/>
              </w:rPr>
            </w:pPr>
            <w:r>
              <w:rPr>
                <w:rFonts w:hint="eastAsia" w:ascii="宋体" w:hAnsi="宋体" w:eastAsia="宋体" w:cs="Times New Roman"/>
                <w:b/>
                <w:sz w:val="18"/>
                <w:szCs w:val="21"/>
              </w:rPr>
              <w:t>负债合计</w:t>
            </w:r>
          </w:p>
        </w:tc>
        <w:tc>
          <w:tcPr>
            <w:tcW w:w="1728" w:type="pct"/>
            <w:shd w:val="pct10" w:color="auto" w:fill="auto"/>
          </w:tcPr>
          <w:p>
            <w:pPr>
              <w:widowControl/>
              <w:jc w:val="right"/>
              <w:rPr>
                <w:rFonts w:ascii="宋体" w:hAnsi="宋体" w:eastAsia="宋体" w:cs="宋体"/>
                <w:kern w:val="0"/>
                <w:sz w:val="18"/>
                <w:szCs w:val="21"/>
              </w:rPr>
            </w:pPr>
          </w:p>
        </w:tc>
        <w:tc>
          <w:tcPr>
            <w:tcW w:w="1727" w:type="pct"/>
            <w:gridSpan w:val="2"/>
            <w:shd w:val="pct10"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Height w:val="276" w:hRule="atLeast"/>
        </w:trPr>
        <w:tc>
          <w:tcPr>
            <w:tcW w:w="1536" w:type="pct"/>
            <w:shd w:val="pct10" w:color="auto" w:fill="FFFFFF"/>
            <w:vAlign w:val="center"/>
          </w:tcPr>
          <w:p>
            <w:pPr>
              <w:widowControl/>
              <w:jc w:val="left"/>
              <w:rPr>
                <w:rFonts w:ascii="宋体" w:hAnsi="宋体" w:eastAsia="宋体" w:cs="Times New Roman"/>
                <w:b/>
                <w:sz w:val="18"/>
                <w:szCs w:val="21"/>
              </w:rPr>
            </w:pPr>
            <w:r>
              <w:rPr>
                <w:rFonts w:hint="eastAsia" w:ascii="宋体" w:hAnsi="宋体" w:eastAsia="宋体" w:cs="Times New Roman"/>
                <w:b/>
                <w:sz w:val="18"/>
                <w:szCs w:val="21"/>
              </w:rPr>
              <w:t>所有者权益（或股东权益）：</w:t>
            </w:r>
          </w:p>
        </w:tc>
        <w:tc>
          <w:tcPr>
            <w:tcW w:w="1728"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27" w:type="pct"/>
            <w:gridSpan w:val="2"/>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股本</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其他权益工具</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其中：优先股</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ind w:firstLine="540" w:firstLineChars="300"/>
              <w:jc w:val="left"/>
              <w:rPr>
                <w:rFonts w:ascii="宋体" w:hAnsi="宋体" w:eastAsia="宋体" w:cs="Times New Roman"/>
                <w:sz w:val="18"/>
                <w:szCs w:val="21"/>
              </w:rPr>
            </w:pPr>
            <w:r>
              <w:rPr>
                <w:rFonts w:hint="eastAsia" w:ascii="宋体" w:hAnsi="宋体" w:eastAsia="宋体" w:cs="Times New Roman"/>
                <w:sz w:val="18"/>
                <w:szCs w:val="21"/>
              </w:rPr>
              <w:t>永续债</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资本公积</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减：库存股</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其他综合收益</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专项储备</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盈余公积</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一般风险准备</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未分配利润</w:t>
            </w:r>
          </w:p>
        </w:tc>
        <w:tc>
          <w:tcPr>
            <w:tcW w:w="1728" w:type="pct"/>
            <w:shd w:val="clear" w:color="auto" w:fill="auto"/>
          </w:tcPr>
          <w:p>
            <w:pPr>
              <w:widowControl/>
              <w:jc w:val="right"/>
              <w:rPr>
                <w:rFonts w:ascii="宋体" w:hAnsi="宋体" w:eastAsia="宋体" w:cs="宋体"/>
                <w:kern w:val="0"/>
                <w:sz w:val="18"/>
                <w:szCs w:val="21"/>
              </w:rPr>
            </w:pPr>
          </w:p>
        </w:tc>
        <w:tc>
          <w:tcPr>
            <w:tcW w:w="1727" w:type="pct"/>
            <w:gridSpan w:val="2"/>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Height w:val="198" w:hRule="atLeast"/>
        </w:trPr>
        <w:tc>
          <w:tcPr>
            <w:tcW w:w="1536" w:type="pct"/>
            <w:shd w:val="pct10" w:color="auto" w:fill="auto"/>
            <w:vAlign w:val="center"/>
          </w:tcPr>
          <w:p>
            <w:pPr>
              <w:widowControl/>
              <w:jc w:val="center"/>
              <w:rPr>
                <w:rFonts w:ascii="宋体" w:hAnsi="宋体" w:eastAsia="宋体" w:cs="Times New Roman"/>
                <w:b/>
                <w:sz w:val="18"/>
                <w:szCs w:val="21"/>
                <w:shd w:val="clear" w:color="auto" w:fill="D9D9D9"/>
              </w:rPr>
            </w:pPr>
            <w:r>
              <w:rPr>
                <w:rFonts w:hint="eastAsia" w:ascii="宋体" w:hAnsi="宋体" w:eastAsia="宋体" w:cs="Times New Roman"/>
                <w:b/>
                <w:sz w:val="18"/>
                <w:szCs w:val="21"/>
                <w:shd w:val="clear" w:color="auto" w:fill="D9D9D9"/>
              </w:rPr>
              <w:t>所有者权益（或股东权益）合计</w:t>
            </w:r>
          </w:p>
        </w:tc>
        <w:tc>
          <w:tcPr>
            <w:tcW w:w="1728" w:type="pct"/>
            <w:shd w:val="pct10" w:color="auto" w:fill="auto"/>
          </w:tcPr>
          <w:p>
            <w:pPr>
              <w:widowControl/>
              <w:jc w:val="right"/>
              <w:rPr>
                <w:rFonts w:ascii="宋体" w:hAnsi="宋体" w:eastAsia="宋体" w:cs="宋体"/>
                <w:kern w:val="0"/>
                <w:sz w:val="18"/>
                <w:szCs w:val="21"/>
                <w:shd w:val="clear" w:color="auto" w:fill="D9D9D9"/>
              </w:rPr>
            </w:pPr>
          </w:p>
        </w:tc>
        <w:tc>
          <w:tcPr>
            <w:tcW w:w="1727" w:type="pct"/>
            <w:gridSpan w:val="2"/>
            <w:shd w:val="pct10" w:color="auto" w:fill="auto"/>
          </w:tcPr>
          <w:p>
            <w:pPr>
              <w:widowControl/>
              <w:jc w:val="right"/>
              <w:rPr>
                <w:rFonts w:ascii="宋体" w:hAnsi="宋体" w:eastAsia="宋体" w:cs="宋体"/>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9" w:type="pct"/>
        </w:trPr>
        <w:tc>
          <w:tcPr>
            <w:tcW w:w="1536" w:type="pct"/>
            <w:shd w:val="pct10" w:color="auto" w:fill="auto"/>
            <w:vAlign w:val="center"/>
          </w:tcPr>
          <w:p>
            <w:pPr>
              <w:widowControl/>
              <w:jc w:val="center"/>
              <w:rPr>
                <w:rFonts w:ascii="宋体" w:hAnsi="宋体" w:eastAsia="宋体" w:cs="Times New Roman"/>
                <w:b/>
                <w:sz w:val="18"/>
                <w:szCs w:val="21"/>
                <w:shd w:val="clear" w:color="auto" w:fill="D9D9D9"/>
              </w:rPr>
            </w:pPr>
            <w:r>
              <w:rPr>
                <w:rFonts w:hint="eastAsia" w:ascii="宋体" w:hAnsi="宋体" w:eastAsia="宋体" w:cs="Times New Roman"/>
                <w:b/>
                <w:sz w:val="18"/>
                <w:szCs w:val="21"/>
                <w:shd w:val="clear" w:color="auto" w:fill="D9D9D9"/>
              </w:rPr>
              <w:t>负债和所有者权益（或股东权益）总计</w:t>
            </w:r>
          </w:p>
        </w:tc>
        <w:tc>
          <w:tcPr>
            <w:tcW w:w="1728" w:type="pct"/>
            <w:shd w:val="pct10" w:color="auto" w:fill="auto"/>
          </w:tcPr>
          <w:p>
            <w:pPr>
              <w:widowControl/>
              <w:jc w:val="right"/>
              <w:rPr>
                <w:rFonts w:ascii="宋体" w:hAnsi="宋体" w:eastAsia="宋体" w:cs="宋体"/>
                <w:kern w:val="0"/>
                <w:sz w:val="18"/>
                <w:szCs w:val="21"/>
                <w:shd w:val="clear" w:color="auto" w:fill="D9D9D9"/>
              </w:rPr>
            </w:pPr>
          </w:p>
        </w:tc>
        <w:tc>
          <w:tcPr>
            <w:tcW w:w="1727" w:type="pct"/>
            <w:gridSpan w:val="2"/>
            <w:shd w:val="pct10" w:color="auto" w:fill="auto"/>
          </w:tcPr>
          <w:p>
            <w:pPr>
              <w:widowControl/>
              <w:jc w:val="right"/>
              <w:rPr>
                <w:rFonts w:ascii="宋体" w:hAnsi="宋体" w:eastAsia="宋体" w:cs="宋体"/>
                <w:kern w:val="0"/>
                <w:sz w:val="18"/>
                <w:szCs w:val="21"/>
                <w:shd w:val="clear" w:color="auto" w:fill="D9D9D9"/>
              </w:rPr>
            </w:pPr>
          </w:p>
        </w:tc>
      </w:tr>
    </w:tbl>
    <w:p>
      <w:pPr>
        <w:ind w:left="6300" w:firstLine="420"/>
        <w:jc w:val="right"/>
        <w:rPr>
          <w:rFonts w:ascii="Calibri" w:hAnsi="Calibri" w:eastAsia="宋体" w:cs="Times New Roman"/>
        </w:rPr>
      </w:pPr>
    </w:p>
    <w:p>
      <w:pPr>
        <w:pStyle w:val="64"/>
        <w:numPr>
          <w:ilvl w:val="0"/>
          <w:numId w:val="8"/>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45"/>
        <w:gridCol w:w="3609"/>
        <w:gridCol w:w="335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822"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2023年1-9月</w:t>
            </w:r>
          </w:p>
        </w:tc>
        <w:tc>
          <w:tcPr>
            <w:tcW w:w="1691" w:type="pct"/>
            <w:shd w:val="pct10" w:color="auto" w:fill="FFFFFF"/>
          </w:tcPr>
          <w:p>
            <w:pPr>
              <w:jc w:val="center"/>
              <w:rPr>
                <w:rFonts w:ascii="宋体" w:hAnsi="宋体" w:eastAsia="宋体" w:cs="Times New Roman"/>
                <w:b/>
                <w:sz w:val="18"/>
                <w:szCs w:val="21"/>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一、营业收入</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利息净收入</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ind w:firstLine="270" w:firstLineChars="150"/>
              <w:rPr>
                <w:rFonts w:ascii="宋体" w:hAnsi="宋体" w:eastAsia="宋体" w:cs="Times New Roman"/>
                <w:sz w:val="18"/>
                <w:szCs w:val="21"/>
              </w:rPr>
            </w:pPr>
            <w:r>
              <w:rPr>
                <w:rFonts w:hint="eastAsia" w:ascii="宋体" w:hAnsi="宋体" w:eastAsia="宋体" w:cs="Times New Roman"/>
                <w:sz w:val="18"/>
                <w:szCs w:val="21"/>
              </w:rPr>
              <w:t>其中:利息</w:t>
            </w:r>
            <w:r>
              <w:rPr>
                <w:rFonts w:ascii="宋体" w:hAnsi="宋体" w:eastAsia="宋体" w:cs="Times New Roman"/>
                <w:sz w:val="18"/>
                <w:szCs w:val="21"/>
              </w:rPr>
              <w:t>收入</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ind w:firstLine="270" w:firstLineChars="150"/>
              <w:rPr>
                <w:rFonts w:ascii="宋体" w:hAnsi="宋体" w:eastAsia="宋体" w:cs="Times New Roman"/>
                <w:sz w:val="18"/>
                <w:szCs w:val="21"/>
              </w:rPr>
            </w:pPr>
            <w:r>
              <w:rPr>
                <w:rFonts w:hint="eastAsia" w:ascii="宋体" w:hAnsi="宋体" w:eastAsia="宋体" w:cs="Times New Roman"/>
                <w:sz w:val="18"/>
                <w:szCs w:val="21"/>
              </w:rPr>
              <w:t xml:space="preserve">     利息</w:t>
            </w:r>
            <w:r>
              <w:rPr>
                <w:rFonts w:ascii="宋体" w:hAnsi="宋体" w:eastAsia="宋体" w:cs="Times New Roman"/>
                <w:sz w:val="18"/>
                <w:szCs w:val="21"/>
              </w:rPr>
              <w:t>支出</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手续费及佣金净收入</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 xml:space="preserve">   其中</w:t>
            </w:r>
            <w:r>
              <w:rPr>
                <w:rFonts w:ascii="宋体" w:hAnsi="宋体" w:eastAsia="宋体" w:cs="Times New Roman"/>
                <w:sz w:val="18"/>
                <w:szCs w:val="21"/>
              </w:rPr>
              <w:t>：</w:t>
            </w:r>
            <w:r>
              <w:rPr>
                <w:rFonts w:hint="eastAsia" w:ascii="宋体" w:hAnsi="宋体" w:eastAsia="宋体" w:cs="Times New Roman"/>
                <w:sz w:val="18"/>
                <w:szCs w:val="21"/>
              </w:rPr>
              <w:t>手续费及佣金收入</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 xml:space="preserve">         手续费及佣金支出</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担保费</w:t>
            </w:r>
            <w:r>
              <w:rPr>
                <w:rFonts w:ascii="宋体" w:hAnsi="宋体" w:eastAsia="宋体" w:cs="Times New Roman"/>
                <w:sz w:val="18"/>
                <w:szCs w:val="21"/>
              </w:rPr>
              <w:t>收入</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代理</w:t>
            </w:r>
            <w:r>
              <w:rPr>
                <w:rFonts w:ascii="宋体" w:hAnsi="宋体" w:eastAsia="宋体" w:cs="Times New Roman"/>
                <w:sz w:val="18"/>
                <w:szCs w:val="21"/>
              </w:rPr>
              <w:t>收入</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投资收益（损失以“－”号填列）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ind w:firstLine="360" w:firstLineChars="200"/>
              <w:rPr>
                <w:rFonts w:ascii="宋体" w:hAnsi="宋体" w:eastAsia="宋体" w:cs="Times New Roman"/>
                <w:sz w:val="18"/>
                <w:szCs w:val="21"/>
              </w:rPr>
            </w:pPr>
            <w:r>
              <w:rPr>
                <w:rFonts w:hint="eastAsia" w:ascii="宋体" w:hAnsi="宋体" w:eastAsia="宋体" w:cs="Times New Roman"/>
                <w:sz w:val="18"/>
                <w:szCs w:val="21"/>
              </w:rPr>
              <w:t>其中：对联营企业和合营企业的投资收益</w:t>
            </w:r>
            <w:r>
              <w:rPr>
                <w:rFonts w:hint="eastAsia" w:ascii="宋体" w:hAnsi="宋体" w:eastAsia="宋体" w:cs="Times New Roman"/>
                <w:sz w:val="18"/>
                <w:szCs w:val="18"/>
              </w:rPr>
              <w:t>（损失以“－”号填列）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ind w:left="884" w:leftChars="421"/>
              <w:rPr>
                <w:rFonts w:ascii="宋体" w:hAnsi="宋体" w:eastAsia="宋体" w:cs="Times New Roman"/>
                <w:sz w:val="18"/>
                <w:szCs w:val="21"/>
              </w:rPr>
            </w:pPr>
            <w:r>
              <w:rPr>
                <w:rFonts w:hint="eastAsia" w:ascii="宋体" w:hAnsi="宋体" w:eastAsia="宋体" w:cs="Times New Roman"/>
                <w:sz w:val="18"/>
                <w:szCs w:val="21"/>
              </w:rPr>
              <w:t>以</w:t>
            </w:r>
            <w:r>
              <w:rPr>
                <w:rFonts w:ascii="宋体" w:hAnsi="宋体" w:eastAsia="宋体" w:cs="Times New Roman"/>
                <w:color w:val="000000"/>
                <w:sz w:val="18"/>
                <w:szCs w:val="21"/>
              </w:rPr>
              <w:t>摊余成本计量的金融资产终止确认产生的收益（</w:t>
            </w:r>
            <w:r>
              <w:rPr>
                <w:rFonts w:hint="eastAsia" w:ascii="宋体" w:hAnsi="宋体" w:eastAsia="宋体" w:cs="Times New Roman"/>
                <w:color w:val="000000"/>
                <w:sz w:val="18"/>
                <w:szCs w:val="21"/>
              </w:rPr>
              <w:t>损失</w:t>
            </w:r>
            <w:r>
              <w:rPr>
                <w:rFonts w:ascii="宋体" w:hAnsi="宋体" w:eastAsia="宋体" w:cs="Times New Roman"/>
                <w:color w:val="000000"/>
                <w:sz w:val="18"/>
                <w:szCs w:val="21"/>
              </w:rPr>
              <w:t>以“-”</w:t>
            </w:r>
            <w:r>
              <w:rPr>
                <w:rFonts w:hint="eastAsia" w:ascii="宋体" w:hAnsi="宋体" w:eastAsia="宋体" w:cs="Times New Roman"/>
                <w:color w:val="000000"/>
                <w:sz w:val="18"/>
                <w:szCs w:val="21"/>
              </w:rPr>
              <w:t>号</w:t>
            </w:r>
            <w:r>
              <w:rPr>
                <w:rFonts w:ascii="宋体" w:hAnsi="宋体" w:eastAsia="宋体" w:cs="Times New Roman"/>
                <w:color w:val="000000"/>
                <w:sz w:val="18"/>
                <w:szCs w:val="21"/>
              </w:rPr>
              <w:t>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净敞口套期收益（损失以“-”号填列）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收益</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公允价值变动收益（损失以“－”号填列）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汇兑收益（损失以“-”号填列）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其他业务收入</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资产处置收益（损失以“-”号填列）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二、营业成本</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税金及附加</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业务</w:t>
            </w:r>
            <w:r>
              <w:rPr>
                <w:rFonts w:ascii="宋体" w:hAnsi="宋体" w:eastAsia="宋体" w:cs="Times New Roman"/>
                <w:sz w:val="18"/>
                <w:szCs w:val="21"/>
              </w:rPr>
              <w:t>及管理费</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信用</w:t>
            </w:r>
            <w:r>
              <w:rPr>
                <w:rFonts w:ascii="宋体" w:hAnsi="宋体" w:eastAsia="宋体" w:cs="Times New Roman"/>
                <w:sz w:val="18"/>
                <w:szCs w:val="21"/>
              </w:rPr>
              <w:t>减值损失</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资产减值损失</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业务成本</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三、营业利润（亏损以“－”号填列）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加：营业外收入</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减：营业外支出</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四、利润总额（亏损总额以“－”号填列）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减：所得税费用</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五、净利润（净亏损以“－”号填列）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rPr>
                <w:rFonts w:ascii="宋体" w:hAnsi="宋体" w:eastAsia="宋体" w:cs="Times New Roman"/>
                <w:b/>
                <w:sz w:val="18"/>
                <w:szCs w:val="21"/>
              </w:rPr>
            </w:pPr>
            <w:r>
              <w:rPr>
                <w:rFonts w:hint="eastAsia" w:ascii="宋体" w:hAnsi="宋体" w:eastAsia="宋体" w:cs="Times New Roman"/>
                <w:color w:val="000000"/>
                <w:sz w:val="18"/>
                <w:szCs w:val="18"/>
              </w:rPr>
              <w:t>其中：被合并方在合并前实现的净利润</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b/>
                <w:sz w:val="18"/>
                <w:szCs w:val="21"/>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21"/>
              </w:rPr>
              <w:t>（净亏损以“－”号填列）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21"/>
              </w:rPr>
              <w:t>（净亏损以“－”号填列）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1.少数股东损益</w:t>
            </w:r>
            <w:r>
              <w:rPr>
                <w:rFonts w:hint="eastAsia" w:ascii="宋体" w:hAnsi="宋体" w:eastAsia="宋体" w:cs="Times New Roman"/>
                <w:sz w:val="18"/>
                <w:szCs w:val="21"/>
              </w:rPr>
              <w:t>（净亏损以“－”号填列）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2.归属于母公司所有者的净利润</w:t>
            </w:r>
            <w:r>
              <w:rPr>
                <w:rFonts w:hint="eastAsia" w:ascii="宋体" w:hAnsi="宋体" w:eastAsia="宋体" w:cs="Times New Roman"/>
                <w:sz w:val="18"/>
                <w:szCs w:val="21"/>
              </w:rPr>
              <w:t>（净亏损以“－”号填列）</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b/>
                <w:sz w:val="18"/>
                <w:szCs w:val="21"/>
              </w:rPr>
            </w:pPr>
            <w:r>
              <w:rPr>
                <w:rFonts w:hint="eastAsia" w:ascii="宋体" w:hAnsi="宋体" w:eastAsia="宋体" w:cs="Times New Roman"/>
                <w:b/>
                <w:sz w:val="18"/>
                <w:szCs w:val="21"/>
              </w:rPr>
              <w:t>六、其他综合收益的税后净额</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（一）归属于母公司所有者的其他综合收益的税后净额</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1.不能重分类进损益的其他综合收益</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ind w:firstLine="450" w:firstLineChars="250"/>
              <w:rPr>
                <w:rFonts w:ascii="宋体" w:hAnsi="宋体" w:eastAsia="宋体" w:cs="Times New Roman"/>
                <w:sz w:val="18"/>
                <w:szCs w:val="21"/>
              </w:rPr>
            </w:pPr>
            <w:r>
              <w:rPr>
                <w:rFonts w:hint="eastAsia" w:ascii="宋体" w:hAnsi="宋体" w:eastAsia="宋体" w:cs="Times New Roman"/>
                <w:sz w:val="18"/>
                <w:szCs w:val="21"/>
              </w:rPr>
              <w:t>（1）重新计量设定受益计划变动额</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ind w:firstLine="450" w:firstLineChars="250"/>
              <w:rPr>
                <w:rFonts w:ascii="宋体" w:hAnsi="宋体" w:eastAsia="宋体" w:cs="Times New Roman"/>
                <w:sz w:val="18"/>
                <w:szCs w:val="21"/>
              </w:rPr>
            </w:pPr>
            <w:r>
              <w:rPr>
                <w:rFonts w:hint="eastAsia" w:ascii="宋体" w:hAnsi="宋体" w:eastAsia="宋体" w:cs="Times New Roman"/>
                <w:sz w:val="18"/>
                <w:szCs w:val="21"/>
              </w:rPr>
              <w:t>（2）权益法下</w:t>
            </w:r>
            <w:r>
              <w:rPr>
                <w:rFonts w:hint="eastAsia" w:ascii="宋体" w:hAnsi="宋体" w:eastAsia="宋体" w:cs="Times New Roman"/>
                <w:sz w:val="18"/>
                <w:szCs w:val="18"/>
              </w:rPr>
              <w:t>不能转损益的其他综合收益</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ind w:firstLine="450" w:firstLineChars="250"/>
              <w:rPr>
                <w:rFonts w:ascii="宋体" w:hAnsi="宋体" w:eastAsia="宋体" w:cs="Times New Roman"/>
                <w:sz w:val="18"/>
                <w:szCs w:val="21"/>
              </w:rPr>
            </w:pPr>
            <w:r>
              <w:rPr>
                <w:rFonts w:hint="eastAsia" w:ascii="宋体" w:hAnsi="宋体" w:eastAsia="宋体" w:cs="Times New Roman"/>
                <w:sz w:val="18"/>
                <w:szCs w:val="21"/>
              </w:rPr>
              <w:t>（3）其他</w:t>
            </w:r>
            <w:r>
              <w:rPr>
                <w:rFonts w:ascii="宋体" w:hAnsi="宋体" w:eastAsia="宋体" w:cs="Times New Roman"/>
                <w:sz w:val="18"/>
                <w:szCs w:val="21"/>
              </w:rPr>
              <w:t>权益工具投资公允价值变动</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ind w:firstLine="450" w:firstLineChars="250"/>
              <w:rPr>
                <w:rFonts w:ascii="宋体" w:hAnsi="宋体" w:eastAsia="宋体" w:cs="Times New Roman"/>
                <w:sz w:val="18"/>
                <w:szCs w:val="21"/>
              </w:rPr>
            </w:pPr>
            <w:r>
              <w:rPr>
                <w:rFonts w:hint="eastAsia" w:ascii="宋体" w:hAnsi="宋体" w:eastAsia="宋体" w:cs="Times New Roman"/>
                <w:sz w:val="18"/>
                <w:szCs w:val="21"/>
              </w:rPr>
              <w:t>（4）</w:t>
            </w:r>
            <w:r>
              <w:rPr>
                <w:rFonts w:hint="eastAsia" w:ascii="Calibri" w:hAnsi="Calibri" w:eastAsia="宋体" w:cs="Times New Roman"/>
                <w:sz w:val="18"/>
                <w:szCs w:val="18"/>
              </w:rPr>
              <w:t>企业自身信用风险公允价值变动</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ind w:firstLine="450" w:firstLineChars="250"/>
              <w:rPr>
                <w:rFonts w:ascii="宋体" w:hAnsi="宋体" w:eastAsia="宋体" w:cs="Times New Roman"/>
                <w:sz w:val="18"/>
                <w:szCs w:val="21"/>
              </w:rPr>
            </w:pPr>
            <w:r>
              <w:rPr>
                <w:rFonts w:hint="eastAsia" w:ascii="宋体" w:hAnsi="宋体" w:eastAsia="宋体" w:cs="Times New Roman"/>
                <w:sz w:val="18"/>
                <w:szCs w:val="21"/>
              </w:rPr>
              <w:t>（5）其他</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2.将重分类进损益的其他综合收益</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ind w:firstLine="360" w:firstLineChars="200"/>
              <w:rPr>
                <w:rFonts w:ascii="宋体" w:hAnsi="宋体" w:eastAsia="宋体" w:cs="Times New Roman"/>
                <w:sz w:val="18"/>
                <w:szCs w:val="21"/>
              </w:rPr>
            </w:pPr>
            <w:r>
              <w:rPr>
                <w:rFonts w:hint="eastAsia" w:ascii="宋体" w:hAnsi="宋体" w:eastAsia="宋体" w:cs="Times New Roman"/>
                <w:sz w:val="18"/>
                <w:szCs w:val="21"/>
              </w:rPr>
              <w:t>（1）权益法</w:t>
            </w:r>
            <w:r>
              <w:rPr>
                <w:rFonts w:hint="eastAsia" w:ascii="宋体" w:hAnsi="宋体" w:eastAsia="宋体" w:cs="Times New Roman"/>
                <w:sz w:val="18"/>
                <w:szCs w:val="18"/>
              </w:rPr>
              <w:t>可转损益的其他综合收益</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ind w:firstLine="360" w:firstLineChars="200"/>
              <w:rPr>
                <w:rFonts w:ascii="宋体" w:hAnsi="宋体" w:eastAsia="宋体" w:cs="Times New Roman"/>
                <w:sz w:val="18"/>
                <w:szCs w:val="21"/>
              </w:rPr>
            </w:pPr>
            <w:r>
              <w:rPr>
                <w:rFonts w:hint="eastAsia" w:ascii="宋体" w:hAnsi="宋体" w:eastAsia="宋体" w:cs="Times New Roman"/>
                <w:sz w:val="18"/>
                <w:szCs w:val="21"/>
              </w:rPr>
              <w:t>（</w:t>
            </w:r>
            <w:r>
              <w:rPr>
                <w:rFonts w:ascii="宋体" w:hAnsi="宋体" w:eastAsia="宋体" w:cs="Times New Roman"/>
                <w:sz w:val="18"/>
                <w:szCs w:val="21"/>
              </w:rPr>
              <w:t>2</w:t>
            </w:r>
            <w:r>
              <w:rPr>
                <w:rFonts w:hint="eastAsia" w:ascii="宋体" w:hAnsi="宋体" w:eastAsia="宋体" w:cs="Times New Roman"/>
                <w:sz w:val="18"/>
                <w:szCs w:val="21"/>
              </w:rPr>
              <w:t>）</w:t>
            </w:r>
            <w:r>
              <w:rPr>
                <w:rFonts w:hint="eastAsia" w:ascii="宋体" w:hAnsi="宋体" w:eastAsia="宋体" w:cs="Times New Roman"/>
                <w:sz w:val="18"/>
                <w:szCs w:val="18"/>
              </w:rPr>
              <w:t>其他债权投资公允价值变动</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ind w:firstLine="360" w:firstLineChars="200"/>
              <w:rPr>
                <w:rFonts w:ascii="宋体" w:hAnsi="宋体" w:eastAsia="宋体" w:cs="Times New Roman"/>
                <w:color w:val="000000"/>
                <w:sz w:val="18"/>
                <w:szCs w:val="21"/>
              </w:rPr>
            </w:pPr>
            <w:r>
              <w:rPr>
                <w:rFonts w:hint="eastAsia" w:ascii="宋体" w:hAnsi="宋体" w:eastAsia="宋体" w:cs="Times New Roman"/>
                <w:sz w:val="18"/>
                <w:szCs w:val="21"/>
              </w:rPr>
              <w:t>（</w:t>
            </w:r>
            <w:r>
              <w:rPr>
                <w:rFonts w:ascii="宋体" w:hAnsi="宋体" w:eastAsia="宋体" w:cs="Times New Roman"/>
                <w:color w:val="000000"/>
                <w:sz w:val="18"/>
                <w:szCs w:val="21"/>
              </w:rPr>
              <w:t>3</w:t>
            </w:r>
            <w:r>
              <w:rPr>
                <w:rFonts w:hint="eastAsia" w:ascii="宋体" w:hAnsi="宋体" w:eastAsia="宋体" w:cs="Times New Roman"/>
                <w:color w:val="000000"/>
                <w:sz w:val="18"/>
                <w:szCs w:val="21"/>
              </w:rPr>
              <w:t>）</w:t>
            </w:r>
            <w:r>
              <w:rPr>
                <w:rFonts w:hint="eastAsia" w:ascii="宋体" w:hAnsi="宋体" w:eastAsia="宋体" w:cs="Times New Roman"/>
                <w:sz w:val="18"/>
                <w:szCs w:val="18"/>
              </w:rPr>
              <w:t>金融资产重分类计入其他综合收益的金额</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ind w:firstLine="360" w:firstLineChars="200"/>
              <w:rPr>
                <w:rFonts w:ascii="宋体" w:hAnsi="宋体" w:eastAsia="宋体" w:cs="Times New Roman"/>
                <w:color w:val="000000"/>
                <w:sz w:val="18"/>
                <w:szCs w:val="21"/>
              </w:rPr>
            </w:pPr>
            <w:r>
              <w:rPr>
                <w:rFonts w:hint="eastAsia" w:ascii="宋体" w:hAnsi="宋体" w:eastAsia="宋体" w:cs="Times New Roman"/>
                <w:sz w:val="18"/>
                <w:szCs w:val="21"/>
              </w:rPr>
              <w:t>（</w:t>
            </w:r>
            <w:r>
              <w:rPr>
                <w:rFonts w:ascii="宋体" w:hAnsi="宋体" w:eastAsia="宋体" w:cs="Times New Roman"/>
                <w:color w:val="000000"/>
                <w:sz w:val="18"/>
                <w:szCs w:val="21"/>
              </w:rPr>
              <w:t>4</w:t>
            </w:r>
            <w:r>
              <w:rPr>
                <w:rFonts w:hint="eastAsia" w:ascii="宋体" w:hAnsi="宋体" w:eastAsia="宋体" w:cs="Times New Roman"/>
                <w:color w:val="000000"/>
                <w:sz w:val="18"/>
                <w:szCs w:val="21"/>
              </w:rPr>
              <w:t>）</w:t>
            </w:r>
            <w:r>
              <w:rPr>
                <w:rFonts w:hint="eastAsia" w:ascii="宋体" w:hAnsi="宋体" w:eastAsia="宋体" w:cs="Times New Roman"/>
                <w:sz w:val="18"/>
                <w:szCs w:val="18"/>
              </w:rPr>
              <w:t>其他债权投资信用损失准备</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ind w:firstLine="360" w:firstLineChars="200"/>
              <w:rPr>
                <w:rFonts w:ascii="宋体" w:hAnsi="宋体" w:eastAsia="宋体" w:cs="Times New Roman"/>
                <w:color w:val="000000"/>
                <w:sz w:val="18"/>
                <w:szCs w:val="21"/>
              </w:rPr>
            </w:pPr>
            <w:r>
              <w:rPr>
                <w:rFonts w:hint="eastAsia" w:ascii="宋体" w:hAnsi="宋体" w:eastAsia="宋体" w:cs="Times New Roman"/>
                <w:sz w:val="18"/>
                <w:szCs w:val="21"/>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21"/>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ind w:firstLine="360" w:firstLineChars="200"/>
              <w:rPr>
                <w:rFonts w:ascii="宋体" w:hAnsi="宋体" w:eastAsia="宋体" w:cs="Times New Roman"/>
                <w:color w:val="000000"/>
                <w:sz w:val="18"/>
                <w:szCs w:val="18"/>
              </w:rPr>
            </w:pPr>
            <w:r>
              <w:rPr>
                <w:rFonts w:hint="eastAsia" w:ascii="宋体" w:hAnsi="宋体" w:eastAsia="宋体" w:cs="Times New Roman"/>
                <w:sz w:val="18"/>
                <w:szCs w:val="21"/>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（二）归属于少数股东的其他综合收益的税后净额 </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七、综合收益总额</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sz w:val="18"/>
                <w:szCs w:val="21"/>
              </w:rPr>
              <w:t>（一）</w:t>
            </w:r>
            <w:r>
              <w:rPr>
                <w:rFonts w:hint="eastAsia" w:ascii="宋体" w:hAnsi="宋体" w:eastAsia="宋体" w:cs="Times New Roman"/>
                <w:color w:val="000000"/>
                <w:sz w:val="18"/>
                <w:szCs w:val="21"/>
              </w:rPr>
              <w:t>归属于母公司所有者的综合收益总额</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sz w:val="18"/>
                <w:szCs w:val="21"/>
              </w:rPr>
              <w:t>（二）</w:t>
            </w:r>
            <w:r>
              <w:rPr>
                <w:rFonts w:hint="eastAsia" w:ascii="宋体" w:hAnsi="宋体" w:eastAsia="宋体" w:cs="Times New Roman"/>
                <w:color w:val="000000"/>
                <w:sz w:val="18"/>
                <w:szCs w:val="21"/>
              </w:rPr>
              <w:t>归属于少数股东的综合收益总额</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八、每股收益：</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87"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（一）基本每股收益</w:t>
            </w:r>
            <w:r>
              <w:rPr>
                <w:rFonts w:hint="eastAsia" w:ascii="宋体" w:hAnsi="宋体" w:eastAsia="宋体" w:cs="Times New Roman"/>
                <w:sz w:val="18"/>
                <w:szCs w:val="18"/>
              </w:rPr>
              <w:t>（元/股）</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87"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（二）稀释每股收益</w:t>
            </w:r>
            <w:r>
              <w:rPr>
                <w:rFonts w:hint="eastAsia" w:ascii="宋体" w:hAnsi="宋体" w:eastAsia="宋体" w:cs="Times New Roman"/>
                <w:sz w:val="18"/>
                <w:szCs w:val="18"/>
              </w:rPr>
              <w:t>（元/股）</w:t>
            </w:r>
          </w:p>
        </w:tc>
        <w:tc>
          <w:tcPr>
            <w:tcW w:w="1822" w:type="pct"/>
          </w:tcPr>
          <w:p>
            <w:pPr>
              <w:jc w:val="right"/>
              <w:rPr>
                <w:rFonts w:ascii="宋体" w:hAnsi="宋体" w:eastAsia="宋体" w:cs="Times New Roman"/>
                <w:sz w:val="18"/>
                <w:szCs w:val="21"/>
              </w:rPr>
            </w:pPr>
          </w:p>
        </w:tc>
        <w:tc>
          <w:tcPr>
            <w:tcW w:w="1691" w:type="pct"/>
          </w:tcPr>
          <w:p>
            <w:pPr>
              <w:jc w:val="right"/>
              <w:rPr>
                <w:rFonts w:ascii="宋体" w:hAnsi="宋体" w:eastAsia="宋体" w:cs="Times New Roman"/>
                <w:sz w:val="18"/>
                <w:szCs w:val="21"/>
              </w:rPr>
            </w:pPr>
          </w:p>
        </w:tc>
      </w:tr>
    </w:tbl>
    <w:p>
      <w:pPr>
        <w:ind w:left="6300" w:right="105" w:firstLine="420"/>
        <w:jc w:val="right"/>
        <w:rPr>
          <w:rFonts w:ascii="Calibri" w:hAnsi="Calibri" w:eastAsia="宋体" w:cs="Times New Roman"/>
        </w:rPr>
      </w:pPr>
    </w:p>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numPr>
          <w:ilvl w:val="0"/>
          <w:numId w:val="8"/>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14"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55"/>
        <w:gridCol w:w="3702"/>
        <w:gridCol w:w="320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877"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2023年1-9月</w:t>
            </w:r>
          </w:p>
        </w:tc>
        <w:tc>
          <w:tcPr>
            <w:tcW w:w="1625" w:type="pct"/>
            <w:shd w:val="pct10" w:color="auto" w:fill="FFFFFF"/>
          </w:tcPr>
          <w:p>
            <w:pPr>
              <w:jc w:val="center"/>
              <w:rPr>
                <w:rFonts w:ascii="宋体" w:hAnsi="宋体" w:eastAsia="宋体" w:cs="Times New Roman"/>
                <w:b/>
                <w:sz w:val="18"/>
                <w:szCs w:val="21"/>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一、营业收入</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利息净收入</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ind w:firstLine="270" w:firstLineChars="150"/>
              <w:rPr>
                <w:rFonts w:ascii="宋体" w:hAnsi="宋体" w:eastAsia="宋体" w:cs="Times New Roman"/>
                <w:sz w:val="18"/>
                <w:szCs w:val="21"/>
              </w:rPr>
            </w:pPr>
            <w:r>
              <w:rPr>
                <w:rFonts w:hint="eastAsia" w:ascii="宋体" w:hAnsi="宋体" w:eastAsia="宋体" w:cs="Times New Roman"/>
                <w:sz w:val="18"/>
                <w:szCs w:val="21"/>
              </w:rPr>
              <w:t>其中:利息</w:t>
            </w:r>
            <w:r>
              <w:rPr>
                <w:rFonts w:ascii="宋体" w:hAnsi="宋体" w:eastAsia="宋体" w:cs="Times New Roman"/>
                <w:sz w:val="18"/>
                <w:szCs w:val="21"/>
              </w:rPr>
              <w:t>收入</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ind w:firstLine="270" w:firstLineChars="150"/>
              <w:rPr>
                <w:rFonts w:ascii="宋体" w:hAnsi="宋体" w:eastAsia="宋体" w:cs="Times New Roman"/>
                <w:sz w:val="18"/>
                <w:szCs w:val="21"/>
              </w:rPr>
            </w:pPr>
            <w:r>
              <w:rPr>
                <w:rFonts w:hint="eastAsia" w:ascii="宋体" w:hAnsi="宋体" w:eastAsia="宋体" w:cs="Times New Roman"/>
                <w:sz w:val="18"/>
                <w:szCs w:val="21"/>
              </w:rPr>
              <w:t xml:space="preserve">     利息</w:t>
            </w:r>
            <w:r>
              <w:rPr>
                <w:rFonts w:ascii="宋体" w:hAnsi="宋体" w:eastAsia="宋体" w:cs="Times New Roman"/>
                <w:sz w:val="18"/>
                <w:szCs w:val="21"/>
              </w:rPr>
              <w:t>支出</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手续费及佣金净收入</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 xml:space="preserve">   其中</w:t>
            </w:r>
            <w:r>
              <w:rPr>
                <w:rFonts w:ascii="宋体" w:hAnsi="宋体" w:eastAsia="宋体" w:cs="Times New Roman"/>
                <w:sz w:val="18"/>
                <w:szCs w:val="21"/>
              </w:rPr>
              <w:t>：</w:t>
            </w:r>
            <w:r>
              <w:rPr>
                <w:rFonts w:hint="eastAsia" w:ascii="宋体" w:hAnsi="宋体" w:eastAsia="宋体" w:cs="Times New Roman"/>
                <w:sz w:val="18"/>
                <w:szCs w:val="21"/>
              </w:rPr>
              <w:t>手续费及佣金收入</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 xml:space="preserve">         手续费及佣金支出</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担保费</w:t>
            </w:r>
            <w:r>
              <w:rPr>
                <w:rFonts w:ascii="宋体" w:hAnsi="宋体" w:eastAsia="宋体" w:cs="Times New Roman"/>
                <w:sz w:val="18"/>
                <w:szCs w:val="21"/>
              </w:rPr>
              <w:t>收入</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代理</w:t>
            </w:r>
            <w:r>
              <w:rPr>
                <w:rFonts w:ascii="宋体" w:hAnsi="宋体" w:eastAsia="宋体" w:cs="Times New Roman"/>
                <w:sz w:val="18"/>
                <w:szCs w:val="21"/>
              </w:rPr>
              <w:t>收入</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投资收益（损失以“－”号填列）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ind w:firstLine="360" w:firstLineChars="200"/>
              <w:rPr>
                <w:rFonts w:ascii="宋体" w:hAnsi="宋体" w:eastAsia="宋体" w:cs="Times New Roman"/>
                <w:sz w:val="18"/>
                <w:szCs w:val="21"/>
              </w:rPr>
            </w:pPr>
            <w:r>
              <w:rPr>
                <w:rFonts w:hint="eastAsia" w:ascii="宋体" w:hAnsi="宋体" w:eastAsia="宋体" w:cs="Times New Roman"/>
                <w:sz w:val="18"/>
                <w:szCs w:val="21"/>
              </w:rPr>
              <w:t>其中：对联营企业和合营企业的投资收益</w:t>
            </w:r>
            <w:r>
              <w:rPr>
                <w:rFonts w:hint="eastAsia" w:ascii="宋体" w:hAnsi="宋体" w:eastAsia="宋体" w:cs="Times New Roman"/>
                <w:sz w:val="18"/>
                <w:szCs w:val="18"/>
              </w:rPr>
              <w:t>（损失以“－”号填列）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ind w:left="884" w:leftChars="421"/>
              <w:rPr>
                <w:rFonts w:ascii="宋体" w:hAnsi="宋体" w:eastAsia="宋体" w:cs="Times New Roman"/>
                <w:sz w:val="18"/>
                <w:szCs w:val="21"/>
              </w:rPr>
            </w:pPr>
            <w:r>
              <w:rPr>
                <w:rFonts w:hint="eastAsia" w:ascii="宋体" w:hAnsi="宋体" w:eastAsia="宋体" w:cs="Times New Roman"/>
                <w:sz w:val="18"/>
                <w:szCs w:val="21"/>
              </w:rPr>
              <w:t>以</w:t>
            </w:r>
            <w:r>
              <w:rPr>
                <w:rFonts w:ascii="宋体" w:hAnsi="宋体" w:eastAsia="宋体" w:cs="Times New Roman"/>
                <w:color w:val="000000"/>
                <w:sz w:val="18"/>
                <w:szCs w:val="21"/>
              </w:rPr>
              <w:t>摊余成本计量的金融资产终止确认产生的收益（</w:t>
            </w:r>
            <w:r>
              <w:rPr>
                <w:rFonts w:hint="eastAsia" w:ascii="宋体" w:hAnsi="宋体" w:eastAsia="宋体" w:cs="Times New Roman"/>
                <w:color w:val="000000"/>
                <w:sz w:val="18"/>
                <w:szCs w:val="21"/>
              </w:rPr>
              <w:t>损失</w:t>
            </w:r>
            <w:r>
              <w:rPr>
                <w:rFonts w:ascii="宋体" w:hAnsi="宋体" w:eastAsia="宋体" w:cs="Times New Roman"/>
                <w:color w:val="000000"/>
                <w:sz w:val="18"/>
                <w:szCs w:val="21"/>
              </w:rPr>
              <w:t>以“-”</w:t>
            </w:r>
            <w:r>
              <w:rPr>
                <w:rFonts w:hint="eastAsia" w:ascii="宋体" w:hAnsi="宋体" w:eastAsia="宋体" w:cs="Times New Roman"/>
                <w:color w:val="000000"/>
                <w:sz w:val="18"/>
                <w:szCs w:val="21"/>
              </w:rPr>
              <w:t>号</w:t>
            </w:r>
            <w:r>
              <w:rPr>
                <w:rFonts w:ascii="宋体" w:hAnsi="宋体" w:eastAsia="宋体" w:cs="Times New Roman"/>
                <w:color w:val="000000"/>
                <w:sz w:val="18"/>
                <w:szCs w:val="21"/>
              </w:rPr>
              <w:t>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净敞口套期收益（损失以“-”号填列）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收益</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公允价值变动收益（损失以“－”号填列）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汇兑收益（损失以“-”号填列）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其他业务收入</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资产处置收益（损失以“-”号填列）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二、营业成本</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税金及附加</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业务</w:t>
            </w:r>
            <w:r>
              <w:rPr>
                <w:rFonts w:ascii="宋体" w:hAnsi="宋体" w:eastAsia="宋体" w:cs="Times New Roman"/>
                <w:sz w:val="18"/>
                <w:szCs w:val="21"/>
              </w:rPr>
              <w:t>及管理费</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信用</w:t>
            </w:r>
            <w:r>
              <w:rPr>
                <w:rFonts w:ascii="宋体" w:hAnsi="宋体" w:eastAsia="宋体" w:cs="Times New Roman"/>
                <w:sz w:val="18"/>
                <w:szCs w:val="21"/>
              </w:rPr>
              <w:t>减值损失</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资产减值损失</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业务成本</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三、营业利润（亏损以“－”号填列）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加：营业外收入</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减：营业外支出</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四、利润总额（亏损总额以“－”号填列）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减：所得税费用</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五、净利润（净亏损以“－”号填列）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21"/>
              </w:rPr>
              <w:t>（净亏损以“－”号填列）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21"/>
              </w:rPr>
              <w:t>（净亏损以“－”号填列）</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b/>
                <w:sz w:val="18"/>
                <w:szCs w:val="21"/>
              </w:rPr>
            </w:pPr>
            <w:r>
              <w:rPr>
                <w:rFonts w:hint="eastAsia" w:ascii="宋体" w:hAnsi="宋体" w:eastAsia="宋体" w:cs="Times New Roman"/>
                <w:b/>
                <w:sz w:val="18"/>
                <w:szCs w:val="21"/>
              </w:rPr>
              <w:t>六、其他综合收益的税后净额</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（一）不能重分类进损益的其他综合收益</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ind w:firstLine="450" w:firstLineChars="250"/>
              <w:rPr>
                <w:rFonts w:ascii="宋体" w:hAnsi="宋体" w:eastAsia="宋体" w:cs="Times New Roman"/>
                <w:sz w:val="18"/>
                <w:szCs w:val="21"/>
              </w:rPr>
            </w:pPr>
            <w:r>
              <w:rPr>
                <w:rFonts w:hint="eastAsia" w:ascii="宋体" w:hAnsi="宋体" w:eastAsia="宋体" w:cs="Times New Roman"/>
                <w:sz w:val="18"/>
                <w:szCs w:val="21"/>
              </w:rPr>
              <w:t>1.重新计量设定受益计划变动额</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ind w:firstLine="450" w:firstLineChars="250"/>
              <w:rPr>
                <w:rFonts w:ascii="宋体" w:hAnsi="宋体" w:eastAsia="宋体" w:cs="Times New Roman"/>
                <w:sz w:val="18"/>
                <w:szCs w:val="21"/>
              </w:rPr>
            </w:pPr>
            <w:r>
              <w:rPr>
                <w:rFonts w:hint="eastAsia" w:ascii="宋体" w:hAnsi="宋体" w:eastAsia="宋体" w:cs="Times New Roman"/>
                <w:sz w:val="18"/>
                <w:szCs w:val="21"/>
              </w:rPr>
              <w:t>2.权益法下</w:t>
            </w:r>
            <w:r>
              <w:rPr>
                <w:rFonts w:hint="eastAsia" w:ascii="宋体" w:hAnsi="宋体" w:eastAsia="宋体" w:cs="Times New Roman"/>
                <w:sz w:val="18"/>
                <w:szCs w:val="18"/>
              </w:rPr>
              <w:t>不能转损益的其他综合收益</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ind w:firstLine="450" w:firstLineChars="250"/>
              <w:rPr>
                <w:rFonts w:ascii="宋体" w:hAnsi="宋体" w:eastAsia="宋体" w:cs="Times New Roman"/>
                <w:sz w:val="18"/>
                <w:szCs w:val="21"/>
              </w:rPr>
            </w:pPr>
            <w:r>
              <w:rPr>
                <w:rFonts w:hint="eastAsia" w:ascii="宋体" w:hAnsi="宋体" w:eastAsia="宋体" w:cs="Times New Roman"/>
                <w:sz w:val="18"/>
                <w:szCs w:val="21"/>
              </w:rPr>
              <w:t>3.其他</w:t>
            </w:r>
            <w:r>
              <w:rPr>
                <w:rFonts w:ascii="宋体" w:hAnsi="宋体" w:eastAsia="宋体" w:cs="Times New Roman"/>
                <w:sz w:val="18"/>
                <w:szCs w:val="21"/>
              </w:rPr>
              <w:t>权益工具投资公允价值变动</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ind w:firstLine="450" w:firstLineChars="250"/>
              <w:rPr>
                <w:rFonts w:ascii="宋体" w:hAnsi="宋体" w:eastAsia="宋体" w:cs="Times New Roman"/>
                <w:sz w:val="18"/>
                <w:szCs w:val="21"/>
              </w:rPr>
            </w:pPr>
            <w:r>
              <w:rPr>
                <w:rFonts w:hint="eastAsia" w:ascii="宋体" w:hAnsi="宋体" w:eastAsia="宋体" w:cs="Times New Roman"/>
                <w:sz w:val="18"/>
                <w:szCs w:val="21"/>
              </w:rPr>
              <w:t>4.</w:t>
            </w:r>
            <w:r>
              <w:rPr>
                <w:rFonts w:hint="eastAsia" w:ascii="Calibri" w:hAnsi="Calibri" w:eastAsia="宋体" w:cs="Times New Roman"/>
                <w:sz w:val="18"/>
                <w:szCs w:val="18"/>
              </w:rPr>
              <w:t>企业自身信用风险公允价值变动</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ind w:firstLine="450" w:firstLineChars="250"/>
              <w:rPr>
                <w:rFonts w:ascii="宋体" w:hAnsi="宋体" w:eastAsia="宋体" w:cs="Times New Roman"/>
                <w:sz w:val="18"/>
                <w:szCs w:val="21"/>
              </w:rPr>
            </w:pPr>
            <w:r>
              <w:rPr>
                <w:rFonts w:hint="eastAsia" w:ascii="宋体" w:hAnsi="宋体" w:eastAsia="宋体" w:cs="Times New Roman"/>
                <w:sz w:val="18"/>
                <w:szCs w:val="21"/>
              </w:rPr>
              <w:t>5.其他</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（二）将重分类进损益的其他综合收益</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ind w:firstLine="360" w:firstLineChars="200"/>
              <w:rPr>
                <w:rFonts w:ascii="宋体" w:hAnsi="宋体" w:eastAsia="宋体" w:cs="Times New Roman"/>
                <w:sz w:val="18"/>
                <w:szCs w:val="21"/>
              </w:rPr>
            </w:pPr>
            <w:r>
              <w:rPr>
                <w:rFonts w:hint="eastAsia" w:ascii="宋体" w:hAnsi="宋体" w:eastAsia="宋体" w:cs="Times New Roman"/>
                <w:sz w:val="18"/>
                <w:szCs w:val="21"/>
              </w:rPr>
              <w:t>1.权益法</w:t>
            </w:r>
            <w:r>
              <w:rPr>
                <w:rFonts w:hint="eastAsia" w:ascii="宋体" w:hAnsi="宋体" w:eastAsia="宋体" w:cs="Times New Roman"/>
                <w:sz w:val="18"/>
                <w:szCs w:val="18"/>
              </w:rPr>
              <w:t>可转损益的其他综合收益</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ind w:firstLine="360" w:firstLineChars="200"/>
              <w:rPr>
                <w:rFonts w:ascii="宋体" w:hAnsi="宋体" w:eastAsia="宋体" w:cs="Times New Roman"/>
                <w:sz w:val="18"/>
                <w:szCs w:val="21"/>
              </w:rPr>
            </w:pPr>
            <w:r>
              <w:rPr>
                <w:rFonts w:ascii="宋体" w:hAnsi="宋体" w:eastAsia="宋体" w:cs="Times New Roman"/>
                <w:sz w:val="18"/>
                <w:szCs w:val="21"/>
              </w:rPr>
              <w:t>2</w:t>
            </w:r>
            <w:r>
              <w:rPr>
                <w:rFonts w:hint="eastAsia" w:ascii="宋体" w:hAnsi="宋体" w:eastAsia="宋体" w:cs="Times New Roman"/>
                <w:sz w:val="18"/>
                <w:szCs w:val="21"/>
              </w:rPr>
              <w:t>.</w:t>
            </w:r>
            <w:r>
              <w:rPr>
                <w:rFonts w:hint="eastAsia" w:ascii="宋体" w:hAnsi="宋体" w:eastAsia="宋体" w:cs="Times New Roman"/>
                <w:sz w:val="18"/>
                <w:szCs w:val="18"/>
              </w:rPr>
              <w:t xml:space="preserve"> 其他债权投资公允价值变动</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ind w:firstLine="360" w:firstLineChars="200"/>
              <w:rPr>
                <w:rFonts w:ascii="宋体" w:hAnsi="宋体" w:eastAsia="宋体" w:cs="Times New Roman"/>
                <w:color w:val="000000"/>
                <w:sz w:val="18"/>
                <w:szCs w:val="21"/>
              </w:rPr>
            </w:pPr>
            <w:r>
              <w:rPr>
                <w:rFonts w:ascii="宋体" w:hAnsi="宋体" w:eastAsia="宋体" w:cs="Times New Roman"/>
                <w:color w:val="000000"/>
                <w:sz w:val="18"/>
                <w:szCs w:val="21"/>
              </w:rPr>
              <w:t>3</w:t>
            </w:r>
            <w:r>
              <w:rPr>
                <w:rFonts w:hint="eastAsia" w:ascii="宋体" w:hAnsi="宋体" w:eastAsia="宋体" w:cs="Times New Roman"/>
                <w:color w:val="000000"/>
                <w:sz w:val="18"/>
                <w:szCs w:val="21"/>
              </w:rPr>
              <w:t>.</w:t>
            </w:r>
            <w:r>
              <w:rPr>
                <w:rFonts w:hint="eastAsia" w:ascii="宋体" w:hAnsi="宋体" w:eastAsia="宋体" w:cs="Times New Roman"/>
                <w:sz w:val="18"/>
                <w:szCs w:val="18"/>
              </w:rPr>
              <w:t xml:space="preserve"> 金融资产重分类计入其他综合收益的金额</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ind w:firstLine="360" w:firstLineChars="200"/>
              <w:rPr>
                <w:rFonts w:ascii="宋体" w:hAnsi="宋体" w:eastAsia="宋体" w:cs="Times New Roman"/>
                <w:color w:val="000000"/>
                <w:sz w:val="18"/>
                <w:szCs w:val="21"/>
              </w:rPr>
            </w:pPr>
            <w:r>
              <w:rPr>
                <w:rFonts w:ascii="宋体" w:hAnsi="宋体" w:eastAsia="宋体" w:cs="Times New Roman"/>
                <w:color w:val="000000"/>
                <w:sz w:val="18"/>
                <w:szCs w:val="21"/>
              </w:rPr>
              <w:t>4</w:t>
            </w:r>
            <w:r>
              <w:rPr>
                <w:rFonts w:hint="eastAsia" w:ascii="宋体" w:hAnsi="宋体" w:eastAsia="宋体" w:cs="Times New Roman"/>
                <w:color w:val="000000"/>
                <w:sz w:val="18"/>
                <w:szCs w:val="21"/>
              </w:rPr>
              <w:t>.</w:t>
            </w:r>
            <w:r>
              <w:rPr>
                <w:rFonts w:hint="eastAsia" w:ascii="宋体" w:hAnsi="宋体" w:eastAsia="宋体" w:cs="Times New Roman"/>
                <w:sz w:val="18"/>
                <w:szCs w:val="18"/>
              </w:rPr>
              <w:t xml:space="preserve"> 其他债权投资信用损失准备</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ind w:firstLine="360" w:firstLineChars="200"/>
              <w:rPr>
                <w:rFonts w:ascii="宋体" w:hAnsi="宋体" w:eastAsia="宋体" w:cs="Times New Roman"/>
                <w:color w:val="000000"/>
                <w:sz w:val="18"/>
                <w:szCs w:val="21"/>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 xml:space="preserve"> </w:t>
            </w:r>
            <w:r>
              <w:rPr>
                <w:rFonts w:hint="eastAsia" w:ascii="宋体" w:hAnsi="宋体" w:eastAsia="宋体" w:cs="Times New Roman"/>
                <w:sz w:val="18"/>
                <w:szCs w:val="18"/>
              </w:rPr>
              <w:t>现金流量套期储备</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ind w:firstLine="360" w:firstLineChars="200"/>
              <w:rPr>
                <w:rFonts w:ascii="宋体" w:hAnsi="宋体" w:eastAsia="宋体" w:cs="Times New Roman"/>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外币财务报表折算差额</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ind w:firstLine="360" w:firstLineChars="200"/>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七、综合收益总额</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八、每股收益：</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98"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（一）基本每股收益</w:t>
            </w:r>
            <w:r>
              <w:rPr>
                <w:rFonts w:hint="eastAsia" w:ascii="宋体" w:hAnsi="宋体" w:eastAsia="宋体" w:cs="Times New Roman"/>
                <w:sz w:val="18"/>
                <w:szCs w:val="18"/>
              </w:rPr>
              <w:t>（元/股）</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98"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（二）稀释每股收益</w:t>
            </w:r>
            <w:r>
              <w:rPr>
                <w:rFonts w:hint="eastAsia" w:ascii="宋体" w:hAnsi="宋体" w:eastAsia="宋体" w:cs="Times New Roman"/>
                <w:sz w:val="18"/>
                <w:szCs w:val="18"/>
              </w:rPr>
              <w:t>（元/股）</w:t>
            </w:r>
          </w:p>
        </w:tc>
        <w:tc>
          <w:tcPr>
            <w:tcW w:w="1877" w:type="pct"/>
          </w:tcPr>
          <w:p>
            <w:pPr>
              <w:jc w:val="right"/>
              <w:rPr>
                <w:rFonts w:ascii="宋体" w:hAnsi="宋体" w:eastAsia="宋体" w:cs="Times New Roman"/>
                <w:sz w:val="18"/>
                <w:szCs w:val="21"/>
              </w:rPr>
            </w:pPr>
          </w:p>
        </w:tc>
        <w:tc>
          <w:tcPr>
            <w:tcW w:w="1625" w:type="pct"/>
          </w:tcPr>
          <w:p>
            <w:pPr>
              <w:jc w:val="right"/>
              <w:rPr>
                <w:rFonts w:ascii="宋体" w:hAnsi="宋体" w:eastAsia="宋体" w:cs="Times New Roman"/>
                <w:sz w:val="18"/>
                <w:szCs w:val="21"/>
              </w:rPr>
            </w:pPr>
          </w:p>
        </w:tc>
      </w:tr>
    </w:tbl>
    <w:p>
      <w:pPr>
        <w:ind w:left="6720" w:firstLine="420"/>
        <w:jc w:val="right"/>
        <w:rPr>
          <w:rFonts w:ascii="Calibri" w:hAnsi="Calibri" w:eastAsia="宋体" w:cs="Times New Roman"/>
        </w:rPr>
      </w:pPr>
    </w:p>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合并现金流量表</w:t>
      </w:r>
    </w:p>
    <w:p>
      <w:pPr>
        <w:pStyle w:val="64"/>
        <w:ind w:left="357" w:right="108" w:firstLine="0" w:firstLineChars="0"/>
        <w:jc w:val="right"/>
      </w:pPr>
    </w:p>
    <w:tbl>
      <w:tblPr>
        <w:tblStyle w:val="46"/>
        <w:tblpPr w:leftFromText="180" w:rightFromText="180" w:vertAnchor="text" w:horzAnchor="page" w:tblpX="1095" w:tblpY="301"/>
        <w:tblOverlap w:val="never"/>
        <w:tblW w:w="6001"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49"/>
        <w:gridCol w:w="2765"/>
        <w:gridCol w:w="276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358" w:type="pct"/>
            <w:shd w:val="pct10" w:color="auto" w:fill="FFFFFF"/>
            <w:vAlign w:val="center"/>
          </w:tcPr>
          <w:p>
            <w:pPr>
              <w:jc w:val="center"/>
              <w:rPr>
                <w:rFonts w:ascii="宋体" w:hAnsi="宋体" w:eastAsia="宋体" w:cs="宋体"/>
                <w:b/>
                <w:sz w:val="18"/>
                <w:szCs w:val="21"/>
              </w:rPr>
            </w:pPr>
            <w:r>
              <w:rPr>
                <w:rFonts w:ascii="宋体" w:hAnsi="宋体"/>
                <w:b/>
                <w:sz w:val="18"/>
                <w:szCs w:val="18"/>
              </w:rPr>
              <w:t>2023年1-9月</w:t>
            </w:r>
          </w:p>
        </w:tc>
        <w:tc>
          <w:tcPr>
            <w:tcW w:w="1358" w:type="pct"/>
            <w:shd w:val="pct10" w:color="auto" w:fill="FFFFFF"/>
            <w:vAlign w:val="center"/>
          </w:tcPr>
          <w:p>
            <w:pPr>
              <w:jc w:val="center"/>
              <w:rPr>
                <w:rFonts w:ascii="宋体" w:hAnsi="宋体" w:eastAsia="宋体" w:cs="宋体"/>
                <w:b/>
                <w:sz w:val="18"/>
                <w:szCs w:val="21"/>
              </w:rPr>
            </w:pPr>
            <w:r>
              <w:rPr>
                <w:rFonts w:ascii="宋体" w:hAnsi="宋体"/>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收取</w:t>
            </w:r>
            <w:r>
              <w:rPr>
                <w:rFonts w:ascii="宋体" w:hAnsi="宋体" w:eastAsia="宋体" w:cs="Times New Roman"/>
                <w:sz w:val="18"/>
                <w:szCs w:val="21"/>
              </w:rPr>
              <w:t>利息、手续费及佣金的现金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拆入资金净增加额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回购业务资金净增加额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收到其他与经营活动有关的现金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经营活动现金流入小计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支付利息、手续费及佣金的现金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客户</w:t>
            </w:r>
            <w:r>
              <w:rPr>
                <w:rFonts w:ascii="宋体" w:hAnsi="宋体" w:eastAsia="宋体" w:cs="Times New Roman"/>
                <w:sz w:val="18"/>
                <w:szCs w:val="21"/>
              </w:rPr>
              <w:t>贷款及垫款</w:t>
            </w:r>
            <w:r>
              <w:rPr>
                <w:rFonts w:hint="eastAsia" w:ascii="宋体" w:hAnsi="宋体" w:eastAsia="宋体" w:cs="Times New Roman"/>
                <w:sz w:val="18"/>
                <w:szCs w:val="21"/>
              </w:rPr>
              <w:t>净增加</w:t>
            </w:r>
            <w:r>
              <w:rPr>
                <w:rFonts w:ascii="宋体" w:hAnsi="宋体" w:eastAsia="宋体" w:cs="Times New Roman"/>
                <w:sz w:val="18"/>
                <w:szCs w:val="21"/>
              </w:rPr>
              <w:t>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拆出</w:t>
            </w:r>
            <w:r>
              <w:rPr>
                <w:rFonts w:ascii="宋体" w:hAnsi="宋体" w:eastAsia="宋体" w:cs="Times New Roman"/>
                <w:sz w:val="18"/>
                <w:szCs w:val="21"/>
              </w:rPr>
              <w:t>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返售业务</w:t>
            </w:r>
            <w:r>
              <w:rPr>
                <w:rFonts w:ascii="宋体" w:hAnsi="宋体" w:eastAsia="宋体" w:cs="Times New Roman"/>
                <w:color w:val="000000"/>
                <w:sz w:val="18"/>
                <w:szCs w:val="21"/>
              </w:rPr>
              <w:t>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处置子公司及其他营业单位收到的现金净额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358" w:type="pct"/>
            <w:shd w:val="pct10" w:color="auto" w:fill="auto"/>
          </w:tcPr>
          <w:p>
            <w:pPr>
              <w:jc w:val="right"/>
              <w:rPr>
                <w:rFonts w:ascii="宋体" w:hAnsi="宋体" w:eastAsia="宋体" w:cs="宋体"/>
                <w:kern w:val="0"/>
                <w:sz w:val="18"/>
                <w:szCs w:val="21"/>
              </w:rPr>
            </w:pPr>
          </w:p>
        </w:tc>
        <w:tc>
          <w:tcPr>
            <w:tcW w:w="1358" w:type="pct"/>
            <w:shd w:val="pct10"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取得子公司及其他营业单位支付的现金净额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358" w:type="pct"/>
            <w:shd w:val="pct10" w:color="auto" w:fill="FFFFFF"/>
          </w:tcPr>
          <w:p>
            <w:pPr>
              <w:jc w:val="right"/>
              <w:rPr>
                <w:rFonts w:ascii="宋体" w:hAnsi="宋体" w:eastAsia="宋体" w:cs="宋体"/>
                <w:b/>
                <w:kern w:val="0"/>
                <w:sz w:val="18"/>
                <w:szCs w:val="21"/>
              </w:rPr>
            </w:pPr>
          </w:p>
        </w:tc>
        <w:tc>
          <w:tcPr>
            <w:tcW w:w="1358" w:type="pct"/>
            <w:shd w:val="pct10" w:color="auto" w:fill="FFFFFF"/>
          </w:tcPr>
          <w:p>
            <w:pPr>
              <w:jc w:val="right"/>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358" w:type="pct"/>
            <w:shd w:val="pct10" w:color="auto" w:fill="FFFFFF"/>
          </w:tcPr>
          <w:p>
            <w:pPr>
              <w:jc w:val="right"/>
              <w:rPr>
                <w:rFonts w:ascii="宋体" w:hAnsi="宋体" w:eastAsia="宋体" w:cs="宋体"/>
                <w:b/>
                <w:kern w:val="0"/>
                <w:sz w:val="18"/>
                <w:szCs w:val="21"/>
              </w:rPr>
            </w:pPr>
          </w:p>
        </w:tc>
        <w:tc>
          <w:tcPr>
            <w:tcW w:w="1358" w:type="pct"/>
            <w:shd w:val="pct10" w:color="auto" w:fill="FFFFFF"/>
          </w:tcPr>
          <w:p>
            <w:pPr>
              <w:jc w:val="right"/>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其中：子公司吸收少数股东投资收到的现金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发行债券收到的现金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358" w:type="pct"/>
            <w:shd w:val="pct10" w:color="auto" w:fill="auto"/>
          </w:tcPr>
          <w:p>
            <w:pPr>
              <w:jc w:val="right"/>
              <w:rPr>
                <w:rFonts w:ascii="宋体" w:hAnsi="宋体" w:eastAsia="宋体" w:cs="宋体"/>
                <w:kern w:val="0"/>
                <w:sz w:val="18"/>
                <w:szCs w:val="21"/>
              </w:rPr>
            </w:pPr>
          </w:p>
        </w:tc>
        <w:tc>
          <w:tcPr>
            <w:tcW w:w="1358" w:type="pct"/>
            <w:shd w:val="pct10"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其中：子公司支付给少数股东的股利、利润</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bl>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p>
      <w:pPr>
        <w:ind w:left="7140"/>
        <w:jc w:val="right"/>
        <w:rPr>
          <w:rFonts w:ascii="Calibri" w:hAnsi="Calibri" w:eastAsia="宋体" w:cs="Times New Roman"/>
        </w:rPr>
      </w:pPr>
    </w:p>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ascii="Arial" w:hAnsi="Arial" w:eastAsia="黑体"/>
          <w:b/>
          <w:bCs/>
          <w:sz w:val="22"/>
          <w:lang w:val="zh-CN"/>
        </w:rPr>
        <w:t>母公司</w:t>
      </w:r>
      <w:r>
        <w:rPr>
          <w:rFonts w:hint="eastAsia" w:ascii="Arial" w:hAnsi="Arial" w:eastAsia="黑体"/>
          <w:b/>
          <w:bCs/>
          <w:sz w:val="22"/>
          <w:lang w:val="zh-CN"/>
        </w:rPr>
        <w:t>现金</w:t>
      </w:r>
      <w:r>
        <w:rPr>
          <w:rFonts w:ascii="Arial" w:hAnsi="Arial" w:eastAsia="黑体"/>
          <w:b/>
          <w:bCs/>
          <w:sz w:val="22"/>
          <w:lang w:val="zh-CN"/>
        </w:rPr>
        <w:t>流</w:t>
      </w:r>
      <w:r>
        <w:rPr>
          <w:rFonts w:hint="eastAsia" w:ascii="Arial" w:hAnsi="Arial" w:eastAsia="黑体"/>
          <w:b/>
          <w:bCs/>
          <w:sz w:val="22"/>
          <w:lang w:val="zh-CN"/>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pPr w:leftFromText="180" w:rightFromText="180" w:vertAnchor="text" w:horzAnchor="page" w:tblpX="1072" w:tblpY="369"/>
        <w:tblOverlap w:val="never"/>
        <w:tblW w:w="6001"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49"/>
        <w:gridCol w:w="2765"/>
        <w:gridCol w:w="276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358" w:type="pct"/>
            <w:shd w:val="pct10" w:color="auto" w:fill="FFFFFF"/>
            <w:vAlign w:val="center"/>
          </w:tcPr>
          <w:p>
            <w:pPr>
              <w:jc w:val="center"/>
              <w:rPr>
                <w:rFonts w:ascii="宋体" w:hAnsi="宋体" w:eastAsia="宋体" w:cs="宋体"/>
                <w:b/>
                <w:sz w:val="18"/>
                <w:szCs w:val="21"/>
              </w:rPr>
            </w:pPr>
            <w:r>
              <w:rPr>
                <w:rFonts w:ascii="宋体" w:hAnsi="宋体"/>
                <w:b/>
                <w:sz w:val="18"/>
                <w:szCs w:val="18"/>
              </w:rPr>
              <w:t>2023年1-9月</w:t>
            </w:r>
          </w:p>
        </w:tc>
        <w:tc>
          <w:tcPr>
            <w:tcW w:w="1358" w:type="pct"/>
            <w:shd w:val="pct10" w:color="auto" w:fill="FFFFFF"/>
            <w:vAlign w:val="center"/>
          </w:tcPr>
          <w:p>
            <w:pPr>
              <w:jc w:val="center"/>
              <w:rPr>
                <w:rFonts w:ascii="宋体" w:hAnsi="宋体" w:eastAsia="宋体" w:cs="宋体"/>
                <w:b/>
                <w:sz w:val="18"/>
                <w:szCs w:val="21"/>
              </w:rPr>
            </w:pPr>
            <w:r>
              <w:rPr>
                <w:rFonts w:ascii="宋体" w:hAnsi="宋体"/>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收取</w:t>
            </w:r>
            <w:r>
              <w:rPr>
                <w:rFonts w:ascii="宋体" w:hAnsi="宋体" w:eastAsia="宋体" w:cs="Times New Roman"/>
                <w:sz w:val="18"/>
                <w:szCs w:val="21"/>
              </w:rPr>
              <w:t>利息、手续费及佣金的现金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拆入资金净增加额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回购业务资金净增加额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收到其他与经营活动有关的现金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经营活动现金流入小计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支付利息、手续费及佣金的现金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客户</w:t>
            </w:r>
            <w:r>
              <w:rPr>
                <w:rFonts w:ascii="宋体" w:hAnsi="宋体" w:eastAsia="宋体" w:cs="Times New Roman"/>
                <w:sz w:val="18"/>
                <w:szCs w:val="21"/>
              </w:rPr>
              <w:t>贷款及垫款</w:t>
            </w:r>
            <w:r>
              <w:rPr>
                <w:rFonts w:hint="eastAsia" w:ascii="宋体" w:hAnsi="宋体" w:eastAsia="宋体" w:cs="Times New Roman"/>
                <w:sz w:val="18"/>
                <w:szCs w:val="21"/>
              </w:rPr>
              <w:t>经增加额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拆出</w:t>
            </w:r>
            <w:r>
              <w:rPr>
                <w:rFonts w:ascii="宋体" w:hAnsi="宋体" w:eastAsia="宋体" w:cs="Times New Roman"/>
                <w:sz w:val="18"/>
                <w:szCs w:val="21"/>
              </w:rPr>
              <w:t>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返售业务</w:t>
            </w:r>
            <w:r>
              <w:rPr>
                <w:rFonts w:ascii="宋体" w:hAnsi="宋体" w:eastAsia="宋体" w:cs="Times New Roman"/>
                <w:color w:val="000000"/>
                <w:sz w:val="18"/>
                <w:szCs w:val="21"/>
              </w:rPr>
              <w:t>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处置子公司及其他营业单位收到的现金净额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358" w:type="pct"/>
            <w:shd w:val="pct10" w:color="auto" w:fill="auto"/>
          </w:tcPr>
          <w:p>
            <w:pPr>
              <w:jc w:val="right"/>
              <w:rPr>
                <w:rFonts w:ascii="宋体" w:hAnsi="宋体" w:eastAsia="宋体" w:cs="宋体"/>
                <w:kern w:val="0"/>
                <w:sz w:val="18"/>
                <w:szCs w:val="21"/>
              </w:rPr>
            </w:pPr>
          </w:p>
        </w:tc>
        <w:tc>
          <w:tcPr>
            <w:tcW w:w="1358" w:type="pct"/>
            <w:shd w:val="pct10"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取得子公司及其他营业单位支付的现金净额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358" w:type="pct"/>
            <w:shd w:val="pct10" w:color="auto" w:fill="FFFFFF"/>
          </w:tcPr>
          <w:p>
            <w:pPr>
              <w:jc w:val="right"/>
              <w:rPr>
                <w:rFonts w:ascii="宋体" w:hAnsi="宋体" w:eastAsia="宋体" w:cs="宋体"/>
                <w:b/>
                <w:kern w:val="0"/>
                <w:sz w:val="18"/>
                <w:szCs w:val="21"/>
              </w:rPr>
            </w:pPr>
          </w:p>
        </w:tc>
        <w:tc>
          <w:tcPr>
            <w:tcW w:w="1358" w:type="pct"/>
            <w:shd w:val="pct10" w:color="auto" w:fill="FFFFFF"/>
          </w:tcPr>
          <w:p>
            <w:pPr>
              <w:jc w:val="right"/>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358" w:type="pct"/>
            <w:shd w:val="pct10" w:color="auto" w:fill="FFFFFF"/>
          </w:tcPr>
          <w:p>
            <w:pPr>
              <w:jc w:val="right"/>
              <w:rPr>
                <w:rFonts w:ascii="宋体" w:hAnsi="宋体" w:eastAsia="宋体" w:cs="宋体"/>
                <w:b/>
                <w:kern w:val="0"/>
                <w:sz w:val="18"/>
                <w:szCs w:val="21"/>
              </w:rPr>
            </w:pPr>
          </w:p>
        </w:tc>
        <w:tc>
          <w:tcPr>
            <w:tcW w:w="1358" w:type="pct"/>
            <w:shd w:val="pct10" w:color="auto" w:fill="FFFFFF"/>
          </w:tcPr>
          <w:p>
            <w:pPr>
              <w:jc w:val="right"/>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发行债券收到的现金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358" w:type="pct"/>
            <w:shd w:val="pct10" w:color="auto" w:fill="auto"/>
          </w:tcPr>
          <w:p>
            <w:pPr>
              <w:jc w:val="right"/>
              <w:rPr>
                <w:rFonts w:ascii="宋体" w:hAnsi="宋体" w:eastAsia="宋体" w:cs="宋体"/>
                <w:kern w:val="0"/>
                <w:sz w:val="18"/>
                <w:szCs w:val="21"/>
              </w:rPr>
            </w:pPr>
          </w:p>
        </w:tc>
        <w:tc>
          <w:tcPr>
            <w:tcW w:w="1358" w:type="pct"/>
            <w:shd w:val="pct10"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bl>
    <w:p>
      <w:pPr>
        <w:ind w:left="6720" w:firstLine="420"/>
        <w:jc w:val="right"/>
        <w:rPr>
          <w:rFonts w:ascii="Calibri" w:hAnsi="Calibri" w:eastAsia="宋体" w:cs="Times New Roman"/>
        </w:rPr>
      </w:pPr>
    </w:p>
    <w:p>
      <w:pPr>
        <w:ind w:left="6720" w:firstLine="420"/>
        <w:jc w:val="right"/>
        <w:rPr>
          <w:rFonts w:ascii="Calibri" w:hAnsi="Calibri" w:eastAsia="宋体" w:cs="Times New Roman"/>
        </w:rPr>
      </w:pPr>
      <w:r>
        <w:rPr>
          <w:rFonts w:hint="eastAsia" w:ascii="Calibri" w:hAnsi="Calibri" w:eastAsia="宋体" w:cs="Times New Roman"/>
        </w:rPr>
        <w:t xml:space="preserve"> </w:t>
      </w:r>
    </w:p>
    <w:p>
      <w:pPr>
        <w:spacing w:before="240" w:after="60" w:line="312" w:lineRule="auto"/>
        <w:jc w:val="center"/>
        <w:outlineLvl w:val="1"/>
        <w:rPr>
          <w:rFonts w:ascii="黑体" w:hAnsi="黑体" w:eastAsia="黑体" w:cs="Times New Roman"/>
          <w:bCs/>
          <w:kern w:val="28"/>
          <w:sz w:val="36"/>
          <w:szCs w:val="36"/>
        </w:rPr>
        <w:sectPr>
          <w:pgSz w:w="11906" w:h="16838"/>
          <w:pgMar w:top="1440" w:right="1841" w:bottom="1440" w:left="1800" w:header="851" w:footer="992" w:gutter="0"/>
          <w:cols w:space="425" w:num="1"/>
          <w:docGrid w:type="lines" w:linePitch="312" w:charSpace="0"/>
        </w:sectPr>
      </w:pP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融资担保公司</w:t>
      </w:r>
      <w:r>
        <w:rPr>
          <w:rFonts w:ascii="宋体" w:hAnsi="宋体" w:eastAsia="宋体" w:cs="Times New Roman"/>
          <w:b/>
          <w:color w:val="000000"/>
          <w:szCs w:val="21"/>
        </w:rPr>
        <w:t>：</w:t>
      </w:r>
    </w:p>
    <w:p>
      <w:pPr>
        <w:pStyle w:val="64"/>
        <w:numPr>
          <w:ilvl w:val="0"/>
          <w:numId w:val="9"/>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合并资产负债表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958" w:type="pct"/>
        <w:tblInd w:w="-685"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526"/>
        <w:gridCol w:w="3790"/>
        <w:gridCol w:w="379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875"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2023年9月30日</w:t>
            </w:r>
          </w:p>
        </w:tc>
        <w:tc>
          <w:tcPr>
            <w:tcW w:w="1875"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w:t>
            </w:r>
            <w:r>
              <w:rPr>
                <w:rFonts w:ascii="宋体" w:hAnsi="宋体" w:eastAsia="宋体" w:cs="Times New Roman"/>
                <w:sz w:val="18"/>
                <w:szCs w:val="18"/>
              </w:rPr>
              <w:t>备付金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w:t>
            </w:r>
            <w:r>
              <w:rPr>
                <w:rFonts w:ascii="宋体" w:hAnsi="宋体" w:eastAsia="宋体" w:cs="Times New Roman"/>
                <w:sz w:val="18"/>
                <w:szCs w:val="18"/>
              </w:rPr>
              <w:t>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款项</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应收代偿款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定期存款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金融</w:t>
            </w:r>
            <w:r>
              <w:rPr>
                <w:rFonts w:ascii="宋体" w:hAnsi="宋体" w:eastAsia="宋体" w:cs="Times New Roman"/>
                <w:sz w:val="18"/>
                <w:szCs w:val="18"/>
              </w:rPr>
              <w:t>投资：</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交易性金融</w:t>
            </w:r>
            <w:r>
              <w:rPr>
                <w:rFonts w:ascii="宋体" w:hAnsi="宋体" w:eastAsia="宋体" w:cs="Times New Roman"/>
                <w:sz w:val="18"/>
                <w:szCs w:val="18"/>
              </w:rPr>
              <w:t>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债权投资</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独立账户</w:t>
            </w:r>
            <w:r>
              <w:rPr>
                <w:rFonts w:ascii="宋体" w:hAnsi="宋体" w:eastAsia="宋体" w:cs="Times New Roman"/>
                <w:sz w:val="18"/>
                <w:szCs w:val="18"/>
              </w:rPr>
              <w:t>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存出</w:t>
            </w:r>
            <w:r>
              <w:rPr>
                <w:rFonts w:ascii="宋体" w:hAnsi="宋体" w:eastAsia="宋体" w:cs="Times New Roman"/>
                <w:sz w:val="18"/>
                <w:szCs w:val="18"/>
              </w:rPr>
              <w:t>保证金</w:t>
            </w: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其他资产</w:t>
            </w: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875" w:type="pct"/>
            <w:shd w:val="pct10" w:color="auto" w:fill="auto"/>
          </w:tcPr>
          <w:p>
            <w:pPr>
              <w:widowControl/>
              <w:jc w:val="right"/>
              <w:rPr>
                <w:rFonts w:ascii="宋体" w:hAnsi="宋体" w:eastAsia="宋体" w:cs="宋体"/>
                <w:kern w:val="0"/>
                <w:sz w:val="18"/>
                <w:szCs w:val="18"/>
              </w:rPr>
            </w:pPr>
          </w:p>
        </w:tc>
        <w:tc>
          <w:tcPr>
            <w:tcW w:w="1875"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2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w:t>
            </w:r>
            <w:r>
              <w:rPr>
                <w:rFonts w:ascii="宋体" w:hAnsi="宋体" w:eastAsia="宋体" w:cs="Times New Roman"/>
                <w:sz w:val="18"/>
                <w:szCs w:val="18"/>
              </w:rPr>
              <w:t>资金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预收保费</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应付款项</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w:t>
            </w:r>
            <w:r>
              <w:rPr>
                <w:rFonts w:ascii="宋体" w:hAnsi="宋体" w:eastAsia="宋体" w:cs="Times New Roman"/>
                <w:sz w:val="18"/>
                <w:szCs w:val="18"/>
              </w:rPr>
              <w:t>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未到期</w:t>
            </w:r>
            <w:r>
              <w:rPr>
                <w:rFonts w:ascii="宋体" w:hAnsi="宋体" w:eastAsia="宋体" w:cs="Times New Roman"/>
                <w:sz w:val="18"/>
                <w:szCs w:val="18"/>
              </w:rPr>
              <w:t>责任准备金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担保赔偿准备金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w:t>
            </w:r>
            <w:r>
              <w:rPr>
                <w:rFonts w:ascii="宋体" w:hAnsi="宋体" w:eastAsia="宋体" w:cs="Times New Roman"/>
                <w:sz w:val="18"/>
                <w:szCs w:val="18"/>
              </w:rPr>
              <w:t>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58" w:hRule="atLeast"/>
        </w:trPr>
        <w:tc>
          <w:tcPr>
            <w:tcW w:w="1250" w:type="pct"/>
            <w:shd w:val="pct10" w:color="auto" w:fill="FFFFFF"/>
            <w:vAlign w:val="center"/>
          </w:tcPr>
          <w:p>
            <w:pPr>
              <w:widowControl/>
              <w:jc w:val="left"/>
              <w:rPr>
                <w:rFonts w:ascii="宋体" w:hAnsi="宋体" w:eastAsia="宋体" w:cs="Times New Roman"/>
                <w:sz w:val="18"/>
                <w:szCs w:val="18"/>
              </w:rPr>
            </w:pPr>
            <w:r>
              <w:rPr>
                <w:rFonts w:ascii="宋体" w:hAnsi="宋体" w:eastAsia="宋体" w:cs="Times New Roman"/>
                <w:sz w:val="18"/>
                <w:szCs w:val="18"/>
              </w:rPr>
              <w:t xml:space="preserve">      永续债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独立账户</w:t>
            </w:r>
            <w:r>
              <w:rPr>
                <w:rFonts w:ascii="宋体" w:hAnsi="宋体" w:eastAsia="宋体" w:cs="Times New Roman"/>
                <w:sz w:val="18"/>
                <w:szCs w:val="18"/>
              </w:rPr>
              <w:t>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其他负债</w:t>
            </w: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875" w:type="pct"/>
            <w:shd w:val="pct10" w:color="auto" w:fill="auto"/>
          </w:tcPr>
          <w:p>
            <w:pPr>
              <w:widowControl/>
              <w:jc w:val="right"/>
              <w:rPr>
                <w:rFonts w:ascii="宋体" w:hAnsi="宋体" w:eastAsia="宋体" w:cs="宋体"/>
                <w:kern w:val="0"/>
                <w:sz w:val="18"/>
                <w:szCs w:val="18"/>
              </w:rPr>
            </w:pPr>
          </w:p>
        </w:tc>
        <w:tc>
          <w:tcPr>
            <w:tcW w:w="1875"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250"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归属于母公司所有者权益合计</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少数股东权益</w:t>
            </w: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98" w:hRule="atLeast"/>
        </w:trPr>
        <w:tc>
          <w:tcPr>
            <w:tcW w:w="1250"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所有者权益（或股东权益）合计</w:t>
            </w:r>
          </w:p>
        </w:tc>
        <w:tc>
          <w:tcPr>
            <w:tcW w:w="1875" w:type="pct"/>
            <w:shd w:val="pct10" w:color="auto" w:fill="auto"/>
          </w:tcPr>
          <w:p>
            <w:pPr>
              <w:widowControl/>
              <w:jc w:val="right"/>
              <w:rPr>
                <w:rFonts w:ascii="宋体" w:hAnsi="宋体" w:eastAsia="宋体" w:cs="宋体"/>
                <w:kern w:val="0"/>
                <w:sz w:val="18"/>
                <w:szCs w:val="18"/>
                <w:shd w:val="clear" w:color="auto" w:fill="D9D9D9"/>
              </w:rPr>
            </w:pPr>
          </w:p>
        </w:tc>
        <w:tc>
          <w:tcPr>
            <w:tcW w:w="1875" w:type="pct"/>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负债和所有者权益（或股东权益）总计</w:t>
            </w:r>
          </w:p>
        </w:tc>
        <w:tc>
          <w:tcPr>
            <w:tcW w:w="1875" w:type="pct"/>
            <w:shd w:val="pct10" w:color="auto" w:fill="auto"/>
          </w:tcPr>
          <w:p>
            <w:pPr>
              <w:widowControl/>
              <w:jc w:val="right"/>
              <w:rPr>
                <w:rFonts w:ascii="宋体" w:hAnsi="宋体" w:eastAsia="宋体" w:cs="宋体"/>
                <w:kern w:val="0"/>
                <w:sz w:val="18"/>
                <w:szCs w:val="18"/>
                <w:shd w:val="clear" w:color="auto" w:fill="D9D9D9"/>
              </w:rPr>
            </w:pPr>
          </w:p>
        </w:tc>
        <w:tc>
          <w:tcPr>
            <w:tcW w:w="1875" w:type="pct"/>
            <w:shd w:val="pct10" w:color="auto" w:fill="auto"/>
          </w:tcPr>
          <w:p>
            <w:pPr>
              <w:widowControl/>
              <w:jc w:val="right"/>
              <w:rPr>
                <w:rFonts w:ascii="宋体" w:hAnsi="宋体" w:eastAsia="宋体" w:cs="宋体"/>
                <w:kern w:val="0"/>
                <w:sz w:val="18"/>
                <w:szCs w:val="18"/>
                <w:shd w:val="clear" w:color="auto" w:fill="D9D9D9"/>
              </w:rPr>
            </w:pPr>
          </w:p>
        </w:tc>
      </w:tr>
    </w:tbl>
    <w:p>
      <w:pPr>
        <w:rPr>
          <w:rFonts w:ascii="Calibri" w:hAnsi="Calibri" w:eastAsia="宋体" w:cs="Times New Roman"/>
          <w:sz w:val="18"/>
          <w:szCs w:val="18"/>
        </w:rPr>
      </w:pPr>
    </w:p>
    <w:p>
      <w:pPr>
        <w:rPr>
          <w:rFonts w:ascii="Arial" w:hAnsi="Arial" w:eastAsia="黑体" w:cs="Times New Roman"/>
          <w:b/>
          <w:bCs/>
          <w:sz w:val="22"/>
          <w:lang w:val="zh-CN"/>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9"/>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w:t>
      </w:r>
      <w:r>
        <w:rPr>
          <w:rFonts w:ascii="Arial" w:hAnsi="Arial" w:eastAsia="黑体"/>
          <w:b/>
          <w:bCs/>
          <w:sz w:val="22"/>
        </w:rPr>
        <w:t>资产负债表</w:t>
      </w:r>
      <w:r>
        <w:rPr>
          <w:rFonts w:hint="eastAsia" w:ascii="Arial" w:hAnsi="Arial" w:eastAsia="黑体"/>
          <w:b/>
          <w:bCs/>
          <w:sz w:val="22"/>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88" w:type="pct"/>
        <w:tblInd w:w="-685"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527"/>
        <w:gridCol w:w="3729"/>
        <w:gridCol w:w="373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867"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2023年9月30日</w:t>
            </w:r>
          </w:p>
        </w:tc>
        <w:tc>
          <w:tcPr>
            <w:tcW w:w="1868"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w:t>
            </w:r>
            <w:r>
              <w:rPr>
                <w:rFonts w:ascii="宋体" w:hAnsi="宋体" w:eastAsia="宋体" w:cs="Times New Roman"/>
                <w:sz w:val="18"/>
                <w:szCs w:val="18"/>
              </w:rPr>
              <w:t>备付金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w:t>
            </w:r>
            <w:r>
              <w:rPr>
                <w:rFonts w:ascii="宋体" w:hAnsi="宋体" w:eastAsia="宋体" w:cs="Times New Roman"/>
                <w:sz w:val="18"/>
                <w:szCs w:val="18"/>
              </w:rPr>
              <w:t>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款项</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应收代偿款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定期存款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金融</w:t>
            </w:r>
            <w:r>
              <w:rPr>
                <w:rFonts w:ascii="宋体" w:hAnsi="宋体" w:eastAsia="宋体" w:cs="Times New Roman"/>
                <w:sz w:val="18"/>
                <w:szCs w:val="18"/>
              </w:rPr>
              <w:t>投资：</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交易性金融</w:t>
            </w:r>
            <w:r>
              <w:rPr>
                <w:rFonts w:ascii="宋体" w:hAnsi="宋体" w:eastAsia="宋体" w:cs="Times New Roman"/>
                <w:sz w:val="18"/>
                <w:szCs w:val="18"/>
              </w:rPr>
              <w:t>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债权投资</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独立账户</w:t>
            </w:r>
            <w:r>
              <w:rPr>
                <w:rFonts w:ascii="宋体" w:hAnsi="宋体" w:eastAsia="宋体" w:cs="Times New Roman"/>
                <w:sz w:val="18"/>
                <w:szCs w:val="18"/>
              </w:rPr>
              <w:t>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tcBorders>
              <w:bottom w:val="single" w:color="5B9BD5" w:sz="4" w:space="0"/>
            </w:tcBorders>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存出</w:t>
            </w:r>
            <w:r>
              <w:rPr>
                <w:rFonts w:ascii="宋体" w:hAnsi="宋体" w:eastAsia="宋体" w:cs="Times New Roman"/>
                <w:sz w:val="18"/>
                <w:szCs w:val="18"/>
              </w:rPr>
              <w:t>保证金</w:t>
            </w:r>
          </w:p>
        </w:tc>
        <w:tc>
          <w:tcPr>
            <w:tcW w:w="1867"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68"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其他资产</w:t>
            </w:r>
          </w:p>
        </w:tc>
        <w:tc>
          <w:tcPr>
            <w:tcW w:w="1867"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68"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867" w:type="pct"/>
            <w:shd w:val="pct10" w:color="auto" w:fill="auto"/>
          </w:tcPr>
          <w:p>
            <w:pPr>
              <w:widowControl/>
              <w:jc w:val="right"/>
              <w:rPr>
                <w:rFonts w:ascii="宋体" w:hAnsi="宋体" w:eastAsia="宋体" w:cs="宋体"/>
                <w:kern w:val="0"/>
                <w:sz w:val="18"/>
                <w:szCs w:val="18"/>
              </w:rPr>
            </w:pPr>
          </w:p>
        </w:tc>
        <w:tc>
          <w:tcPr>
            <w:tcW w:w="1868"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26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w:t>
            </w:r>
            <w:r>
              <w:rPr>
                <w:rFonts w:ascii="宋体" w:hAnsi="宋体" w:eastAsia="宋体" w:cs="Times New Roman"/>
                <w:sz w:val="18"/>
                <w:szCs w:val="18"/>
              </w:rPr>
              <w:t>资金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预收保费</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应付款项</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w:t>
            </w:r>
            <w:r>
              <w:rPr>
                <w:rFonts w:ascii="宋体" w:hAnsi="宋体" w:eastAsia="宋体" w:cs="Times New Roman"/>
                <w:sz w:val="18"/>
                <w:szCs w:val="18"/>
              </w:rPr>
              <w:t>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未到期</w:t>
            </w:r>
            <w:r>
              <w:rPr>
                <w:rFonts w:ascii="宋体" w:hAnsi="宋体" w:eastAsia="宋体" w:cs="Times New Roman"/>
                <w:sz w:val="18"/>
                <w:szCs w:val="18"/>
              </w:rPr>
              <w:t>责任准备金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担保赔偿准备金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w:t>
            </w:r>
            <w:r>
              <w:rPr>
                <w:rFonts w:ascii="宋体" w:hAnsi="宋体" w:eastAsia="宋体" w:cs="Times New Roman"/>
                <w:sz w:val="18"/>
                <w:szCs w:val="18"/>
              </w:rPr>
              <w:t>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eastAsia="宋体" w:cs="Times New Roman"/>
                <w:sz w:val="18"/>
                <w:szCs w:val="18"/>
              </w:rPr>
            </w:pPr>
            <w:r>
              <w:rPr>
                <w:rFonts w:ascii="宋体" w:hAnsi="宋体" w:eastAsia="宋体" w:cs="Times New Roman"/>
                <w:sz w:val="18"/>
                <w:szCs w:val="18"/>
              </w:rPr>
              <w:t xml:space="preserve">      永续债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独立账户</w:t>
            </w:r>
            <w:r>
              <w:rPr>
                <w:rFonts w:ascii="宋体" w:hAnsi="宋体" w:eastAsia="宋体" w:cs="Times New Roman"/>
                <w:sz w:val="18"/>
                <w:szCs w:val="18"/>
              </w:rPr>
              <w:t>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其他负债</w:t>
            </w:r>
          </w:p>
        </w:tc>
        <w:tc>
          <w:tcPr>
            <w:tcW w:w="1867"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68"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867" w:type="pct"/>
            <w:shd w:val="pct10" w:color="auto" w:fill="auto"/>
          </w:tcPr>
          <w:p>
            <w:pPr>
              <w:widowControl/>
              <w:jc w:val="right"/>
              <w:rPr>
                <w:rFonts w:ascii="宋体" w:hAnsi="宋体" w:eastAsia="宋体" w:cs="宋体"/>
                <w:kern w:val="0"/>
                <w:sz w:val="18"/>
                <w:szCs w:val="18"/>
              </w:rPr>
            </w:pPr>
          </w:p>
        </w:tc>
        <w:tc>
          <w:tcPr>
            <w:tcW w:w="1868"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265"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265"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所有者权益（或股东权益）合计</w:t>
            </w:r>
          </w:p>
        </w:tc>
        <w:tc>
          <w:tcPr>
            <w:tcW w:w="1867" w:type="pct"/>
            <w:shd w:val="pct10" w:color="auto" w:fill="auto"/>
          </w:tcPr>
          <w:p>
            <w:pPr>
              <w:widowControl/>
              <w:jc w:val="right"/>
              <w:rPr>
                <w:rFonts w:ascii="宋体" w:hAnsi="宋体" w:eastAsia="宋体" w:cs="宋体"/>
                <w:kern w:val="0"/>
                <w:sz w:val="18"/>
                <w:szCs w:val="18"/>
                <w:shd w:val="clear" w:color="auto" w:fill="D9D9D9"/>
              </w:rPr>
            </w:pPr>
          </w:p>
        </w:tc>
        <w:tc>
          <w:tcPr>
            <w:tcW w:w="1868" w:type="pct"/>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负债和所有者权益（或股东权益）总计</w:t>
            </w:r>
          </w:p>
        </w:tc>
        <w:tc>
          <w:tcPr>
            <w:tcW w:w="1867" w:type="pct"/>
            <w:shd w:val="pct10" w:color="auto" w:fill="auto"/>
          </w:tcPr>
          <w:p>
            <w:pPr>
              <w:widowControl/>
              <w:jc w:val="right"/>
              <w:rPr>
                <w:rFonts w:ascii="宋体" w:hAnsi="宋体" w:eastAsia="宋体" w:cs="宋体"/>
                <w:kern w:val="0"/>
                <w:sz w:val="18"/>
                <w:szCs w:val="18"/>
                <w:shd w:val="clear" w:color="auto" w:fill="D9D9D9"/>
              </w:rPr>
            </w:pPr>
          </w:p>
        </w:tc>
        <w:tc>
          <w:tcPr>
            <w:tcW w:w="1868" w:type="pct"/>
            <w:shd w:val="pct10" w:color="auto" w:fill="auto"/>
          </w:tcPr>
          <w:p>
            <w:pPr>
              <w:widowControl/>
              <w:jc w:val="right"/>
              <w:rPr>
                <w:rFonts w:ascii="宋体" w:hAnsi="宋体" w:eastAsia="宋体" w:cs="宋体"/>
                <w:kern w:val="0"/>
                <w:sz w:val="18"/>
                <w:szCs w:val="18"/>
                <w:shd w:val="clear" w:color="auto" w:fill="D9D9D9"/>
              </w:rPr>
            </w:pPr>
          </w:p>
        </w:tc>
      </w:tr>
    </w:tbl>
    <w:p>
      <w:pPr>
        <w:ind w:left="6300" w:firstLine="420"/>
        <w:jc w:val="right"/>
        <w:rPr>
          <w:rFonts w:ascii="Calibri" w:hAnsi="Calibri" w:eastAsia="宋体" w:cs="Times New Roman"/>
        </w:rPr>
      </w:pPr>
    </w:p>
    <w:p>
      <w:pPr>
        <w:pStyle w:val="64"/>
        <w:numPr>
          <w:ilvl w:val="0"/>
          <w:numId w:val="9"/>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9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12"/>
        <w:gridCol w:w="3046"/>
        <w:gridCol w:w="334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522"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1673" w:type="pct"/>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利息</w:t>
            </w:r>
            <w:r>
              <w:rPr>
                <w:rFonts w:ascii="宋体" w:hAnsi="宋体" w:eastAsia="宋体" w:cs="Times New Roman"/>
                <w:sz w:val="18"/>
                <w:szCs w:val="18"/>
              </w:rPr>
              <w:t>收入</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已赚保费</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ind w:firstLine="200" w:firstLineChars="100"/>
              <w:rPr>
                <w:rFonts w:ascii="宋体" w:hAnsi="宋体" w:eastAsia="宋体" w:cs="Times New Roman"/>
                <w:b/>
                <w:sz w:val="18"/>
                <w:szCs w:val="18"/>
              </w:rPr>
            </w:pPr>
            <w:r>
              <w:rPr>
                <w:rFonts w:hint="eastAsia" w:ascii="Calibri" w:hAnsi="Calibri" w:eastAsia="宋体" w:cs="Times New Roman"/>
                <w:color w:val="000000"/>
                <w:sz w:val="20"/>
                <w:szCs w:val="20"/>
              </w:rPr>
              <w:t>担保业务收入</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ind w:firstLine="400" w:firstLineChars="200"/>
              <w:rPr>
                <w:rFonts w:ascii="宋体" w:hAnsi="宋体" w:eastAsia="宋体" w:cs="Times New Roman"/>
                <w:b/>
                <w:sz w:val="18"/>
                <w:szCs w:val="18"/>
              </w:rPr>
            </w:pPr>
            <w:r>
              <w:rPr>
                <w:rFonts w:hint="eastAsia" w:ascii="Calibri" w:hAnsi="Calibri" w:eastAsia="宋体" w:cs="Times New Roman"/>
                <w:color w:val="000000"/>
                <w:sz w:val="20"/>
                <w:szCs w:val="20"/>
              </w:rPr>
              <w:t>其中：分保费收入</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ind w:firstLine="200" w:firstLineChars="100"/>
              <w:rPr>
                <w:rFonts w:ascii="宋体" w:hAnsi="宋体" w:eastAsia="宋体" w:cs="Times New Roman"/>
                <w:b/>
                <w:sz w:val="18"/>
                <w:szCs w:val="18"/>
              </w:rPr>
            </w:pPr>
            <w:r>
              <w:rPr>
                <w:rFonts w:hint="eastAsia" w:ascii="Calibri" w:hAnsi="Calibri" w:eastAsia="宋体" w:cs="Times New Roman"/>
                <w:color w:val="000000"/>
                <w:sz w:val="20"/>
                <w:szCs w:val="20"/>
              </w:rPr>
              <w:t>减：分出担保费</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ind w:firstLine="200" w:firstLineChars="100"/>
              <w:rPr>
                <w:rFonts w:ascii="宋体" w:hAnsi="宋体" w:eastAsia="宋体" w:cs="Times New Roman"/>
                <w:b/>
                <w:sz w:val="18"/>
                <w:szCs w:val="18"/>
              </w:rPr>
            </w:pPr>
            <w:r>
              <w:rPr>
                <w:rFonts w:hint="eastAsia" w:ascii="Calibri" w:hAnsi="Calibri" w:eastAsia="宋体" w:cs="Times New Roman"/>
                <w:color w:val="000000"/>
                <w:sz w:val="20"/>
                <w:szCs w:val="20"/>
              </w:rPr>
              <w:t>减：提取未到期责任准备金</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投资收益（损失以“－”号填列）</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ind w:firstLine="180" w:firstLineChars="100"/>
              <w:rPr>
                <w:rFonts w:ascii="宋体" w:hAnsi="宋体" w:eastAsia="宋体" w:cs="宋体"/>
                <w:sz w:val="18"/>
                <w:szCs w:val="18"/>
              </w:rPr>
            </w:pPr>
            <w:r>
              <w:rPr>
                <w:rFonts w:hint="eastAsia" w:ascii="宋体" w:hAnsi="宋体" w:eastAsia="宋体" w:cs="Times New Roman"/>
                <w:sz w:val="18"/>
                <w:szCs w:val="18"/>
              </w:rPr>
              <w:t>其中：对联营企业和合营企业的投资收益（损失以“－”号填列）</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ind w:left="741" w:leftChars="353"/>
              <w:rPr>
                <w:rFonts w:ascii="宋体" w:hAnsi="宋体" w:eastAsia="宋体" w:cs="Times New Roman"/>
                <w:sz w:val="18"/>
                <w:szCs w:val="18"/>
              </w:rPr>
            </w:pPr>
            <w:r>
              <w:rPr>
                <w:rFonts w:hint="eastAsia" w:ascii="宋体" w:hAnsi="宋体" w:eastAsia="宋体" w:cs="Times New Roman"/>
                <w:sz w:val="18"/>
                <w:szCs w:val="18"/>
              </w:rPr>
              <w:t>以摊余成本</w:t>
            </w:r>
            <w:r>
              <w:rPr>
                <w:rFonts w:ascii="宋体" w:hAnsi="宋体" w:eastAsia="宋体" w:cs="Times New Roman"/>
                <w:sz w:val="18"/>
                <w:szCs w:val="18"/>
              </w:rPr>
              <w:t>计量</w:t>
            </w:r>
            <w:r>
              <w:rPr>
                <w:rFonts w:hint="eastAsia" w:ascii="宋体" w:hAnsi="宋体" w:eastAsia="宋体" w:cs="Times New Roman"/>
                <w:sz w:val="18"/>
                <w:szCs w:val="18"/>
              </w:rPr>
              <w:t>的</w:t>
            </w:r>
            <w:r>
              <w:rPr>
                <w:rFonts w:ascii="宋体" w:hAnsi="宋体" w:eastAsia="宋体" w:cs="Times New Roman"/>
                <w:sz w:val="18"/>
                <w:szCs w:val="18"/>
              </w:rPr>
              <w:t>金融资产终止确认产生的收益（</w:t>
            </w:r>
            <w:r>
              <w:rPr>
                <w:rFonts w:hint="eastAsia" w:ascii="宋体" w:hAnsi="宋体" w:eastAsia="宋体" w:cs="Times New Roman"/>
                <w:sz w:val="18"/>
                <w:szCs w:val="18"/>
              </w:rPr>
              <w:t>损失</w:t>
            </w:r>
            <w:r>
              <w:rPr>
                <w:rFonts w:ascii="宋体" w:hAnsi="宋体" w:eastAsia="宋体" w:cs="Times New Roman"/>
                <w:sz w:val="18"/>
                <w:szCs w:val="18"/>
              </w:rPr>
              <w:t>以“</w:t>
            </w:r>
            <w:r>
              <w:rPr>
                <w:rFonts w:hint="eastAsia" w:ascii="宋体" w:hAnsi="宋体" w:eastAsia="宋体" w:cs="Times New Roman"/>
                <w:sz w:val="18"/>
                <w:szCs w:val="18"/>
              </w:rPr>
              <w:t>－</w:t>
            </w:r>
            <w:r>
              <w:rPr>
                <w:rFonts w:ascii="宋体" w:hAnsi="宋体" w:eastAsia="宋体" w:cs="Times New Roman"/>
                <w:sz w:val="18"/>
                <w:szCs w:val="18"/>
              </w:rPr>
              <w:t>”</w:t>
            </w:r>
            <w:r>
              <w:rPr>
                <w:rFonts w:hint="eastAsia" w:ascii="宋体" w:hAnsi="宋体" w:eastAsia="宋体" w:cs="Times New Roman"/>
                <w:sz w:val="18"/>
                <w:szCs w:val="18"/>
              </w:rPr>
              <w:t>填列</w:t>
            </w:r>
            <w:r>
              <w:rPr>
                <w:rFonts w:ascii="宋体" w:hAnsi="宋体" w:eastAsia="宋体" w:cs="Times New Roman"/>
                <w:sz w:val="18"/>
                <w:szCs w:val="18"/>
              </w:rPr>
              <w:t>）</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净敞口套期</w:t>
            </w:r>
            <w:r>
              <w:rPr>
                <w:rFonts w:ascii="宋体" w:hAnsi="宋体" w:eastAsia="宋体" w:cs="Times New Roman"/>
                <w:sz w:val="18"/>
                <w:szCs w:val="18"/>
              </w:rPr>
              <w:t>收益</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收益</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公允价值变动收益（损失以“－”号填列）</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汇兑收益（损失以“-”号填列）</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业务收入</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二、营业总支出</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利息</w:t>
            </w:r>
            <w:r>
              <w:rPr>
                <w:rFonts w:ascii="宋体" w:hAnsi="宋体" w:eastAsia="宋体" w:cs="Times New Roman"/>
                <w:sz w:val="18"/>
                <w:szCs w:val="18"/>
              </w:rPr>
              <w:t>支出</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赔付支出</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w:t>
            </w:r>
            <w:r>
              <w:rPr>
                <w:rFonts w:ascii="宋体" w:hAnsi="宋体" w:eastAsia="宋体" w:cs="Times New Roman"/>
                <w:sz w:val="18"/>
                <w:szCs w:val="18"/>
              </w:rPr>
              <w:t>：</w:t>
            </w:r>
            <w:r>
              <w:rPr>
                <w:rFonts w:hint="eastAsia" w:ascii="宋体" w:hAnsi="宋体" w:eastAsia="宋体" w:cs="Times New Roman"/>
                <w:sz w:val="18"/>
                <w:szCs w:val="18"/>
              </w:rPr>
              <w:t>摊</w:t>
            </w:r>
            <w:r>
              <w:rPr>
                <w:rFonts w:ascii="宋体" w:hAnsi="宋体" w:eastAsia="宋体" w:cs="Times New Roman"/>
                <w:sz w:val="18"/>
                <w:szCs w:val="18"/>
              </w:rPr>
              <w:t>回赔付支出</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提取担保赔偿准备金</w:t>
            </w:r>
          </w:p>
        </w:tc>
        <w:tc>
          <w:tcPr>
            <w:tcW w:w="1522" w:type="pct"/>
          </w:tcPr>
          <w:p>
            <w:pPr>
              <w:rPr>
                <w:rFonts w:ascii="宋体" w:hAnsi="宋体" w:eastAsia="宋体" w:cs="Times New Roman"/>
                <w:sz w:val="18"/>
                <w:szCs w:val="18"/>
              </w:rPr>
            </w:pPr>
          </w:p>
        </w:tc>
        <w:tc>
          <w:tcPr>
            <w:tcW w:w="1673"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减：摊回担保责任准备金</w:t>
            </w:r>
          </w:p>
        </w:tc>
        <w:tc>
          <w:tcPr>
            <w:tcW w:w="1522" w:type="pct"/>
          </w:tcPr>
          <w:p>
            <w:pPr>
              <w:rPr>
                <w:rFonts w:ascii="宋体" w:hAnsi="宋体" w:eastAsia="宋体" w:cs="Times New Roman"/>
                <w:sz w:val="18"/>
                <w:szCs w:val="18"/>
              </w:rPr>
            </w:pPr>
          </w:p>
        </w:tc>
        <w:tc>
          <w:tcPr>
            <w:tcW w:w="1673"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分保费用</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税金及附加</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业务及管理费</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减：摊回分保费用</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信用</w:t>
            </w:r>
            <w:r>
              <w:rPr>
                <w:rFonts w:ascii="Calibri" w:hAnsi="Calibri" w:eastAsia="宋体" w:cs="Times New Roman"/>
                <w:sz w:val="18"/>
                <w:szCs w:val="18"/>
              </w:rPr>
              <w:t>减值损失</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Calibri" w:hAnsi="Calibri" w:eastAsia="宋体" w:cs="Times New Roman"/>
                <w:sz w:val="18"/>
                <w:szCs w:val="18"/>
              </w:rPr>
            </w:pPr>
            <w:r>
              <w:rPr>
                <w:rFonts w:hint="eastAsia" w:ascii="宋体" w:hAnsi="宋体" w:eastAsia="宋体" w:cs="Times New Roman"/>
                <w:sz w:val="18"/>
                <w:szCs w:val="18"/>
              </w:rPr>
              <w:t>其他资产减值损失</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Calibri" w:hAnsi="Calibri"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业务成本</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三、营业利润（亏损以“－”号填列）</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宋体"/>
                <w:b/>
                <w:sz w:val="18"/>
                <w:szCs w:val="18"/>
              </w:rPr>
            </w:pPr>
            <w:r>
              <w:rPr>
                <w:rFonts w:hint="eastAsia" w:ascii="宋体" w:hAnsi="宋体" w:eastAsia="宋体" w:cs="Times New Roman"/>
                <w:sz w:val="18"/>
                <w:szCs w:val="18"/>
              </w:rPr>
              <w:t>减：营业外支出</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宋体"/>
                <w:sz w:val="18"/>
                <w:szCs w:val="18"/>
              </w:rPr>
            </w:pPr>
            <w:r>
              <w:rPr>
                <w:rFonts w:hint="eastAsia" w:ascii="宋体" w:hAnsi="宋体" w:eastAsia="宋体" w:cs="Times New Roman"/>
                <w:b/>
                <w:sz w:val="18"/>
                <w:szCs w:val="18"/>
              </w:rPr>
              <w:t>四、利润总额（亏损总额以“－”号填列）</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宋体"/>
                <w:sz w:val="18"/>
                <w:szCs w:val="18"/>
              </w:rPr>
            </w:pPr>
            <w:r>
              <w:rPr>
                <w:rFonts w:hint="eastAsia" w:ascii="宋体" w:hAnsi="宋体" w:eastAsia="宋体" w:cs="Times New Roman"/>
                <w:color w:val="000000"/>
                <w:sz w:val="18"/>
                <w:szCs w:val="18"/>
              </w:rPr>
              <w:t>其中：被合并方在合并前实现的净利润</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宋体"/>
                <w:b/>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b/>
                <w:sz w:val="18"/>
                <w:szCs w:val="18"/>
              </w:rPr>
              <w:t>六、其他综合收益的税后净额</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（一）归属于母公司所有者的其他综合收益的税后净额</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以后不能重分类进损益的其他综合收益</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（3）其他</w:t>
            </w:r>
            <w:r>
              <w:rPr>
                <w:rFonts w:ascii="宋体" w:hAnsi="宋体" w:eastAsia="宋体" w:cs="Times New Roman"/>
                <w:sz w:val="18"/>
                <w:szCs w:val="18"/>
              </w:rPr>
              <w:t>权益工具投资公允价值变动</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（4）企业</w:t>
            </w:r>
            <w:r>
              <w:rPr>
                <w:rFonts w:ascii="宋体" w:hAnsi="宋体" w:eastAsia="宋体" w:cs="Times New Roman"/>
                <w:sz w:val="18"/>
                <w:szCs w:val="18"/>
              </w:rPr>
              <w:t>自身信用风险公允价值变动</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（5）其他</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2.以后将重分类进损益的其他综合收益</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（1）权益法下可</w:t>
            </w:r>
            <w:r>
              <w:rPr>
                <w:rFonts w:ascii="宋体" w:hAnsi="宋体" w:eastAsia="宋体" w:cs="Times New Roman"/>
                <w:sz w:val="18"/>
                <w:szCs w:val="18"/>
              </w:rPr>
              <w:t>转</w:t>
            </w:r>
            <w:r>
              <w:rPr>
                <w:rFonts w:hint="eastAsia" w:ascii="宋体" w:hAnsi="宋体" w:eastAsia="宋体" w:cs="Times New Roman"/>
                <w:sz w:val="18"/>
                <w:szCs w:val="18"/>
              </w:rPr>
              <w:t>损益的其他综合收益</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w:t>
            </w:r>
            <w:r>
              <w:rPr>
                <w:rFonts w:ascii="宋体" w:hAnsi="宋体" w:eastAsia="宋体" w:cs="Times New Roman"/>
                <w:sz w:val="18"/>
                <w:szCs w:val="18"/>
              </w:rPr>
              <w:t>债权投资公允价值变动</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w:t>
            </w:r>
            <w:r>
              <w:rPr>
                <w:rFonts w:ascii="宋体" w:hAnsi="宋体" w:eastAsia="宋体" w:cs="Times New Roman"/>
                <w:sz w:val="18"/>
                <w:szCs w:val="18"/>
              </w:rPr>
              <w:t>重分类计入其他综合收益的</w:t>
            </w:r>
            <w:r>
              <w:rPr>
                <w:rFonts w:hint="eastAsia" w:ascii="宋体" w:hAnsi="宋体" w:eastAsia="宋体" w:cs="Times New Roman"/>
                <w:sz w:val="18"/>
                <w:szCs w:val="18"/>
              </w:rPr>
              <w:t>金额</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w:t>
            </w:r>
            <w:r>
              <w:rPr>
                <w:rFonts w:ascii="宋体" w:hAnsi="宋体" w:eastAsia="宋体" w:cs="Times New Roman"/>
                <w:sz w:val="18"/>
                <w:szCs w:val="18"/>
              </w:rPr>
              <w:t>债权投资信用</w:t>
            </w:r>
            <w:r>
              <w:rPr>
                <w:rFonts w:hint="eastAsia" w:ascii="宋体" w:hAnsi="宋体" w:eastAsia="宋体" w:cs="Times New Roman"/>
                <w:sz w:val="18"/>
                <w:szCs w:val="18"/>
              </w:rPr>
              <w:t>损失</w:t>
            </w:r>
            <w:r>
              <w:rPr>
                <w:rFonts w:ascii="宋体" w:hAnsi="宋体" w:eastAsia="宋体" w:cs="Times New Roman"/>
                <w:sz w:val="18"/>
                <w:szCs w:val="18"/>
              </w:rPr>
              <w:t>准备</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w:t>
            </w:r>
            <w:r>
              <w:rPr>
                <w:rFonts w:ascii="宋体" w:hAnsi="宋体" w:eastAsia="宋体" w:cs="Times New Roman"/>
                <w:sz w:val="18"/>
                <w:szCs w:val="18"/>
              </w:rPr>
              <w:t>套期储备</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（二）归属于少数股东的其他综合收益的税后净额 </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b/>
                <w:color w:val="000000"/>
                <w:sz w:val="18"/>
                <w:szCs w:val="18"/>
              </w:rPr>
              <w:t>七、综合收益总额</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（一）归属于母公司所有者的综合收益总额</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color w:val="000000"/>
                <w:sz w:val="18"/>
                <w:szCs w:val="18"/>
              </w:rPr>
              <w:t>（二）归属于少数股东的综合收益总额</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0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b/>
                <w:sz w:val="18"/>
                <w:szCs w:val="18"/>
              </w:rPr>
              <w:t>八、每股收益：</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（一）基本每股收益</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05" w:type="pct"/>
            <w:shd w:val="pct10" w:color="auto" w:fill="FFFFFF"/>
            <w:vAlign w:val="center"/>
          </w:tcPr>
          <w:p>
            <w:pPr>
              <w:rPr>
                <w:rFonts w:ascii="宋体" w:hAnsi="宋体" w:eastAsia="宋体" w:cs="宋体"/>
                <w:b/>
                <w:sz w:val="18"/>
                <w:szCs w:val="18"/>
              </w:rPr>
            </w:pPr>
            <w:r>
              <w:rPr>
                <w:rFonts w:hint="eastAsia" w:ascii="宋体" w:hAnsi="宋体" w:eastAsia="宋体" w:cs="Times New Roman"/>
                <w:sz w:val="18"/>
                <w:szCs w:val="18"/>
              </w:rPr>
              <w:t>（二）稀释每股收益</w:t>
            </w:r>
          </w:p>
        </w:tc>
        <w:tc>
          <w:tcPr>
            <w:tcW w:w="1522" w:type="pct"/>
          </w:tcPr>
          <w:p>
            <w:pPr>
              <w:jc w:val="right"/>
              <w:rPr>
                <w:rFonts w:ascii="宋体" w:hAnsi="宋体" w:eastAsia="宋体" w:cs="Times New Roman"/>
                <w:sz w:val="18"/>
                <w:szCs w:val="18"/>
              </w:rPr>
            </w:pPr>
          </w:p>
        </w:tc>
        <w:tc>
          <w:tcPr>
            <w:tcW w:w="1673" w:type="pct"/>
          </w:tcPr>
          <w:p>
            <w:pPr>
              <w:jc w:val="right"/>
              <w:rPr>
                <w:rFonts w:ascii="宋体" w:hAnsi="宋体" w:eastAsia="宋体" w:cs="Times New Roman"/>
                <w:sz w:val="18"/>
                <w:szCs w:val="18"/>
              </w:rPr>
            </w:pPr>
          </w:p>
        </w:tc>
      </w:tr>
    </w:tbl>
    <w:p>
      <w:pPr>
        <w:widowControl/>
        <w:jc w:val="left"/>
        <w:rPr>
          <w:rFonts w:ascii="Calibri" w:hAnsi="Calibri" w:eastAsia="宋体" w:cs="Times New Roman"/>
          <w:sz w:val="18"/>
          <w:szCs w:val="18"/>
        </w:rPr>
      </w:pPr>
      <w:r>
        <w:rPr>
          <w:rFonts w:ascii="Calibri" w:hAnsi="Calibri" w:eastAsia="宋体" w:cs="Times New Roman"/>
          <w:sz w:val="18"/>
          <w:szCs w:val="18"/>
        </w:rPr>
        <w:t>　</w:t>
      </w:r>
    </w:p>
    <w:p>
      <w:pPr>
        <w:widowControl/>
        <w:jc w:val="left"/>
        <w:rPr>
          <w:rFonts w:ascii="宋体" w:hAnsi="宋体" w:eastAsia="宋体" w:cs="宋体"/>
          <w:kern w:val="0"/>
          <w:sz w:val="18"/>
          <w:szCs w:val="18"/>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9"/>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母公司利润表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753"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22"/>
        <w:gridCol w:w="2890"/>
        <w:gridCol w:w="32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481"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1664" w:type="pct"/>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利息</w:t>
            </w:r>
            <w:r>
              <w:rPr>
                <w:rFonts w:ascii="宋体" w:hAnsi="宋体" w:eastAsia="宋体" w:cs="Times New Roman"/>
                <w:sz w:val="18"/>
                <w:szCs w:val="18"/>
              </w:rPr>
              <w:t>收入</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已赚保费</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ind w:firstLine="180" w:firstLineChars="100"/>
              <w:rPr>
                <w:rFonts w:ascii="宋体" w:hAnsi="宋体" w:eastAsia="宋体" w:cs="Times New Roman"/>
                <w:b/>
                <w:sz w:val="18"/>
                <w:szCs w:val="18"/>
              </w:rPr>
            </w:pPr>
            <w:r>
              <w:rPr>
                <w:rFonts w:hint="eastAsia" w:ascii="宋体" w:hAnsi="宋体" w:eastAsia="宋体" w:cs="Times New Roman"/>
                <w:color w:val="000000"/>
                <w:sz w:val="18"/>
                <w:szCs w:val="18"/>
              </w:rPr>
              <w:t>担保业务收入</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b/>
                <w:sz w:val="18"/>
                <w:szCs w:val="18"/>
              </w:rPr>
            </w:pP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其中：分保费收入</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ind w:firstLine="180" w:firstLineChars="100"/>
              <w:rPr>
                <w:rFonts w:ascii="宋体" w:hAnsi="宋体" w:eastAsia="宋体" w:cs="Times New Roman"/>
                <w:b/>
                <w:sz w:val="18"/>
                <w:szCs w:val="18"/>
              </w:rPr>
            </w:pPr>
            <w:r>
              <w:rPr>
                <w:rFonts w:hint="eastAsia" w:ascii="宋体" w:hAnsi="宋体" w:eastAsia="宋体" w:cs="Times New Roman"/>
                <w:color w:val="000000"/>
                <w:sz w:val="18"/>
                <w:szCs w:val="18"/>
              </w:rPr>
              <w:t>减：分出担保费</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ind w:firstLine="180" w:firstLineChars="100"/>
              <w:rPr>
                <w:rFonts w:ascii="宋体" w:hAnsi="宋体" w:eastAsia="宋体" w:cs="Times New Roman"/>
                <w:b/>
                <w:sz w:val="18"/>
                <w:szCs w:val="18"/>
              </w:rPr>
            </w:pPr>
            <w:r>
              <w:rPr>
                <w:rFonts w:hint="eastAsia" w:ascii="宋体" w:hAnsi="宋体" w:eastAsia="宋体" w:cs="Times New Roman"/>
                <w:color w:val="000000"/>
                <w:sz w:val="18"/>
                <w:szCs w:val="18"/>
              </w:rPr>
              <w:t>减：提取未到期责任准备金</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投资收益（损失以“－”号填列）</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b/>
                <w:sz w:val="18"/>
                <w:szCs w:val="18"/>
              </w:rPr>
            </w:pPr>
            <w:r>
              <w:rPr>
                <w:rFonts w:ascii="宋体" w:hAnsi="宋体" w:eastAsia="宋体" w:cs="Times New Roman"/>
                <w:sz w:val="18"/>
                <w:szCs w:val="18"/>
              </w:rPr>
              <w:t xml:space="preserve">  其中：对联营企业和合营企业的投资收益</w:t>
            </w:r>
            <w:r>
              <w:rPr>
                <w:rFonts w:hint="eastAsia" w:ascii="宋体" w:hAnsi="宋体" w:eastAsia="宋体" w:cs="Times New Roman"/>
                <w:sz w:val="18"/>
                <w:szCs w:val="18"/>
              </w:rPr>
              <w:t>（损失以“－”号填列）</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ind w:left="741" w:leftChars="353"/>
              <w:rPr>
                <w:rFonts w:ascii="宋体" w:hAnsi="宋体" w:eastAsia="宋体" w:cs="Times New Roman"/>
                <w:sz w:val="18"/>
                <w:szCs w:val="18"/>
              </w:rPr>
            </w:pPr>
            <w:r>
              <w:rPr>
                <w:rFonts w:hint="eastAsia" w:ascii="宋体" w:hAnsi="宋体" w:eastAsia="宋体" w:cs="Times New Roman"/>
                <w:sz w:val="18"/>
                <w:szCs w:val="18"/>
              </w:rPr>
              <w:t>以摊余成本</w:t>
            </w:r>
            <w:r>
              <w:rPr>
                <w:rFonts w:ascii="宋体" w:hAnsi="宋体" w:eastAsia="宋体" w:cs="Times New Roman"/>
                <w:sz w:val="18"/>
                <w:szCs w:val="18"/>
              </w:rPr>
              <w:t>计量</w:t>
            </w:r>
            <w:r>
              <w:rPr>
                <w:rFonts w:hint="eastAsia" w:ascii="宋体" w:hAnsi="宋体" w:eastAsia="宋体" w:cs="Times New Roman"/>
                <w:sz w:val="18"/>
                <w:szCs w:val="18"/>
              </w:rPr>
              <w:t>的</w:t>
            </w:r>
            <w:r>
              <w:rPr>
                <w:rFonts w:ascii="宋体" w:hAnsi="宋体" w:eastAsia="宋体" w:cs="Times New Roman"/>
                <w:sz w:val="18"/>
                <w:szCs w:val="18"/>
              </w:rPr>
              <w:t>金融资产终止确认产生的收益（</w:t>
            </w:r>
            <w:r>
              <w:rPr>
                <w:rFonts w:hint="eastAsia" w:ascii="宋体" w:hAnsi="宋体" w:eastAsia="宋体" w:cs="Times New Roman"/>
                <w:sz w:val="18"/>
                <w:szCs w:val="18"/>
              </w:rPr>
              <w:t>损失</w:t>
            </w:r>
            <w:r>
              <w:rPr>
                <w:rFonts w:ascii="宋体" w:hAnsi="宋体" w:eastAsia="宋体" w:cs="Times New Roman"/>
                <w:sz w:val="18"/>
                <w:szCs w:val="18"/>
              </w:rPr>
              <w:t>以“</w:t>
            </w:r>
            <w:r>
              <w:rPr>
                <w:rFonts w:hint="eastAsia" w:ascii="宋体" w:hAnsi="宋体" w:eastAsia="宋体" w:cs="Times New Roman"/>
                <w:sz w:val="18"/>
                <w:szCs w:val="18"/>
              </w:rPr>
              <w:t>－</w:t>
            </w:r>
            <w:r>
              <w:rPr>
                <w:rFonts w:ascii="宋体" w:hAnsi="宋体" w:eastAsia="宋体" w:cs="Times New Roman"/>
                <w:sz w:val="18"/>
                <w:szCs w:val="18"/>
              </w:rPr>
              <w:t>”</w:t>
            </w:r>
            <w:r>
              <w:rPr>
                <w:rFonts w:hint="eastAsia" w:ascii="宋体" w:hAnsi="宋体" w:eastAsia="宋体" w:cs="Times New Roman"/>
                <w:sz w:val="18"/>
                <w:szCs w:val="18"/>
              </w:rPr>
              <w:t>填列</w:t>
            </w:r>
            <w:r>
              <w:rPr>
                <w:rFonts w:ascii="宋体" w:hAnsi="宋体" w:eastAsia="宋体" w:cs="Times New Roman"/>
                <w:sz w:val="18"/>
                <w:szCs w:val="18"/>
              </w:rPr>
              <w:t>）</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净敞口套期</w:t>
            </w:r>
            <w:r>
              <w:rPr>
                <w:rFonts w:ascii="宋体" w:hAnsi="宋体" w:eastAsia="宋体" w:cs="Times New Roman"/>
                <w:sz w:val="18"/>
                <w:szCs w:val="18"/>
              </w:rPr>
              <w:t>收益</w:t>
            </w:r>
            <w:r>
              <w:rPr>
                <w:rFonts w:hint="eastAsia" w:ascii="宋体" w:hAnsi="宋体" w:eastAsia="宋体" w:cs="Times New Roman"/>
                <w:sz w:val="18"/>
                <w:szCs w:val="18"/>
              </w:rPr>
              <w:t>（损失以“－”号填列）</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收益</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公允价值变动收益（损失以“－”号填列）</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汇兑收益（损失以“</w:t>
            </w:r>
            <w:r>
              <w:rPr>
                <w:rFonts w:ascii="宋体" w:hAnsi="宋体" w:eastAsia="宋体" w:cs="Times New Roman"/>
                <w:sz w:val="18"/>
                <w:szCs w:val="18"/>
              </w:rPr>
              <w:t>-”号填列）</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业务收入</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资产处置收益（损失以“</w:t>
            </w:r>
            <w:r>
              <w:rPr>
                <w:rFonts w:ascii="宋体" w:hAnsi="宋体" w:eastAsia="宋体" w:cs="Times New Roman"/>
                <w:sz w:val="18"/>
                <w:szCs w:val="18"/>
              </w:rPr>
              <w:t>-”号填列）</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二、营业总支出</w:t>
            </w:r>
          </w:p>
        </w:tc>
        <w:tc>
          <w:tcPr>
            <w:tcW w:w="1481" w:type="pct"/>
          </w:tcPr>
          <w:p>
            <w:pPr>
              <w:jc w:val="right"/>
              <w:rPr>
                <w:rFonts w:ascii="宋体" w:hAnsi="宋体" w:eastAsia="宋体" w:cs="Times New Roman"/>
                <w:sz w:val="18"/>
                <w:szCs w:val="18"/>
              </w:rPr>
            </w:pPr>
          </w:p>
        </w:tc>
        <w:tc>
          <w:tcPr>
            <w:tcW w:w="166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利息支出</w:t>
            </w:r>
          </w:p>
        </w:tc>
        <w:tc>
          <w:tcPr>
            <w:tcW w:w="1481" w:type="pct"/>
          </w:tcPr>
          <w:p>
            <w:pPr>
              <w:jc w:val="right"/>
              <w:rPr>
                <w:rFonts w:ascii="宋体" w:hAnsi="宋体" w:eastAsia="宋体" w:cs="Times New Roman"/>
                <w:sz w:val="18"/>
                <w:szCs w:val="18"/>
              </w:rPr>
            </w:pPr>
          </w:p>
        </w:tc>
        <w:tc>
          <w:tcPr>
            <w:tcW w:w="166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赔付支出</w:t>
            </w:r>
          </w:p>
        </w:tc>
        <w:tc>
          <w:tcPr>
            <w:tcW w:w="1481" w:type="pct"/>
          </w:tcPr>
          <w:p>
            <w:pPr>
              <w:jc w:val="right"/>
              <w:rPr>
                <w:rFonts w:ascii="宋体" w:hAnsi="宋体" w:eastAsia="宋体" w:cs="Times New Roman"/>
                <w:sz w:val="18"/>
                <w:szCs w:val="18"/>
              </w:rPr>
            </w:pPr>
          </w:p>
        </w:tc>
        <w:tc>
          <w:tcPr>
            <w:tcW w:w="166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w:t>
            </w:r>
            <w:r>
              <w:rPr>
                <w:rFonts w:ascii="宋体" w:hAnsi="宋体" w:eastAsia="宋体" w:cs="Times New Roman"/>
                <w:sz w:val="18"/>
                <w:szCs w:val="18"/>
              </w:rPr>
              <w:t>：</w:t>
            </w:r>
            <w:r>
              <w:rPr>
                <w:rFonts w:hint="eastAsia" w:ascii="宋体" w:hAnsi="宋体" w:eastAsia="宋体" w:cs="Times New Roman"/>
                <w:sz w:val="18"/>
                <w:szCs w:val="18"/>
              </w:rPr>
              <w:t>摊</w:t>
            </w:r>
            <w:r>
              <w:rPr>
                <w:rFonts w:ascii="宋体" w:hAnsi="宋体" w:eastAsia="宋体" w:cs="Times New Roman"/>
                <w:sz w:val="18"/>
                <w:szCs w:val="18"/>
              </w:rPr>
              <w:t>回赔付支出</w:t>
            </w:r>
          </w:p>
        </w:tc>
        <w:tc>
          <w:tcPr>
            <w:tcW w:w="1481" w:type="pct"/>
          </w:tcPr>
          <w:p>
            <w:pPr>
              <w:jc w:val="right"/>
              <w:rPr>
                <w:rFonts w:ascii="宋体" w:hAnsi="宋体" w:eastAsia="宋体" w:cs="Times New Roman"/>
                <w:sz w:val="18"/>
                <w:szCs w:val="18"/>
              </w:rPr>
            </w:pPr>
          </w:p>
        </w:tc>
        <w:tc>
          <w:tcPr>
            <w:tcW w:w="166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提取担保赔偿准备金</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减：摊回担保责任准备金</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分保费用</w:t>
            </w:r>
          </w:p>
        </w:tc>
        <w:tc>
          <w:tcPr>
            <w:tcW w:w="1481" w:type="pct"/>
          </w:tcPr>
          <w:p>
            <w:pPr>
              <w:jc w:val="right"/>
              <w:rPr>
                <w:rFonts w:ascii="宋体" w:hAnsi="宋体" w:eastAsia="宋体" w:cs="Times New Roman"/>
                <w:sz w:val="18"/>
                <w:szCs w:val="18"/>
              </w:rPr>
            </w:pPr>
          </w:p>
        </w:tc>
        <w:tc>
          <w:tcPr>
            <w:tcW w:w="166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税金及附加</w:t>
            </w:r>
          </w:p>
        </w:tc>
        <w:tc>
          <w:tcPr>
            <w:tcW w:w="1481" w:type="pct"/>
          </w:tcPr>
          <w:p>
            <w:pPr>
              <w:jc w:val="right"/>
              <w:rPr>
                <w:rFonts w:ascii="宋体" w:hAnsi="宋体" w:eastAsia="宋体" w:cs="Times New Roman"/>
                <w:sz w:val="18"/>
                <w:szCs w:val="18"/>
              </w:rPr>
            </w:pPr>
          </w:p>
        </w:tc>
        <w:tc>
          <w:tcPr>
            <w:tcW w:w="166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业务及管理费</w:t>
            </w:r>
          </w:p>
        </w:tc>
        <w:tc>
          <w:tcPr>
            <w:tcW w:w="1481" w:type="pct"/>
          </w:tcPr>
          <w:p>
            <w:pPr>
              <w:jc w:val="right"/>
              <w:rPr>
                <w:rFonts w:ascii="宋体" w:hAnsi="宋体" w:eastAsia="宋体" w:cs="Times New Roman"/>
                <w:sz w:val="18"/>
                <w:szCs w:val="18"/>
              </w:rPr>
            </w:pPr>
          </w:p>
        </w:tc>
        <w:tc>
          <w:tcPr>
            <w:tcW w:w="166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减：摊回分保费用</w:t>
            </w:r>
          </w:p>
        </w:tc>
        <w:tc>
          <w:tcPr>
            <w:tcW w:w="1481" w:type="pct"/>
          </w:tcPr>
          <w:p>
            <w:pPr>
              <w:jc w:val="right"/>
              <w:rPr>
                <w:rFonts w:ascii="宋体" w:hAnsi="宋体" w:eastAsia="宋体" w:cs="Times New Roman"/>
                <w:sz w:val="18"/>
                <w:szCs w:val="18"/>
              </w:rPr>
            </w:pPr>
          </w:p>
        </w:tc>
        <w:tc>
          <w:tcPr>
            <w:tcW w:w="166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信用</w:t>
            </w:r>
            <w:r>
              <w:rPr>
                <w:rFonts w:ascii="Calibri" w:hAnsi="Calibri" w:eastAsia="宋体" w:cs="Times New Roman"/>
                <w:sz w:val="18"/>
                <w:szCs w:val="18"/>
              </w:rPr>
              <w:t>减值损失</w:t>
            </w:r>
          </w:p>
        </w:tc>
        <w:tc>
          <w:tcPr>
            <w:tcW w:w="1481" w:type="pct"/>
          </w:tcPr>
          <w:p>
            <w:pPr>
              <w:jc w:val="right"/>
              <w:rPr>
                <w:rFonts w:ascii="宋体" w:hAnsi="宋体" w:eastAsia="宋体" w:cs="Times New Roman"/>
                <w:sz w:val="18"/>
                <w:szCs w:val="18"/>
              </w:rPr>
            </w:pPr>
          </w:p>
        </w:tc>
        <w:tc>
          <w:tcPr>
            <w:tcW w:w="166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Calibri" w:hAnsi="Calibri" w:eastAsia="宋体" w:cs="Times New Roman"/>
                <w:sz w:val="18"/>
                <w:szCs w:val="18"/>
              </w:rPr>
            </w:pPr>
            <w:r>
              <w:rPr>
                <w:rFonts w:hint="eastAsia" w:ascii="宋体" w:hAnsi="宋体" w:eastAsia="宋体" w:cs="Times New Roman"/>
                <w:sz w:val="18"/>
                <w:szCs w:val="18"/>
              </w:rPr>
              <w:t>其他资产减值损失</w:t>
            </w:r>
          </w:p>
        </w:tc>
        <w:tc>
          <w:tcPr>
            <w:tcW w:w="1481" w:type="pct"/>
          </w:tcPr>
          <w:p>
            <w:pPr>
              <w:jc w:val="right"/>
              <w:rPr>
                <w:rFonts w:ascii="宋体" w:hAnsi="宋体" w:eastAsia="宋体" w:cs="Times New Roman"/>
                <w:sz w:val="18"/>
                <w:szCs w:val="18"/>
              </w:rPr>
            </w:pPr>
          </w:p>
        </w:tc>
        <w:tc>
          <w:tcPr>
            <w:tcW w:w="166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业务成本</w:t>
            </w:r>
          </w:p>
        </w:tc>
        <w:tc>
          <w:tcPr>
            <w:tcW w:w="1481" w:type="pct"/>
          </w:tcPr>
          <w:p>
            <w:pPr>
              <w:jc w:val="right"/>
              <w:rPr>
                <w:rFonts w:ascii="宋体" w:hAnsi="宋体" w:eastAsia="宋体" w:cs="Times New Roman"/>
                <w:sz w:val="18"/>
                <w:szCs w:val="18"/>
              </w:rPr>
            </w:pPr>
          </w:p>
        </w:tc>
        <w:tc>
          <w:tcPr>
            <w:tcW w:w="166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二、营业利润（亏损以“－”号填列）</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三、利润总额（亏损总额以“－”号填列）</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四、净利润（净亏损以“－”号填列）</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b/>
                <w:sz w:val="18"/>
                <w:szCs w:val="18"/>
              </w:rPr>
            </w:pPr>
            <w:r>
              <w:rPr>
                <w:rFonts w:ascii="宋体" w:hAnsi="宋体" w:eastAsia="宋体" w:cs="Times New Roman"/>
                <w:b/>
                <w:sz w:val="18"/>
                <w:szCs w:val="18"/>
              </w:rPr>
              <w:t>五</w:t>
            </w:r>
            <w:r>
              <w:rPr>
                <w:rFonts w:hint="eastAsia" w:ascii="宋体" w:hAnsi="宋体" w:eastAsia="宋体" w:cs="Times New Roman"/>
                <w:b/>
                <w:sz w:val="18"/>
                <w:szCs w:val="18"/>
              </w:rPr>
              <w:t>、其他综合收益的税后净额</w:t>
            </w:r>
            <w:r>
              <w:rPr>
                <w:rFonts w:ascii="宋体" w:hAnsi="宋体" w:eastAsia="宋体" w:cs="Times New Roman"/>
                <w:b/>
                <w:sz w:val="18"/>
                <w:szCs w:val="18"/>
              </w:rPr>
              <w:t xml:space="preserve"> </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宋体"/>
                <w:sz w:val="18"/>
                <w:szCs w:val="18"/>
              </w:rPr>
            </w:pPr>
            <w:r>
              <w:rPr>
                <w:rFonts w:hint="eastAsia" w:ascii="宋体" w:hAnsi="宋体" w:eastAsia="宋体" w:cs="宋体"/>
                <w:sz w:val="18"/>
                <w:szCs w:val="18"/>
              </w:rPr>
              <w:t>（一）以后不能重分类进损益的其他综合收益</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3.其他</w:t>
            </w:r>
            <w:r>
              <w:rPr>
                <w:rFonts w:ascii="宋体" w:hAnsi="宋体" w:eastAsia="宋体" w:cs="Times New Roman"/>
                <w:sz w:val="18"/>
                <w:szCs w:val="18"/>
              </w:rPr>
              <w:t>权益工具投资公允价值变动</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4.企业</w:t>
            </w:r>
            <w:r>
              <w:rPr>
                <w:rFonts w:ascii="宋体" w:hAnsi="宋体" w:eastAsia="宋体" w:cs="Times New Roman"/>
                <w:sz w:val="18"/>
                <w:szCs w:val="18"/>
              </w:rPr>
              <w:t>自身信用风险公允价值变动</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5.其他</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（二）以后将重分类进损益的其他综合收益</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1.权益法下可</w:t>
            </w:r>
            <w:r>
              <w:rPr>
                <w:rFonts w:ascii="宋体" w:hAnsi="宋体" w:eastAsia="宋体" w:cs="Times New Roman"/>
                <w:sz w:val="18"/>
                <w:szCs w:val="18"/>
              </w:rPr>
              <w:t>转</w:t>
            </w:r>
            <w:r>
              <w:rPr>
                <w:rFonts w:hint="eastAsia" w:ascii="宋体" w:hAnsi="宋体" w:eastAsia="宋体" w:cs="Times New Roman"/>
                <w:sz w:val="18"/>
                <w:szCs w:val="18"/>
              </w:rPr>
              <w:t>损益的其他综合收益</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w:t>
            </w:r>
            <w:r>
              <w:rPr>
                <w:rFonts w:ascii="宋体" w:hAnsi="宋体" w:eastAsia="宋体" w:cs="Times New Roman"/>
                <w:sz w:val="18"/>
                <w:szCs w:val="18"/>
              </w:rPr>
              <w:t>债权投资公允价值变动</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.金融资产</w:t>
            </w:r>
            <w:r>
              <w:rPr>
                <w:rFonts w:ascii="宋体" w:hAnsi="宋体" w:eastAsia="宋体" w:cs="Times New Roman"/>
                <w:sz w:val="18"/>
                <w:szCs w:val="18"/>
              </w:rPr>
              <w:t>重分类计入其他综合收益的</w:t>
            </w:r>
            <w:r>
              <w:rPr>
                <w:rFonts w:hint="eastAsia" w:ascii="宋体" w:hAnsi="宋体" w:eastAsia="宋体" w:cs="Times New Roman"/>
                <w:sz w:val="18"/>
                <w:szCs w:val="18"/>
              </w:rPr>
              <w:t>金额</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.其他</w:t>
            </w:r>
            <w:r>
              <w:rPr>
                <w:rFonts w:ascii="宋体" w:hAnsi="宋体" w:eastAsia="宋体" w:cs="Times New Roman"/>
                <w:sz w:val="18"/>
                <w:szCs w:val="18"/>
              </w:rPr>
              <w:t>债权投资信用</w:t>
            </w:r>
            <w:r>
              <w:rPr>
                <w:rFonts w:hint="eastAsia" w:ascii="宋体" w:hAnsi="宋体" w:eastAsia="宋体" w:cs="Times New Roman"/>
                <w:sz w:val="18"/>
                <w:szCs w:val="18"/>
              </w:rPr>
              <w:t>损失</w:t>
            </w:r>
            <w:r>
              <w:rPr>
                <w:rFonts w:ascii="宋体" w:hAnsi="宋体" w:eastAsia="宋体" w:cs="Times New Roman"/>
                <w:sz w:val="18"/>
                <w:szCs w:val="18"/>
              </w:rPr>
              <w:t>准备</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现金流量</w:t>
            </w:r>
            <w:r>
              <w:rPr>
                <w:rFonts w:ascii="宋体" w:hAnsi="宋体" w:eastAsia="宋体" w:cs="Times New Roman"/>
                <w:sz w:val="18"/>
                <w:szCs w:val="18"/>
              </w:rPr>
              <w:t>套期储备</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6.外币财务报表折算差额 </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7.其他 </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六、综合收益总额</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七、每股收益：</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（一）基本每股收益</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（二）稀释每股收益</w:t>
            </w:r>
          </w:p>
        </w:tc>
        <w:tc>
          <w:tcPr>
            <w:tcW w:w="1481" w:type="pct"/>
          </w:tcPr>
          <w:p>
            <w:pPr>
              <w:rPr>
                <w:rFonts w:ascii="宋体" w:hAnsi="宋体" w:eastAsia="宋体" w:cs="Times New Roman"/>
                <w:sz w:val="18"/>
                <w:szCs w:val="18"/>
              </w:rPr>
            </w:pPr>
          </w:p>
        </w:tc>
        <w:tc>
          <w:tcPr>
            <w:tcW w:w="1664" w:type="pct"/>
          </w:tcPr>
          <w:p>
            <w:pPr>
              <w:rPr>
                <w:rFonts w:ascii="宋体" w:hAnsi="宋体" w:eastAsia="宋体" w:cs="Times New Roman"/>
                <w:sz w:val="18"/>
                <w:szCs w:val="18"/>
              </w:rPr>
            </w:pPr>
          </w:p>
        </w:tc>
      </w:tr>
    </w:tbl>
    <w:p>
      <w:pPr>
        <w:pStyle w:val="64"/>
        <w:numPr>
          <w:ilvl w:val="0"/>
          <w:numId w:val="9"/>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0"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52"/>
        <w:gridCol w:w="2610"/>
        <w:gridCol w:w="261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322"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2023年1-9月</w:t>
            </w:r>
          </w:p>
        </w:tc>
        <w:tc>
          <w:tcPr>
            <w:tcW w:w="1322"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w:t>
            </w:r>
            <w:r>
              <w:rPr>
                <w:rFonts w:ascii="宋体" w:hAnsi="宋体" w:eastAsia="宋体" w:cs="Times New Roman"/>
                <w:sz w:val="18"/>
                <w:szCs w:val="18"/>
              </w:rPr>
              <w:t>担保</w:t>
            </w:r>
            <w:r>
              <w:rPr>
                <w:rFonts w:hint="eastAsia" w:ascii="宋体" w:hAnsi="宋体" w:eastAsia="宋体" w:cs="Times New Roman"/>
                <w:sz w:val="18"/>
                <w:szCs w:val="18"/>
              </w:rPr>
              <w:t>业务担保费取得的现金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收到再担保业务担保费取得的现金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18"/>
              </w:rPr>
              <w:t>收到担保代偿款项现金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收到利息、手续费及佣金的现金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收到的税费返还</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322" w:type="pct"/>
            <w:shd w:val="pct10" w:color="auto" w:fill="FFFFFF"/>
          </w:tcPr>
          <w:p>
            <w:pPr>
              <w:jc w:val="right"/>
              <w:rPr>
                <w:rFonts w:ascii="宋体" w:hAnsi="宋体" w:eastAsia="宋体" w:cs="宋体"/>
                <w:kern w:val="0"/>
                <w:sz w:val="18"/>
                <w:szCs w:val="18"/>
              </w:rPr>
            </w:pPr>
          </w:p>
        </w:tc>
        <w:tc>
          <w:tcPr>
            <w:tcW w:w="1322"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sz w:val="18"/>
                <w:szCs w:val="18"/>
              </w:rPr>
              <w:t>支付担保业务赔付款项的现金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sz w:val="18"/>
                <w:szCs w:val="18"/>
              </w:rPr>
              <w:t>支付再担保业务赔付款项的现金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支付利息、手续费及佣金的现金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18"/>
              </w:rPr>
              <w:t>支付给职工以及为职工支付的现金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18"/>
              </w:rPr>
              <w:t>支付的各项税费</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18"/>
              </w:rPr>
              <w:t>支付其他与经营活动有关的现金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322" w:type="pct"/>
            <w:shd w:val="pct10" w:color="auto" w:fill="FFFFFF"/>
          </w:tcPr>
          <w:p>
            <w:pPr>
              <w:jc w:val="right"/>
              <w:rPr>
                <w:rFonts w:ascii="宋体" w:hAnsi="宋体" w:eastAsia="宋体" w:cs="宋体"/>
                <w:kern w:val="0"/>
                <w:sz w:val="18"/>
                <w:szCs w:val="18"/>
              </w:rPr>
            </w:pPr>
          </w:p>
        </w:tc>
        <w:tc>
          <w:tcPr>
            <w:tcW w:w="1322"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322" w:type="pct"/>
            <w:shd w:val="pct10" w:color="auto" w:fill="FFFFFF"/>
          </w:tcPr>
          <w:p>
            <w:pPr>
              <w:jc w:val="right"/>
              <w:rPr>
                <w:rFonts w:ascii="宋体" w:hAnsi="宋体" w:eastAsia="宋体" w:cs="宋体"/>
                <w:kern w:val="0"/>
                <w:sz w:val="18"/>
                <w:szCs w:val="18"/>
              </w:rPr>
            </w:pPr>
          </w:p>
        </w:tc>
        <w:tc>
          <w:tcPr>
            <w:tcW w:w="1322"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其中：</w:t>
            </w:r>
            <w:r>
              <w:rPr>
                <w:rFonts w:hint="eastAsia" w:ascii="宋体" w:hAnsi="宋体" w:eastAsia="宋体" w:cs="Times New Roman"/>
                <w:sz w:val="18"/>
                <w:szCs w:val="18"/>
              </w:rPr>
              <w:t>收回买入返售收到的现金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收回其他投资收到的现金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322" w:type="pct"/>
            <w:shd w:val="pct10" w:color="auto" w:fill="auto"/>
          </w:tcPr>
          <w:p>
            <w:pPr>
              <w:jc w:val="right"/>
              <w:rPr>
                <w:rFonts w:ascii="宋体" w:hAnsi="宋体" w:eastAsia="宋体" w:cs="宋体"/>
                <w:kern w:val="0"/>
                <w:sz w:val="18"/>
                <w:szCs w:val="18"/>
              </w:rPr>
            </w:pPr>
          </w:p>
        </w:tc>
        <w:tc>
          <w:tcPr>
            <w:tcW w:w="1322"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其中</w:t>
            </w:r>
            <w:r>
              <w:rPr>
                <w:rFonts w:hint="eastAsia" w:ascii="宋体" w:hAnsi="宋体" w:eastAsia="宋体" w:cs="Times New Roman"/>
                <w:sz w:val="18"/>
                <w:szCs w:val="18"/>
              </w:rPr>
              <w:t>：买入返售投资支付的现金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其他投资支付的现金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取得子公司及其他营业单位支付的现金净额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支付其他与投资活动有关的现金</w:t>
            </w: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322" w:type="pct"/>
            <w:shd w:val="pct10" w:color="auto" w:fill="FFFFFF"/>
          </w:tcPr>
          <w:p>
            <w:pPr>
              <w:jc w:val="right"/>
              <w:rPr>
                <w:rFonts w:ascii="宋体" w:hAnsi="宋体" w:eastAsia="宋体" w:cs="宋体"/>
                <w:b/>
                <w:kern w:val="0"/>
                <w:sz w:val="18"/>
                <w:szCs w:val="18"/>
              </w:rPr>
            </w:pPr>
          </w:p>
        </w:tc>
        <w:tc>
          <w:tcPr>
            <w:tcW w:w="1322"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322" w:type="pct"/>
            <w:shd w:val="pct10" w:color="auto" w:fill="FFFFFF"/>
          </w:tcPr>
          <w:p>
            <w:pPr>
              <w:jc w:val="right"/>
              <w:rPr>
                <w:rFonts w:ascii="宋体" w:hAnsi="宋体" w:eastAsia="宋体" w:cs="宋体"/>
                <w:b/>
                <w:kern w:val="0"/>
                <w:sz w:val="18"/>
                <w:szCs w:val="18"/>
              </w:rPr>
            </w:pPr>
          </w:p>
        </w:tc>
        <w:tc>
          <w:tcPr>
            <w:tcW w:w="1322"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发行债券收到的现金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卖出回购投资收到的现金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322" w:type="pct"/>
            <w:shd w:val="pct10" w:color="auto" w:fill="auto"/>
          </w:tcPr>
          <w:p>
            <w:pPr>
              <w:jc w:val="right"/>
              <w:rPr>
                <w:rFonts w:ascii="宋体" w:hAnsi="宋体" w:eastAsia="宋体" w:cs="宋体"/>
                <w:kern w:val="0"/>
                <w:sz w:val="18"/>
                <w:szCs w:val="18"/>
              </w:rPr>
            </w:pPr>
          </w:p>
        </w:tc>
        <w:tc>
          <w:tcPr>
            <w:tcW w:w="1322"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偿付卖出回购投资支付的现金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322" w:type="pct"/>
            <w:shd w:val="pct10" w:color="auto" w:fill="FFFFFF"/>
          </w:tcPr>
          <w:p>
            <w:pPr>
              <w:jc w:val="right"/>
              <w:rPr>
                <w:rFonts w:ascii="宋体" w:hAnsi="宋体" w:eastAsia="宋体" w:cs="宋体"/>
                <w:kern w:val="0"/>
                <w:sz w:val="18"/>
                <w:szCs w:val="18"/>
              </w:rPr>
            </w:pPr>
          </w:p>
        </w:tc>
        <w:tc>
          <w:tcPr>
            <w:tcW w:w="1322"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322" w:type="pct"/>
            <w:shd w:val="pct10" w:color="auto" w:fill="FFFFFF"/>
          </w:tcPr>
          <w:p>
            <w:pPr>
              <w:jc w:val="right"/>
              <w:rPr>
                <w:rFonts w:ascii="宋体" w:hAnsi="宋体" w:eastAsia="宋体" w:cs="宋体"/>
                <w:kern w:val="0"/>
                <w:sz w:val="18"/>
                <w:szCs w:val="18"/>
              </w:rPr>
            </w:pPr>
          </w:p>
        </w:tc>
        <w:tc>
          <w:tcPr>
            <w:tcW w:w="1322"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bl>
    <w:p>
      <w:pPr>
        <w:widowControl/>
        <w:ind w:right="-382"/>
        <w:jc w:val="left"/>
        <w:rPr>
          <w:rFonts w:ascii="Calibri" w:hAnsi="Calibri" w:eastAsia="宋体" w:cs="Times New Roman"/>
          <w:sz w:val="18"/>
          <w:szCs w:val="18"/>
        </w:rPr>
      </w:pPr>
    </w:p>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numPr>
          <w:ilvl w:val="0"/>
          <w:numId w:val="9"/>
        </w:numPr>
        <w:spacing w:before="100" w:after="100" w:line="377" w:lineRule="auto"/>
        <w:ind w:firstLineChars="0"/>
        <w:jc w:val="left"/>
        <w:outlineLvl w:val="2"/>
        <w:rPr>
          <w:rFonts w:ascii="Arial" w:hAnsi="Arial" w:eastAsia="黑体"/>
          <w:b/>
          <w:bCs/>
          <w:sz w:val="22"/>
        </w:rPr>
      </w:pPr>
      <w:r>
        <w:rPr>
          <w:rFonts w:ascii="Arial" w:hAnsi="Arial" w:eastAsia="黑体"/>
          <w:b/>
          <w:bCs/>
          <w:sz w:val="22"/>
        </w:rPr>
        <w:t>母公司</w:t>
      </w:r>
      <w:r>
        <w:rPr>
          <w:rFonts w:hint="eastAsia" w:ascii="Arial" w:hAnsi="Arial" w:eastAsia="黑体"/>
          <w:b/>
          <w:bCs/>
          <w:sz w:val="22"/>
        </w:rPr>
        <w:t>现金</w:t>
      </w:r>
      <w:r>
        <w:rPr>
          <w:rFonts w:ascii="Arial" w:hAnsi="Arial" w:eastAsia="黑体"/>
          <w:b/>
          <w:bCs/>
          <w:sz w:val="22"/>
        </w:rPr>
        <w:t>流</w:t>
      </w:r>
      <w:r>
        <w:rPr>
          <w:rFonts w:hint="eastAsia" w:ascii="Arial" w:hAnsi="Arial" w:eastAsia="黑体"/>
          <w:b/>
          <w:bCs/>
          <w:sz w:val="22"/>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949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389"/>
        <w:gridCol w:w="2555"/>
        <w:gridCol w:w="255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34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2023年1-9月</w:t>
            </w:r>
          </w:p>
        </w:tc>
        <w:tc>
          <w:tcPr>
            <w:tcW w:w="134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2022年1-9月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收到担保业务担保费取得的现金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收到再担保业务担保费取得的现金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18"/>
              </w:rPr>
              <w:t>收到担保代偿款项现金</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收到利息、手续费及佣金的现金</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收到的税费返还</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tcBorders>
              <w:bottom w:val="single" w:color="5B9BD5" w:sz="4" w:space="0"/>
            </w:tcBorders>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收到其他与经营活动有关的现金</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345" w:type="pct"/>
            <w:shd w:val="pct10" w:color="auto" w:fill="FFFFFF"/>
          </w:tcPr>
          <w:p>
            <w:pPr>
              <w:widowControl/>
              <w:rPr>
                <w:rFonts w:ascii="宋体" w:hAnsi="宋体" w:eastAsia="宋体" w:cs="宋体"/>
                <w:kern w:val="0"/>
                <w:sz w:val="18"/>
                <w:szCs w:val="18"/>
              </w:rPr>
            </w:pPr>
          </w:p>
        </w:tc>
        <w:tc>
          <w:tcPr>
            <w:tcW w:w="1345" w:type="pct"/>
            <w:shd w:val="pct10" w:color="auto" w:fill="FFFFFF"/>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sz w:val="18"/>
                <w:szCs w:val="18"/>
              </w:rPr>
              <w:t>支付担保业务赔付款项的现金</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sz w:val="18"/>
                <w:szCs w:val="18"/>
              </w:rPr>
              <w:t>支付再担保业务赔付款项的现金</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jc w:val="left"/>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18"/>
              </w:rPr>
              <w:t>支付利息、手续费及佣金的现金</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eastAsia="宋体" w:cs="宋体"/>
                <w:sz w:val="18"/>
                <w:szCs w:val="18"/>
              </w:rPr>
            </w:pPr>
            <w:r>
              <w:rPr>
                <w:rFonts w:hint="eastAsia" w:ascii="宋体" w:hAnsi="宋体" w:eastAsia="宋体" w:cs="Times New Roman"/>
                <w:color w:val="000000"/>
                <w:sz w:val="18"/>
                <w:szCs w:val="18"/>
              </w:rPr>
              <w:t>支付给职工以及为职工支付的现金</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eastAsia="宋体" w:cs="宋体"/>
                <w:sz w:val="18"/>
                <w:szCs w:val="18"/>
              </w:rPr>
            </w:pPr>
            <w:r>
              <w:rPr>
                <w:rFonts w:hint="eastAsia" w:ascii="宋体" w:hAnsi="宋体" w:eastAsia="宋体" w:cs="Times New Roman"/>
                <w:color w:val="000000"/>
                <w:sz w:val="18"/>
                <w:szCs w:val="18"/>
              </w:rPr>
              <w:t>支付的各项税费</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color w:val="000000"/>
                <w:sz w:val="18"/>
                <w:szCs w:val="18"/>
              </w:rPr>
              <w:t>支付其他与经营活动有关的现金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345" w:type="pct"/>
            <w:shd w:val="pct10" w:color="auto" w:fill="FFFFFF"/>
          </w:tcPr>
          <w:p>
            <w:pPr>
              <w:widowControl/>
              <w:jc w:val="center"/>
              <w:rPr>
                <w:rFonts w:ascii="宋体" w:hAnsi="宋体" w:eastAsia="宋体" w:cs="宋体"/>
                <w:b/>
                <w:kern w:val="0"/>
                <w:sz w:val="18"/>
                <w:szCs w:val="18"/>
              </w:rPr>
            </w:pPr>
          </w:p>
        </w:tc>
        <w:tc>
          <w:tcPr>
            <w:tcW w:w="1345" w:type="pct"/>
            <w:shd w:val="pct10" w:color="auto" w:fill="FFFFFF"/>
          </w:tcPr>
          <w:p>
            <w:pPr>
              <w:widowControl/>
              <w:jc w:val="center"/>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345" w:type="pct"/>
            <w:shd w:val="pct10" w:color="auto" w:fill="FFFFFF"/>
          </w:tcPr>
          <w:p>
            <w:pPr>
              <w:widowControl/>
              <w:jc w:val="center"/>
              <w:rPr>
                <w:rFonts w:ascii="宋体" w:hAnsi="宋体" w:eastAsia="宋体" w:cs="宋体"/>
                <w:b/>
                <w:kern w:val="0"/>
                <w:sz w:val="18"/>
                <w:szCs w:val="18"/>
              </w:rPr>
            </w:pPr>
          </w:p>
        </w:tc>
        <w:tc>
          <w:tcPr>
            <w:tcW w:w="1345" w:type="pct"/>
            <w:shd w:val="pct10" w:color="auto" w:fill="FFFFFF"/>
          </w:tcPr>
          <w:p>
            <w:pPr>
              <w:widowControl/>
              <w:jc w:val="center"/>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收回投资收到的现金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tcPr>
          <w:p>
            <w:pPr>
              <w:rPr>
                <w:rFonts w:ascii="宋体" w:hAnsi="宋体" w:eastAsia="宋体" w:cs="Times New Roman"/>
                <w:sz w:val="18"/>
                <w:szCs w:val="18"/>
              </w:rPr>
            </w:pPr>
            <w:r>
              <w:rPr>
                <w:rFonts w:ascii="宋体" w:hAnsi="宋体" w:eastAsia="宋体" w:cs="Times New Roman"/>
                <w:sz w:val="18"/>
                <w:szCs w:val="18"/>
              </w:rPr>
              <w:t xml:space="preserve">  其中：收回买入返售收到的现金</w:t>
            </w:r>
          </w:p>
        </w:tc>
        <w:tc>
          <w:tcPr>
            <w:tcW w:w="1345" w:type="pct"/>
            <w:shd w:val="clear" w:color="auto" w:fill="auto"/>
          </w:tcPr>
          <w:p>
            <w:pPr>
              <w:rPr>
                <w:rFonts w:ascii="宋体" w:hAnsi="宋体" w:eastAsia="宋体" w:cs="Times New Roman"/>
                <w:sz w:val="18"/>
                <w:szCs w:val="18"/>
              </w:rPr>
            </w:pPr>
          </w:p>
        </w:tc>
        <w:tc>
          <w:tcPr>
            <w:tcW w:w="1345"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tcPr>
          <w:p>
            <w:pPr>
              <w:rPr>
                <w:rFonts w:ascii="宋体" w:hAnsi="宋体" w:eastAsia="宋体" w:cs="Times New Roman"/>
                <w:sz w:val="18"/>
                <w:szCs w:val="18"/>
              </w:rPr>
            </w:pPr>
            <w:r>
              <w:rPr>
                <w:rFonts w:ascii="宋体" w:hAnsi="宋体" w:eastAsia="宋体" w:cs="Times New Roman"/>
                <w:sz w:val="18"/>
                <w:szCs w:val="18"/>
              </w:rPr>
              <w:t xml:space="preserve">        收回其他投资收到的现金</w:t>
            </w:r>
          </w:p>
        </w:tc>
        <w:tc>
          <w:tcPr>
            <w:tcW w:w="1345" w:type="pct"/>
            <w:shd w:val="clear" w:color="auto" w:fill="auto"/>
          </w:tcPr>
          <w:p>
            <w:pPr>
              <w:rPr>
                <w:rFonts w:ascii="宋体" w:hAnsi="宋体" w:eastAsia="宋体" w:cs="Times New Roman"/>
                <w:sz w:val="18"/>
                <w:szCs w:val="18"/>
              </w:rPr>
            </w:pPr>
          </w:p>
        </w:tc>
        <w:tc>
          <w:tcPr>
            <w:tcW w:w="1345"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取得投资收益收到的现金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处置固定资产、无形资产和其他长期资产收回的现金净额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处置子公司及其他营业单位收到的现金净额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其中</w:t>
            </w:r>
            <w:r>
              <w:rPr>
                <w:rFonts w:hint="eastAsia" w:ascii="宋体" w:hAnsi="宋体" w:eastAsia="宋体" w:cs="Times New Roman"/>
                <w:sz w:val="18"/>
                <w:szCs w:val="18"/>
              </w:rPr>
              <w:t>：买入返售投资支付的现金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其他投资支付的现金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345" w:type="pct"/>
            <w:shd w:val="pct10" w:color="auto" w:fill="FFFFFF"/>
          </w:tcPr>
          <w:p>
            <w:pPr>
              <w:widowControl/>
              <w:rPr>
                <w:rFonts w:ascii="宋体" w:hAnsi="宋体" w:eastAsia="宋体" w:cs="宋体"/>
                <w:kern w:val="0"/>
                <w:sz w:val="18"/>
                <w:szCs w:val="18"/>
              </w:rPr>
            </w:pPr>
          </w:p>
        </w:tc>
        <w:tc>
          <w:tcPr>
            <w:tcW w:w="1345" w:type="pct"/>
            <w:shd w:val="pct10" w:color="auto" w:fill="FFFFFF"/>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345" w:type="pct"/>
            <w:shd w:val="pct10" w:color="auto" w:fill="FFFFFF"/>
          </w:tcPr>
          <w:p>
            <w:pPr>
              <w:widowControl/>
              <w:rPr>
                <w:rFonts w:ascii="宋体" w:hAnsi="宋体" w:eastAsia="宋体" w:cs="宋体"/>
                <w:kern w:val="0"/>
                <w:sz w:val="18"/>
                <w:szCs w:val="18"/>
              </w:rPr>
            </w:pPr>
          </w:p>
        </w:tc>
        <w:tc>
          <w:tcPr>
            <w:tcW w:w="1345" w:type="pct"/>
            <w:shd w:val="pct10" w:color="auto" w:fill="FFFFFF"/>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发行债券收到的现金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卖出回购投资收到的现金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偿付卖出回购投资支付的现金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345" w:type="pct"/>
            <w:shd w:val="pct10" w:color="auto" w:fill="FFFFFF"/>
          </w:tcPr>
          <w:p>
            <w:pPr>
              <w:widowControl/>
              <w:rPr>
                <w:rFonts w:ascii="宋体" w:hAnsi="宋体" w:eastAsia="宋体" w:cs="宋体"/>
                <w:kern w:val="0"/>
                <w:sz w:val="18"/>
                <w:szCs w:val="18"/>
              </w:rPr>
            </w:pPr>
          </w:p>
        </w:tc>
        <w:tc>
          <w:tcPr>
            <w:tcW w:w="1345" w:type="pct"/>
            <w:shd w:val="pct10" w:color="auto" w:fill="FFFFFF"/>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345" w:type="pct"/>
            <w:shd w:val="pct10" w:color="auto" w:fill="FFFFFF"/>
          </w:tcPr>
          <w:p>
            <w:pPr>
              <w:widowControl/>
              <w:rPr>
                <w:rFonts w:ascii="宋体" w:hAnsi="宋体" w:eastAsia="宋体" w:cs="宋体"/>
                <w:kern w:val="0"/>
                <w:sz w:val="18"/>
                <w:szCs w:val="18"/>
              </w:rPr>
            </w:pPr>
          </w:p>
        </w:tc>
        <w:tc>
          <w:tcPr>
            <w:tcW w:w="1345" w:type="pct"/>
            <w:shd w:val="pct10" w:color="auto" w:fill="FFFFFF"/>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bl>
    <w:p>
      <w:pPr>
        <w:rPr>
          <w:rFonts w:ascii="Calibri" w:hAnsi="Calibri" w:eastAsia="宋体" w:cs="Times New Roman"/>
          <w:color w:val="000000"/>
          <w:sz w:val="18"/>
          <w:szCs w:val="18"/>
        </w:rPr>
      </w:pPr>
    </w:p>
    <w:p>
      <w:pPr>
        <w:widowControl/>
        <w:ind w:right="272"/>
        <w:jc w:val="left"/>
        <w:outlineLvl w:val="2"/>
        <w:rPr>
          <w:color w:val="000000"/>
          <w:sz w:val="18"/>
          <w:szCs w:val="18"/>
        </w:rPr>
      </w:pPr>
    </w:p>
    <w:sectPr>
      <w:pgSz w:w="11906" w:h="16838"/>
      <w:pgMar w:top="1440" w:right="1841"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Lohit Devanagari"/>
    <w:panose1 w:val="00000000000000000000"/>
    <w:charset w:val="00"/>
    <w:family w:val="swiss"/>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FangSong">
    <w:panose1 w:val="02010609060101010101"/>
    <w:charset w:val="86"/>
    <w:family w:val="roman"/>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Narrow">
    <w:altName w:val="汉仪叶叶相思体简"/>
    <w:panose1 w:val="00000000000000000000"/>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0000000"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CIDFont+F4">
    <w:altName w:val="汉仪仿宋S"/>
    <w:panose1 w:val="00000000000000000000"/>
    <w:charset w:val="00"/>
    <w:family w:val="roman"/>
    <w:pitch w:val="default"/>
    <w:sig w:usb0="00000000" w:usb1="00000000" w:usb2="00000000" w:usb3="00000000" w:csb0="00000000" w:csb1="00000000"/>
  </w:font>
  <w:font w:name="CIDFont+F1">
    <w:altName w:val="汉仪仿宋S"/>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2812"/>
      <w:docPartObj>
        <w:docPartGallery w:val="autotext"/>
      </w:docPartObj>
    </w:sdtPr>
    <w:sdtEndPr>
      <w:rPr>
        <w:rFonts w:ascii="宋体" w:hAnsi="宋体" w:eastAsia="宋体"/>
        <w:sz w:val="28"/>
      </w:rPr>
    </w:sdtEndPr>
    <w:sdtContent>
      <w:p>
        <w:pPr>
          <w:pStyle w:val="3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3 -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65475"/>
      <w:docPartObj>
        <w:docPartGallery w:val="autotext"/>
      </w:docPartObj>
    </w:sdtPr>
    <w:sdtEndPr>
      <w:rPr>
        <w:rFonts w:ascii="宋体" w:hAnsi="宋体" w:eastAsia="宋体"/>
        <w:sz w:val="28"/>
      </w:rPr>
    </w:sdtEndPr>
    <w:sdtContent>
      <w:p>
        <w:pPr>
          <w:pStyle w:val="3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- 4 -</w:t>
        </w:r>
        <w:r>
          <w:rPr>
            <w:rFonts w:ascii="宋体" w:hAnsi="宋体" w:eastAsia="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935202"/>
    </w:sdtPr>
    <w:sdtEndPr>
      <w:rPr>
        <w:rFonts w:ascii="宋体" w:hAnsi="宋体" w:eastAsia="宋体"/>
        <w:sz w:val="28"/>
      </w:rPr>
    </w:sdtEndPr>
    <w:sdtContent>
      <w:p>
        <w:pPr>
          <w:pStyle w:val="3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21</w:t>
        </w:r>
        <w:r>
          <w:rPr>
            <w:rFonts w:ascii="宋体" w:hAnsi="宋体" w:eastAsia="宋体"/>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1492286"/>
    </w:sdtPr>
    <w:sdtEndPr>
      <w:rPr>
        <w:rFonts w:ascii="宋体" w:hAnsi="宋体" w:eastAsia="宋体"/>
        <w:sz w:val="28"/>
      </w:rPr>
    </w:sdtEndPr>
    <w:sdtContent>
      <w:p>
        <w:pPr>
          <w:pStyle w:val="3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22</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00019"/>
    <w:multiLevelType w:val="multilevel"/>
    <w:tmpl w:val="063000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FA31CA"/>
    <w:multiLevelType w:val="multilevel"/>
    <w:tmpl w:val="16FA31CA"/>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811A47"/>
    <w:multiLevelType w:val="multilevel"/>
    <w:tmpl w:val="20811A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2F37B1"/>
    <w:multiLevelType w:val="multilevel"/>
    <w:tmpl w:val="372F37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373F0F"/>
    <w:multiLevelType w:val="multilevel"/>
    <w:tmpl w:val="52373F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7DC5A7B"/>
    <w:multiLevelType w:val="multilevel"/>
    <w:tmpl w:val="57DC5A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FE0499"/>
    <w:multiLevelType w:val="multilevel"/>
    <w:tmpl w:val="5EFE0499"/>
    <w:lvl w:ilvl="0" w:tentative="0">
      <w:start w:val="1"/>
      <w:numFmt w:val="decimal"/>
      <w:lvlText w:val="%1."/>
      <w:lvlJc w:val="left"/>
      <w:pPr>
        <w:ind w:left="780" w:hanging="360"/>
      </w:pPr>
      <w:rPr>
        <w:rFonts w:hint="default" w:ascii="宋体" w:hAnsi="宋体"/>
        <w:b/>
        <w:color w:val="00000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61E6779"/>
    <w:multiLevelType w:val="multilevel"/>
    <w:tmpl w:val="661E67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CC340D"/>
    <w:multiLevelType w:val="multilevel"/>
    <w:tmpl w:val="7ACC340D"/>
    <w:lvl w:ilvl="0" w:tentative="0">
      <w:start w:val="1"/>
      <w:numFmt w:val="decimal"/>
      <w:lvlText w:val="%1."/>
      <w:lvlJc w:val="left"/>
      <w:pPr>
        <w:ind w:left="360" w:hanging="360"/>
      </w:pPr>
      <w:rPr>
        <w:rFonts w:hint="default" w:ascii="宋体" w:hAnsi="宋体"/>
        <w:b/>
        <w:color w:val="00000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
  </w:num>
  <w:num w:numId="3">
    <w:abstractNumId w:val="8"/>
  </w:num>
  <w:num w:numId="4">
    <w:abstractNumId w:val="0"/>
  </w:num>
  <w:num w:numId="5">
    <w:abstractNumId w:val="7"/>
  </w:num>
  <w:num w:numId="6">
    <w:abstractNumId w:val="2"/>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C2"/>
    <w:rsid w:val="00001177"/>
    <w:rsid w:val="000020A2"/>
    <w:rsid w:val="00002AC8"/>
    <w:rsid w:val="00007E83"/>
    <w:rsid w:val="00010BD6"/>
    <w:rsid w:val="00011356"/>
    <w:rsid w:val="00011937"/>
    <w:rsid w:val="0001280D"/>
    <w:rsid w:val="0001473E"/>
    <w:rsid w:val="00014EBA"/>
    <w:rsid w:val="0001719B"/>
    <w:rsid w:val="00017A56"/>
    <w:rsid w:val="00020005"/>
    <w:rsid w:val="0002545E"/>
    <w:rsid w:val="000271D0"/>
    <w:rsid w:val="000336A4"/>
    <w:rsid w:val="00033D15"/>
    <w:rsid w:val="0004243D"/>
    <w:rsid w:val="00042E57"/>
    <w:rsid w:val="0004489A"/>
    <w:rsid w:val="00050379"/>
    <w:rsid w:val="000507B6"/>
    <w:rsid w:val="00051F06"/>
    <w:rsid w:val="00053D0D"/>
    <w:rsid w:val="000540C3"/>
    <w:rsid w:val="000550C2"/>
    <w:rsid w:val="000561DC"/>
    <w:rsid w:val="00056B71"/>
    <w:rsid w:val="000573FF"/>
    <w:rsid w:val="0005757C"/>
    <w:rsid w:val="0006367D"/>
    <w:rsid w:val="000668B9"/>
    <w:rsid w:val="00067BBF"/>
    <w:rsid w:val="0007387A"/>
    <w:rsid w:val="00074A87"/>
    <w:rsid w:val="000804BC"/>
    <w:rsid w:val="00083FF0"/>
    <w:rsid w:val="00084EB8"/>
    <w:rsid w:val="00086F1D"/>
    <w:rsid w:val="000943F6"/>
    <w:rsid w:val="00096EC5"/>
    <w:rsid w:val="000A152B"/>
    <w:rsid w:val="000A25E7"/>
    <w:rsid w:val="000A38FD"/>
    <w:rsid w:val="000A40E6"/>
    <w:rsid w:val="000A60BE"/>
    <w:rsid w:val="000A6BBF"/>
    <w:rsid w:val="000B0682"/>
    <w:rsid w:val="000B1EA6"/>
    <w:rsid w:val="000B2D31"/>
    <w:rsid w:val="000B3D69"/>
    <w:rsid w:val="000B76EA"/>
    <w:rsid w:val="000C45F3"/>
    <w:rsid w:val="000D03F4"/>
    <w:rsid w:val="000D085A"/>
    <w:rsid w:val="000D72E3"/>
    <w:rsid w:val="000E1697"/>
    <w:rsid w:val="000F182F"/>
    <w:rsid w:val="000F30C9"/>
    <w:rsid w:val="000F41FB"/>
    <w:rsid w:val="000F4317"/>
    <w:rsid w:val="000F5803"/>
    <w:rsid w:val="001005AC"/>
    <w:rsid w:val="001045E2"/>
    <w:rsid w:val="00104B61"/>
    <w:rsid w:val="00114427"/>
    <w:rsid w:val="00115D44"/>
    <w:rsid w:val="0011653E"/>
    <w:rsid w:val="00120EF0"/>
    <w:rsid w:val="00121DF3"/>
    <w:rsid w:val="00124550"/>
    <w:rsid w:val="00124641"/>
    <w:rsid w:val="00130F5E"/>
    <w:rsid w:val="00131598"/>
    <w:rsid w:val="00131F0A"/>
    <w:rsid w:val="00135B08"/>
    <w:rsid w:val="001430D2"/>
    <w:rsid w:val="00143BA8"/>
    <w:rsid w:val="00144A29"/>
    <w:rsid w:val="00150425"/>
    <w:rsid w:val="00152492"/>
    <w:rsid w:val="00152752"/>
    <w:rsid w:val="001530DD"/>
    <w:rsid w:val="00157833"/>
    <w:rsid w:val="001579B7"/>
    <w:rsid w:val="00163781"/>
    <w:rsid w:val="00171154"/>
    <w:rsid w:val="00171A9F"/>
    <w:rsid w:val="00171E68"/>
    <w:rsid w:val="00174568"/>
    <w:rsid w:val="0018251E"/>
    <w:rsid w:val="00183EA1"/>
    <w:rsid w:val="0018400A"/>
    <w:rsid w:val="00185504"/>
    <w:rsid w:val="00186C7F"/>
    <w:rsid w:val="00191483"/>
    <w:rsid w:val="00191E26"/>
    <w:rsid w:val="001941D3"/>
    <w:rsid w:val="00194424"/>
    <w:rsid w:val="0019525A"/>
    <w:rsid w:val="001953A7"/>
    <w:rsid w:val="001A5FDE"/>
    <w:rsid w:val="001A785B"/>
    <w:rsid w:val="001B34BA"/>
    <w:rsid w:val="001B7BD0"/>
    <w:rsid w:val="001C1253"/>
    <w:rsid w:val="001C5D06"/>
    <w:rsid w:val="001C7497"/>
    <w:rsid w:val="001D05AE"/>
    <w:rsid w:val="001D12E7"/>
    <w:rsid w:val="001D6383"/>
    <w:rsid w:val="001E20CE"/>
    <w:rsid w:val="001E22F1"/>
    <w:rsid w:val="001E7A7B"/>
    <w:rsid w:val="001E7F8E"/>
    <w:rsid w:val="001F30EE"/>
    <w:rsid w:val="001F64F9"/>
    <w:rsid w:val="001F6C77"/>
    <w:rsid w:val="001F6F2A"/>
    <w:rsid w:val="002029CF"/>
    <w:rsid w:val="00202A38"/>
    <w:rsid w:val="00202A8C"/>
    <w:rsid w:val="002129C0"/>
    <w:rsid w:val="00217A03"/>
    <w:rsid w:val="00226114"/>
    <w:rsid w:val="00227A0B"/>
    <w:rsid w:val="002314A9"/>
    <w:rsid w:val="00233178"/>
    <w:rsid w:val="002355C8"/>
    <w:rsid w:val="0024353B"/>
    <w:rsid w:val="002457BA"/>
    <w:rsid w:val="002458B1"/>
    <w:rsid w:val="00253E88"/>
    <w:rsid w:val="00255CD0"/>
    <w:rsid w:val="00256708"/>
    <w:rsid w:val="002575E5"/>
    <w:rsid w:val="00257C2C"/>
    <w:rsid w:val="00257DDF"/>
    <w:rsid w:val="00260C63"/>
    <w:rsid w:val="00260D8A"/>
    <w:rsid w:val="00260DB4"/>
    <w:rsid w:val="00263A86"/>
    <w:rsid w:val="00264D48"/>
    <w:rsid w:val="00272685"/>
    <w:rsid w:val="00272A4B"/>
    <w:rsid w:val="0027379D"/>
    <w:rsid w:val="00274272"/>
    <w:rsid w:val="00276EE8"/>
    <w:rsid w:val="002836E2"/>
    <w:rsid w:val="002865E6"/>
    <w:rsid w:val="00286D7E"/>
    <w:rsid w:val="00287296"/>
    <w:rsid w:val="002915DD"/>
    <w:rsid w:val="002916D0"/>
    <w:rsid w:val="002A34B8"/>
    <w:rsid w:val="002A7FB3"/>
    <w:rsid w:val="002B35F7"/>
    <w:rsid w:val="002B3B2E"/>
    <w:rsid w:val="002B4788"/>
    <w:rsid w:val="002B4CDF"/>
    <w:rsid w:val="002C0883"/>
    <w:rsid w:val="002C1F52"/>
    <w:rsid w:val="002C25A3"/>
    <w:rsid w:val="002C2A41"/>
    <w:rsid w:val="002C4C2F"/>
    <w:rsid w:val="002E0E26"/>
    <w:rsid w:val="002E1B34"/>
    <w:rsid w:val="002E7EC7"/>
    <w:rsid w:val="002F0E8E"/>
    <w:rsid w:val="002F1A97"/>
    <w:rsid w:val="00300B88"/>
    <w:rsid w:val="0030546C"/>
    <w:rsid w:val="00306951"/>
    <w:rsid w:val="00316F7B"/>
    <w:rsid w:val="00317D62"/>
    <w:rsid w:val="00317EE8"/>
    <w:rsid w:val="0032068E"/>
    <w:rsid w:val="00321182"/>
    <w:rsid w:val="00322DEE"/>
    <w:rsid w:val="00330AEB"/>
    <w:rsid w:val="0033280D"/>
    <w:rsid w:val="00332AD7"/>
    <w:rsid w:val="00347743"/>
    <w:rsid w:val="003506F5"/>
    <w:rsid w:val="00350C63"/>
    <w:rsid w:val="00350D4D"/>
    <w:rsid w:val="00354662"/>
    <w:rsid w:val="00363165"/>
    <w:rsid w:val="00363EA4"/>
    <w:rsid w:val="003643D1"/>
    <w:rsid w:val="0036686C"/>
    <w:rsid w:val="00366946"/>
    <w:rsid w:val="00372F75"/>
    <w:rsid w:val="003742C8"/>
    <w:rsid w:val="00376869"/>
    <w:rsid w:val="0037766B"/>
    <w:rsid w:val="00377DC5"/>
    <w:rsid w:val="00377DE4"/>
    <w:rsid w:val="00382FBC"/>
    <w:rsid w:val="0038473C"/>
    <w:rsid w:val="00385DDC"/>
    <w:rsid w:val="00390086"/>
    <w:rsid w:val="0039187F"/>
    <w:rsid w:val="00392D64"/>
    <w:rsid w:val="00394BF9"/>
    <w:rsid w:val="003962F2"/>
    <w:rsid w:val="003A23C2"/>
    <w:rsid w:val="003A2A3C"/>
    <w:rsid w:val="003A5E5F"/>
    <w:rsid w:val="003B272C"/>
    <w:rsid w:val="003B2E63"/>
    <w:rsid w:val="003B2EFB"/>
    <w:rsid w:val="003B6EB9"/>
    <w:rsid w:val="003C116C"/>
    <w:rsid w:val="003C1C29"/>
    <w:rsid w:val="003C29B1"/>
    <w:rsid w:val="003C3078"/>
    <w:rsid w:val="003C3296"/>
    <w:rsid w:val="003C4EB3"/>
    <w:rsid w:val="003D12D2"/>
    <w:rsid w:val="003D2BB5"/>
    <w:rsid w:val="003D5A7B"/>
    <w:rsid w:val="003D6C85"/>
    <w:rsid w:val="003F0684"/>
    <w:rsid w:val="003F284A"/>
    <w:rsid w:val="003F3330"/>
    <w:rsid w:val="003F4146"/>
    <w:rsid w:val="004008DD"/>
    <w:rsid w:val="00400F8A"/>
    <w:rsid w:val="00413313"/>
    <w:rsid w:val="00414CD3"/>
    <w:rsid w:val="00415CE7"/>
    <w:rsid w:val="00415DDF"/>
    <w:rsid w:val="00420573"/>
    <w:rsid w:val="00421F5B"/>
    <w:rsid w:val="00434B3C"/>
    <w:rsid w:val="00435718"/>
    <w:rsid w:val="004405B8"/>
    <w:rsid w:val="004452B3"/>
    <w:rsid w:val="00447496"/>
    <w:rsid w:val="0045321F"/>
    <w:rsid w:val="00455B19"/>
    <w:rsid w:val="00456943"/>
    <w:rsid w:val="00456995"/>
    <w:rsid w:val="004603AE"/>
    <w:rsid w:val="004607FB"/>
    <w:rsid w:val="0046128C"/>
    <w:rsid w:val="00465360"/>
    <w:rsid w:val="00471DD3"/>
    <w:rsid w:val="004727B1"/>
    <w:rsid w:val="004746BB"/>
    <w:rsid w:val="00475136"/>
    <w:rsid w:val="00475F3A"/>
    <w:rsid w:val="004777A6"/>
    <w:rsid w:val="00480EF0"/>
    <w:rsid w:val="00484408"/>
    <w:rsid w:val="004875A5"/>
    <w:rsid w:val="004A0A30"/>
    <w:rsid w:val="004A0D50"/>
    <w:rsid w:val="004A3CF3"/>
    <w:rsid w:val="004B2C9D"/>
    <w:rsid w:val="004B3BC1"/>
    <w:rsid w:val="004B5458"/>
    <w:rsid w:val="004B610F"/>
    <w:rsid w:val="004B706B"/>
    <w:rsid w:val="004C4199"/>
    <w:rsid w:val="004C53B5"/>
    <w:rsid w:val="004D02FA"/>
    <w:rsid w:val="004D1C0B"/>
    <w:rsid w:val="004D2457"/>
    <w:rsid w:val="004D4C46"/>
    <w:rsid w:val="004D7D4E"/>
    <w:rsid w:val="004E0CCF"/>
    <w:rsid w:val="004E4567"/>
    <w:rsid w:val="004E5EFB"/>
    <w:rsid w:val="004E6BF8"/>
    <w:rsid w:val="004E7E33"/>
    <w:rsid w:val="004F037F"/>
    <w:rsid w:val="00500BCB"/>
    <w:rsid w:val="00500C10"/>
    <w:rsid w:val="00500EC1"/>
    <w:rsid w:val="00515704"/>
    <w:rsid w:val="005259F6"/>
    <w:rsid w:val="00525DF0"/>
    <w:rsid w:val="00530C3E"/>
    <w:rsid w:val="0053407F"/>
    <w:rsid w:val="00535B76"/>
    <w:rsid w:val="005369D4"/>
    <w:rsid w:val="005372F0"/>
    <w:rsid w:val="00537A8D"/>
    <w:rsid w:val="005417C3"/>
    <w:rsid w:val="005433FB"/>
    <w:rsid w:val="0054556B"/>
    <w:rsid w:val="005479EA"/>
    <w:rsid w:val="00551201"/>
    <w:rsid w:val="00553FD9"/>
    <w:rsid w:val="00556D77"/>
    <w:rsid w:val="00560EDC"/>
    <w:rsid w:val="00562AC0"/>
    <w:rsid w:val="00563487"/>
    <w:rsid w:val="005671D0"/>
    <w:rsid w:val="00567BF4"/>
    <w:rsid w:val="00570428"/>
    <w:rsid w:val="00571080"/>
    <w:rsid w:val="00575365"/>
    <w:rsid w:val="005847DA"/>
    <w:rsid w:val="00586D7A"/>
    <w:rsid w:val="005913F5"/>
    <w:rsid w:val="00591FC0"/>
    <w:rsid w:val="00593544"/>
    <w:rsid w:val="005941BD"/>
    <w:rsid w:val="00594D0B"/>
    <w:rsid w:val="005953CD"/>
    <w:rsid w:val="00595A0A"/>
    <w:rsid w:val="00596BC7"/>
    <w:rsid w:val="00597A37"/>
    <w:rsid w:val="005A07CD"/>
    <w:rsid w:val="005A0C31"/>
    <w:rsid w:val="005A1B56"/>
    <w:rsid w:val="005A1DE9"/>
    <w:rsid w:val="005A2AE0"/>
    <w:rsid w:val="005A2C15"/>
    <w:rsid w:val="005A3099"/>
    <w:rsid w:val="005A38CE"/>
    <w:rsid w:val="005A4F19"/>
    <w:rsid w:val="005A6042"/>
    <w:rsid w:val="005A778A"/>
    <w:rsid w:val="005B00D2"/>
    <w:rsid w:val="005B20F4"/>
    <w:rsid w:val="005B25D4"/>
    <w:rsid w:val="005B3E86"/>
    <w:rsid w:val="005B611A"/>
    <w:rsid w:val="005B6922"/>
    <w:rsid w:val="005B742C"/>
    <w:rsid w:val="005B7A5D"/>
    <w:rsid w:val="005C0F8B"/>
    <w:rsid w:val="005C4AEB"/>
    <w:rsid w:val="005C4C94"/>
    <w:rsid w:val="005D4DBD"/>
    <w:rsid w:val="005F38B1"/>
    <w:rsid w:val="005F6230"/>
    <w:rsid w:val="005F6553"/>
    <w:rsid w:val="00610165"/>
    <w:rsid w:val="00610E75"/>
    <w:rsid w:val="006159FC"/>
    <w:rsid w:val="00622926"/>
    <w:rsid w:val="0062340C"/>
    <w:rsid w:val="0062527D"/>
    <w:rsid w:val="0062548A"/>
    <w:rsid w:val="006279D0"/>
    <w:rsid w:val="00636C60"/>
    <w:rsid w:val="006379FA"/>
    <w:rsid w:val="00637D27"/>
    <w:rsid w:val="006401F9"/>
    <w:rsid w:val="0064165E"/>
    <w:rsid w:val="0064279C"/>
    <w:rsid w:val="006450B4"/>
    <w:rsid w:val="0064538F"/>
    <w:rsid w:val="00650260"/>
    <w:rsid w:val="00650FA6"/>
    <w:rsid w:val="0065162B"/>
    <w:rsid w:val="00651B88"/>
    <w:rsid w:val="006618A5"/>
    <w:rsid w:val="00663371"/>
    <w:rsid w:val="00666608"/>
    <w:rsid w:val="00666C55"/>
    <w:rsid w:val="00667E29"/>
    <w:rsid w:val="00670E01"/>
    <w:rsid w:val="00674E59"/>
    <w:rsid w:val="00676AEA"/>
    <w:rsid w:val="00681F3B"/>
    <w:rsid w:val="0068247B"/>
    <w:rsid w:val="006826F1"/>
    <w:rsid w:val="00682867"/>
    <w:rsid w:val="00683DE5"/>
    <w:rsid w:val="00691FC3"/>
    <w:rsid w:val="006B0482"/>
    <w:rsid w:val="006B08E5"/>
    <w:rsid w:val="006B26F8"/>
    <w:rsid w:val="006B3706"/>
    <w:rsid w:val="006B3E7D"/>
    <w:rsid w:val="006B6A52"/>
    <w:rsid w:val="006C4396"/>
    <w:rsid w:val="006C5291"/>
    <w:rsid w:val="006C67F6"/>
    <w:rsid w:val="006C721B"/>
    <w:rsid w:val="006D047B"/>
    <w:rsid w:val="006D441A"/>
    <w:rsid w:val="006D5FAD"/>
    <w:rsid w:val="006D67A1"/>
    <w:rsid w:val="006D7FEC"/>
    <w:rsid w:val="006E1278"/>
    <w:rsid w:val="006E41F3"/>
    <w:rsid w:val="006E5FFC"/>
    <w:rsid w:val="006E615B"/>
    <w:rsid w:val="006E7CDA"/>
    <w:rsid w:val="006F3372"/>
    <w:rsid w:val="00700486"/>
    <w:rsid w:val="00703810"/>
    <w:rsid w:val="00704979"/>
    <w:rsid w:val="00704A41"/>
    <w:rsid w:val="00705445"/>
    <w:rsid w:val="007060E1"/>
    <w:rsid w:val="00710364"/>
    <w:rsid w:val="00712B21"/>
    <w:rsid w:val="00712D5A"/>
    <w:rsid w:val="007165E5"/>
    <w:rsid w:val="0072178A"/>
    <w:rsid w:val="007220C9"/>
    <w:rsid w:val="00724075"/>
    <w:rsid w:val="0073061E"/>
    <w:rsid w:val="00730796"/>
    <w:rsid w:val="00733768"/>
    <w:rsid w:val="007341C3"/>
    <w:rsid w:val="007355D1"/>
    <w:rsid w:val="00735E06"/>
    <w:rsid w:val="00742524"/>
    <w:rsid w:val="00742EB9"/>
    <w:rsid w:val="00743EEA"/>
    <w:rsid w:val="00744606"/>
    <w:rsid w:val="00746B96"/>
    <w:rsid w:val="00747DF1"/>
    <w:rsid w:val="007568AC"/>
    <w:rsid w:val="007579D4"/>
    <w:rsid w:val="007627FE"/>
    <w:rsid w:val="00762D66"/>
    <w:rsid w:val="00767079"/>
    <w:rsid w:val="00774C89"/>
    <w:rsid w:val="00777A9F"/>
    <w:rsid w:val="00777FA5"/>
    <w:rsid w:val="00782804"/>
    <w:rsid w:val="00784156"/>
    <w:rsid w:val="007855F0"/>
    <w:rsid w:val="00786C0C"/>
    <w:rsid w:val="00787CC7"/>
    <w:rsid w:val="00791BC3"/>
    <w:rsid w:val="00797620"/>
    <w:rsid w:val="007A0A6D"/>
    <w:rsid w:val="007A3EC9"/>
    <w:rsid w:val="007A6D14"/>
    <w:rsid w:val="007A6F85"/>
    <w:rsid w:val="007B0053"/>
    <w:rsid w:val="007B10ED"/>
    <w:rsid w:val="007B2088"/>
    <w:rsid w:val="007B5D1B"/>
    <w:rsid w:val="007C559C"/>
    <w:rsid w:val="007C60CE"/>
    <w:rsid w:val="007D4A20"/>
    <w:rsid w:val="007D4EBC"/>
    <w:rsid w:val="007E6863"/>
    <w:rsid w:val="007E7B27"/>
    <w:rsid w:val="007F1AA4"/>
    <w:rsid w:val="007F40B7"/>
    <w:rsid w:val="007F484A"/>
    <w:rsid w:val="007F7ABB"/>
    <w:rsid w:val="008038BD"/>
    <w:rsid w:val="008058C3"/>
    <w:rsid w:val="00811C54"/>
    <w:rsid w:val="008120A0"/>
    <w:rsid w:val="00812E2D"/>
    <w:rsid w:val="00816A62"/>
    <w:rsid w:val="0082053D"/>
    <w:rsid w:val="008232DE"/>
    <w:rsid w:val="008274BD"/>
    <w:rsid w:val="00827FA7"/>
    <w:rsid w:val="00827FC6"/>
    <w:rsid w:val="00831197"/>
    <w:rsid w:val="00832FCD"/>
    <w:rsid w:val="00835E74"/>
    <w:rsid w:val="00837AEA"/>
    <w:rsid w:val="008401D5"/>
    <w:rsid w:val="00841F8F"/>
    <w:rsid w:val="008436A5"/>
    <w:rsid w:val="00843939"/>
    <w:rsid w:val="00850229"/>
    <w:rsid w:val="00851AC2"/>
    <w:rsid w:val="00852F19"/>
    <w:rsid w:val="00853A08"/>
    <w:rsid w:val="00856E80"/>
    <w:rsid w:val="00860C36"/>
    <w:rsid w:val="0086309D"/>
    <w:rsid w:val="008671B2"/>
    <w:rsid w:val="00876684"/>
    <w:rsid w:val="008771BD"/>
    <w:rsid w:val="00880908"/>
    <w:rsid w:val="00882C01"/>
    <w:rsid w:val="0088309A"/>
    <w:rsid w:val="00884290"/>
    <w:rsid w:val="00890F45"/>
    <w:rsid w:val="00891F70"/>
    <w:rsid w:val="00896C27"/>
    <w:rsid w:val="0089798F"/>
    <w:rsid w:val="00897B59"/>
    <w:rsid w:val="008A1432"/>
    <w:rsid w:val="008A26E7"/>
    <w:rsid w:val="008A2868"/>
    <w:rsid w:val="008A2E3C"/>
    <w:rsid w:val="008A43EA"/>
    <w:rsid w:val="008A625B"/>
    <w:rsid w:val="008B03EC"/>
    <w:rsid w:val="008B0AFD"/>
    <w:rsid w:val="008B1EF7"/>
    <w:rsid w:val="008B30BC"/>
    <w:rsid w:val="008B54E0"/>
    <w:rsid w:val="008B5B7C"/>
    <w:rsid w:val="008C3C59"/>
    <w:rsid w:val="008C4BF5"/>
    <w:rsid w:val="008C4C40"/>
    <w:rsid w:val="008C7851"/>
    <w:rsid w:val="008D1B86"/>
    <w:rsid w:val="008E2FA8"/>
    <w:rsid w:val="008E4549"/>
    <w:rsid w:val="008E6109"/>
    <w:rsid w:val="008E6DEC"/>
    <w:rsid w:val="008E713A"/>
    <w:rsid w:val="008E7D2B"/>
    <w:rsid w:val="008F091B"/>
    <w:rsid w:val="008F25A1"/>
    <w:rsid w:val="008F3317"/>
    <w:rsid w:val="008F59F1"/>
    <w:rsid w:val="008F73B9"/>
    <w:rsid w:val="00900427"/>
    <w:rsid w:val="009026E6"/>
    <w:rsid w:val="00905CC0"/>
    <w:rsid w:val="00905DE4"/>
    <w:rsid w:val="00910B87"/>
    <w:rsid w:val="00912777"/>
    <w:rsid w:val="009146E7"/>
    <w:rsid w:val="00917325"/>
    <w:rsid w:val="0092189B"/>
    <w:rsid w:val="00923872"/>
    <w:rsid w:val="0092589C"/>
    <w:rsid w:val="00931E9E"/>
    <w:rsid w:val="00933B74"/>
    <w:rsid w:val="009347EE"/>
    <w:rsid w:val="00934D19"/>
    <w:rsid w:val="009378CC"/>
    <w:rsid w:val="00943B41"/>
    <w:rsid w:val="00943FFB"/>
    <w:rsid w:val="00946176"/>
    <w:rsid w:val="00946BE3"/>
    <w:rsid w:val="0094788F"/>
    <w:rsid w:val="009479ED"/>
    <w:rsid w:val="009528A6"/>
    <w:rsid w:val="009605BE"/>
    <w:rsid w:val="00961451"/>
    <w:rsid w:val="009648BA"/>
    <w:rsid w:val="00964DAA"/>
    <w:rsid w:val="0096659B"/>
    <w:rsid w:val="00970DD9"/>
    <w:rsid w:val="00971119"/>
    <w:rsid w:val="009755CA"/>
    <w:rsid w:val="00976465"/>
    <w:rsid w:val="009777B3"/>
    <w:rsid w:val="00984C85"/>
    <w:rsid w:val="0099040E"/>
    <w:rsid w:val="009908DA"/>
    <w:rsid w:val="009920D5"/>
    <w:rsid w:val="009935D2"/>
    <w:rsid w:val="009939F3"/>
    <w:rsid w:val="00997278"/>
    <w:rsid w:val="009979A6"/>
    <w:rsid w:val="009A24C1"/>
    <w:rsid w:val="009A3537"/>
    <w:rsid w:val="009A5B44"/>
    <w:rsid w:val="009A5FDA"/>
    <w:rsid w:val="009A6795"/>
    <w:rsid w:val="009B02F1"/>
    <w:rsid w:val="009B256C"/>
    <w:rsid w:val="009B26DC"/>
    <w:rsid w:val="009B27E8"/>
    <w:rsid w:val="009B2A64"/>
    <w:rsid w:val="009B56BE"/>
    <w:rsid w:val="009B7882"/>
    <w:rsid w:val="009C34FC"/>
    <w:rsid w:val="009C3B90"/>
    <w:rsid w:val="009C5C1D"/>
    <w:rsid w:val="009D5492"/>
    <w:rsid w:val="009E48CA"/>
    <w:rsid w:val="009E60C0"/>
    <w:rsid w:val="009E6DCC"/>
    <w:rsid w:val="009F0526"/>
    <w:rsid w:val="009F15BE"/>
    <w:rsid w:val="009F1DEE"/>
    <w:rsid w:val="00A00442"/>
    <w:rsid w:val="00A02A4F"/>
    <w:rsid w:val="00A04FD8"/>
    <w:rsid w:val="00A05DDE"/>
    <w:rsid w:val="00A25344"/>
    <w:rsid w:val="00A266A1"/>
    <w:rsid w:val="00A304B5"/>
    <w:rsid w:val="00A322CE"/>
    <w:rsid w:val="00A324A3"/>
    <w:rsid w:val="00A33D4B"/>
    <w:rsid w:val="00A3592F"/>
    <w:rsid w:val="00A37AFC"/>
    <w:rsid w:val="00A42084"/>
    <w:rsid w:val="00A525C8"/>
    <w:rsid w:val="00A54EB7"/>
    <w:rsid w:val="00A6308F"/>
    <w:rsid w:val="00A67029"/>
    <w:rsid w:val="00A71AF9"/>
    <w:rsid w:val="00A72017"/>
    <w:rsid w:val="00A73A70"/>
    <w:rsid w:val="00A74B71"/>
    <w:rsid w:val="00A74DAF"/>
    <w:rsid w:val="00A769FC"/>
    <w:rsid w:val="00A76B85"/>
    <w:rsid w:val="00A77119"/>
    <w:rsid w:val="00A80006"/>
    <w:rsid w:val="00A81010"/>
    <w:rsid w:val="00A8330A"/>
    <w:rsid w:val="00A83B24"/>
    <w:rsid w:val="00A83BAD"/>
    <w:rsid w:val="00A83F85"/>
    <w:rsid w:val="00A8425B"/>
    <w:rsid w:val="00A85212"/>
    <w:rsid w:val="00A854B3"/>
    <w:rsid w:val="00A869FE"/>
    <w:rsid w:val="00A951F0"/>
    <w:rsid w:val="00AA5539"/>
    <w:rsid w:val="00AA74D6"/>
    <w:rsid w:val="00AB5B12"/>
    <w:rsid w:val="00AB73CC"/>
    <w:rsid w:val="00AB75E4"/>
    <w:rsid w:val="00AC11CA"/>
    <w:rsid w:val="00AC1DFE"/>
    <w:rsid w:val="00AC6AAF"/>
    <w:rsid w:val="00AD03A1"/>
    <w:rsid w:val="00AD5B90"/>
    <w:rsid w:val="00AD7049"/>
    <w:rsid w:val="00AE5541"/>
    <w:rsid w:val="00AE5A72"/>
    <w:rsid w:val="00AF1AFE"/>
    <w:rsid w:val="00AF1D6E"/>
    <w:rsid w:val="00AF1F18"/>
    <w:rsid w:val="00AF4F86"/>
    <w:rsid w:val="00AF5654"/>
    <w:rsid w:val="00AF61BB"/>
    <w:rsid w:val="00AF71E5"/>
    <w:rsid w:val="00B015A9"/>
    <w:rsid w:val="00B0246D"/>
    <w:rsid w:val="00B04083"/>
    <w:rsid w:val="00B0427A"/>
    <w:rsid w:val="00B0457A"/>
    <w:rsid w:val="00B04DD0"/>
    <w:rsid w:val="00B064FA"/>
    <w:rsid w:val="00B1198C"/>
    <w:rsid w:val="00B12EC3"/>
    <w:rsid w:val="00B15303"/>
    <w:rsid w:val="00B1542C"/>
    <w:rsid w:val="00B1582B"/>
    <w:rsid w:val="00B1720F"/>
    <w:rsid w:val="00B20EF4"/>
    <w:rsid w:val="00B220AC"/>
    <w:rsid w:val="00B23C97"/>
    <w:rsid w:val="00B271E6"/>
    <w:rsid w:val="00B27807"/>
    <w:rsid w:val="00B31065"/>
    <w:rsid w:val="00B339F4"/>
    <w:rsid w:val="00B349C1"/>
    <w:rsid w:val="00B3643F"/>
    <w:rsid w:val="00B37A3B"/>
    <w:rsid w:val="00B4031D"/>
    <w:rsid w:val="00B405A2"/>
    <w:rsid w:val="00B41098"/>
    <w:rsid w:val="00B42382"/>
    <w:rsid w:val="00B44FF9"/>
    <w:rsid w:val="00B535BC"/>
    <w:rsid w:val="00B53F9D"/>
    <w:rsid w:val="00B55AE5"/>
    <w:rsid w:val="00B57829"/>
    <w:rsid w:val="00B62403"/>
    <w:rsid w:val="00B62B90"/>
    <w:rsid w:val="00B65041"/>
    <w:rsid w:val="00B66434"/>
    <w:rsid w:val="00B6776A"/>
    <w:rsid w:val="00B70C46"/>
    <w:rsid w:val="00B7304D"/>
    <w:rsid w:val="00B77AEE"/>
    <w:rsid w:val="00B77C56"/>
    <w:rsid w:val="00B77C73"/>
    <w:rsid w:val="00B77D94"/>
    <w:rsid w:val="00B81E02"/>
    <w:rsid w:val="00B82C66"/>
    <w:rsid w:val="00B832ED"/>
    <w:rsid w:val="00B8635F"/>
    <w:rsid w:val="00B87202"/>
    <w:rsid w:val="00B90081"/>
    <w:rsid w:val="00B92CD0"/>
    <w:rsid w:val="00B94B87"/>
    <w:rsid w:val="00B96816"/>
    <w:rsid w:val="00B977FD"/>
    <w:rsid w:val="00BA1418"/>
    <w:rsid w:val="00BA5D86"/>
    <w:rsid w:val="00BA5DEB"/>
    <w:rsid w:val="00BA787D"/>
    <w:rsid w:val="00BB09BA"/>
    <w:rsid w:val="00BC2634"/>
    <w:rsid w:val="00BC382D"/>
    <w:rsid w:val="00BC4C47"/>
    <w:rsid w:val="00BD38EE"/>
    <w:rsid w:val="00BE05C1"/>
    <w:rsid w:val="00BE2771"/>
    <w:rsid w:val="00BE494F"/>
    <w:rsid w:val="00BE57D4"/>
    <w:rsid w:val="00BE76FE"/>
    <w:rsid w:val="00BF0924"/>
    <w:rsid w:val="00BF4656"/>
    <w:rsid w:val="00BF56BA"/>
    <w:rsid w:val="00C03B92"/>
    <w:rsid w:val="00C03BC0"/>
    <w:rsid w:val="00C03D80"/>
    <w:rsid w:val="00C04A46"/>
    <w:rsid w:val="00C05974"/>
    <w:rsid w:val="00C05E6C"/>
    <w:rsid w:val="00C07C52"/>
    <w:rsid w:val="00C11F7A"/>
    <w:rsid w:val="00C12953"/>
    <w:rsid w:val="00C14816"/>
    <w:rsid w:val="00C2135D"/>
    <w:rsid w:val="00C23F77"/>
    <w:rsid w:val="00C2500C"/>
    <w:rsid w:val="00C25676"/>
    <w:rsid w:val="00C258FF"/>
    <w:rsid w:val="00C26DA2"/>
    <w:rsid w:val="00C27B03"/>
    <w:rsid w:val="00C3061B"/>
    <w:rsid w:val="00C32936"/>
    <w:rsid w:val="00C373D3"/>
    <w:rsid w:val="00C41DE3"/>
    <w:rsid w:val="00C4450D"/>
    <w:rsid w:val="00C53706"/>
    <w:rsid w:val="00C55CDB"/>
    <w:rsid w:val="00C56D48"/>
    <w:rsid w:val="00C57604"/>
    <w:rsid w:val="00C648A0"/>
    <w:rsid w:val="00C65A74"/>
    <w:rsid w:val="00C70B13"/>
    <w:rsid w:val="00C71759"/>
    <w:rsid w:val="00C80993"/>
    <w:rsid w:val="00C81DCF"/>
    <w:rsid w:val="00C82184"/>
    <w:rsid w:val="00C8343F"/>
    <w:rsid w:val="00C83627"/>
    <w:rsid w:val="00C8583C"/>
    <w:rsid w:val="00C859C8"/>
    <w:rsid w:val="00C868F8"/>
    <w:rsid w:val="00C86BC3"/>
    <w:rsid w:val="00C86D6B"/>
    <w:rsid w:val="00C96791"/>
    <w:rsid w:val="00CA22FD"/>
    <w:rsid w:val="00CA4D98"/>
    <w:rsid w:val="00CA53DB"/>
    <w:rsid w:val="00CB0537"/>
    <w:rsid w:val="00CB1DB9"/>
    <w:rsid w:val="00CB2907"/>
    <w:rsid w:val="00CB304E"/>
    <w:rsid w:val="00CB7CF3"/>
    <w:rsid w:val="00CC7832"/>
    <w:rsid w:val="00CD04A8"/>
    <w:rsid w:val="00CD05E6"/>
    <w:rsid w:val="00CD20BE"/>
    <w:rsid w:val="00CD228B"/>
    <w:rsid w:val="00CD296A"/>
    <w:rsid w:val="00CD5B8F"/>
    <w:rsid w:val="00CE11C7"/>
    <w:rsid w:val="00CE174E"/>
    <w:rsid w:val="00CE6315"/>
    <w:rsid w:val="00CE794B"/>
    <w:rsid w:val="00CF19AA"/>
    <w:rsid w:val="00CF3296"/>
    <w:rsid w:val="00CF3E26"/>
    <w:rsid w:val="00CF7A71"/>
    <w:rsid w:val="00D01543"/>
    <w:rsid w:val="00D06A7D"/>
    <w:rsid w:val="00D06DC0"/>
    <w:rsid w:val="00D07D80"/>
    <w:rsid w:val="00D07E6A"/>
    <w:rsid w:val="00D11A11"/>
    <w:rsid w:val="00D11B29"/>
    <w:rsid w:val="00D11F5F"/>
    <w:rsid w:val="00D17371"/>
    <w:rsid w:val="00D2169A"/>
    <w:rsid w:val="00D23039"/>
    <w:rsid w:val="00D24D14"/>
    <w:rsid w:val="00D27BF1"/>
    <w:rsid w:val="00D318E0"/>
    <w:rsid w:val="00D34069"/>
    <w:rsid w:val="00D41D1D"/>
    <w:rsid w:val="00D41ED4"/>
    <w:rsid w:val="00D4400A"/>
    <w:rsid w:val="00D44AC8"/>
    <w:rsid w:val="00D50306"/>
    <w:rsid w:val="00D56FB7"/>
    <w:rsid w:val="00D62F79"/>
    <w:rsid w:val="00D6496D"/>
    <w:rsid w:val="00D65414"/>
    <w:rsid w:val="00D666BE"/>
    <w:rsid w:val="00D66D60"/>
    <w:rsid w:val="00D66E50"/>
    <w:rsid w:val="00D672AC"/>
    <w:rsid w:val="00D70C51"/>
    <w:rsid w:val="00D75504"/>
    <w:rsid w:val="00D76EFE"/>
    <w:rsid w:val="00D84980"/>
    <w:rsid w:val="00D84FFF"/>
    <w:rsid w:val="00D8686F"/>
    <w:rsid w:val="00D87773"/>
    <w:rsid w:val="00D90890"/>
    <w:rsid w:val="00D921B1"/>
    <w:rsid w:val="00D93D5C"/>
    <w:rsid w:val="00D94DBD"/>
    <w:rsid w:val="00D9721A"/>
    <w:rsid w:val="00D97476"/>
    <w:rsid w:val="00DA0D72"/>
    <w:rsid w:val="00DA55D2"/>
    <w:rsid w:val="00DA6EDD"/>
    <w:rsid w:val="00DA7BD4"/>
    <w:rsid w:val="00DB315F"/>
    <w:rsid w:val="00DC29A4"/>
    <w:rsid w:val="00DC3AA0"/>
    <w:rsid w:val="00DD15C3"/>
    <w:rsid w:val="00DD3D14"/>
    <w:rsid w:val="00DD5F99"/>
    <w:rsid w:val="00DD655E"/>
    <w:rsid w:val="00DE3348"/>
    <w:rsid w:val="00DE4D89"/>
    <w:rsid w:val="00DE5D43"/>
    <w:rsid w:val="00DF1E84"/>
    <w:rsid w:val="00DF21D7"/>
    <w:rsid w:val="00DF65ED"/>
    <w:rsid w:val="00E0047A"/>
    <w:rsid w:val="00E05439"/>
    <w:rsid w:val="00E10A6E"/>
    <w:rsid w:val="00E175F3"/>
    <w:rsid w:val="00E22626"/>
    <w:rsid w:val="00E24CF2"/>
    <w:rsid w:val="00E251B0"/>
    <w:rsid w:val="00E27E5C"/>
    <w:rsid w:val="00E31E4D"/>
    <w:rsid w:val="00E33556"/>
    <w:rsid w:val="00E34CFC"/>
    <w:rsid w:val="00E350E0"/>
    <w:rsid w:val="00E4192A"/>
    <w:rsid w:val="00E4300F"/>
    <w:rsid w:val="00E4331F"/>
    <w:rsid w:val="00E43D48"/>
    <w:rsid w:val="00E4616D"/>
    <w:rsid w:val="00E467EE"/>
    <w:rsid w:val="00E477B8"/>
    <w:rsid w:val="00E479A5"/>
    <w:rsid w:val="00E50306"/>
    <w:rsid w:val="00E50752"/>
    <w:rsid w:val="00E50E45"/>
    <w:rsid w:val="00E526EA"/>
    <w:rsid w:val="00E552F5"/>
    <w:rsid w:val="00E55770"/>
    <w:rsid w:val="00E55BB3"/>
    <w:rsid w:val="00E57BCF"/>
    <w:rsid w:val="00E76209"/>
    <w:rsid w:val="00E77275"/>
    <w:rsid w:val="00E7736D"/>
    <w:rsid w:val="00E84604"/>
    <w:rsid w:val="00E84BC0"/>
    <w:rsid w:val="00E84BEB"/>
    <w:rsid w:val="00E86438"/>
    <w:rsid w:val="00E87D74"/>
    <w:rsid w:val="00E90C1B"/>
    <w:rsid w:val="00E92E42"/>
    <w:rsid w:val="00E93305"/>
    <w:rsid w:val="00E95617"/>
    <w:rsid w:val="00E970E3"/>
    <w:rsid w:val="00E97C63"/>
    <w:rsid w:val="00EA0D80"/>
    <w:rsid w:val="00EA5F2B"/>
    <w:rsid w:val="00EA7A89"/>
    <w:rsid w:val="00EB4084"/>
    <w:rsid w:val="00EB44E5"/>
    <w:rsid w:val="00EB4D08"/>
    <w:rsid w:val="00EB5FE5"/>
    <w:rsid w:val="00EC254D"/>
    <w:rsid w:val="00EC29A2"/>
    <w:rsid w:val="00EC6E87"/>
    <w:rsid w:val="00EC763E"/>
    <w:rsid w:val="00ED0FF9"/>
    <w:rsid w:val="00ED2C03"/>
    <w:rsid w:val="00ED3FA5"/>
    <w:rsid w:val="00EE07B7"/>
    <w:rsid w:val="00EE09AC"/>
    <w:rsid w:val="00EE1D98"/>
    <w:rsid w:val="00EE6492"/>
    <w:rsid w:val="00EE7689"/>
    <w:rsid w:val="00EE7CDF"/>
    <w:rsid w:val="00EF0838"/>
    <w:rsid w:val="00EF12F4"/>
    <w:rsid w:val="00EF346E"/>
    <w:rsid w:val="00EF7166"/>
    <w:rsid w:val="00F00094"/>
    <w:rsid w:val="00F040B7"/>
    <w:rsid w:val="00F061C6"/>
    <w:rsid w:val="00F079C3"/>
    <w:rsid w:val="00F111F5"/>
    <w:rsid w:val="00F12997"/>
    <w:rsid w:val="00F1652B"/>
    <w:rsid w:val="00F16EF9"/>
    <w:rsid w:val="00F17785"/>
    <w:rsid w:val="00F201E2"/>
    <w:rsid w:val="00F2512E"/>
    <w:rsid w:val="00F25206"/>
    <w:rsid w:val="00F253A5"/>
    <w:rsid w:val="00F27A41"/>
    <w:rsid w:val="00F3213D"/>
    <w:rsid w:val="00F35CEE"/>
    <w:rsid w:val="00F36378"/>
    <w:rsid w:val="00F42789"/>
    <w:rsid w:val="00F441DC"/>
    <w:rsid w:val="00F44698"/>
    <w:rsid w:val="00F4578F"/>
    <w:rsid w:val="00F467A3"/>
    <w:rsid w:val="00F51C83"/>
    <w:rsid w:val="00F55797"/>
    <w:rsid w:val="00F6231A"/>
    <w:rsid w:val="00F73312"/>
    <w:rsid w:val="00F75481"/>
    <w:rsid w:val="00F84A6C"/>
    <w:rsid w:val="00F84D73"/>
    <w:rsid w:val="00F85F62"/>
    <w:rsid w:val="00F900D2"/>
    <w:rsid w:val="00F90585"/>
    <w:rsid w:val="00F938C6"/>
    <w:rsid w:val="00F93ED0"/>
    <w:rsid w:val="00FA3967"/>
    <w:rsid w:val="00FA4272"/>
    <w:rsid w:val="00FA6570"/>
    <w:rsid w:val="00FA69AE"/>
    <w:rsid w:val="00FA703D"/>
    <w:rsid w:val="00FA7EF5"/>
    <w:rsid w:val="00FB3209"/>
    <w:rsid w:val="00FC02DB"/>
    <w:rsid w:val="00FC4285"/>
    <w:rsid w:val="00FC4433"/>
    <w:rsid w:val="00FC45A0"/>
    <w:rsid w:val="00FD0D99"/>
    <w:rsid w:val="00FD133A"/>
    <w:rsid w:val="00FD185C"/>
    <w:rsid w:val="00FD1898"/>
    <w:rsid w:val="00FE03D5"/>
    <w:rsid w:val="00FE0472"/>
    <w:rsid w:val="00FE0AE8"/>
    <w:rsid w:val="00FE125B"/>
    <w:rsid w:val="00FE37FE"/>
    <w:rsid w:val="00FE79A5"/>
    <w:rsid w:val="00FF30CD"/>
    <w:rsid w:val="00FF4B9F"/>
    <w:rsid w:val="00FF53E0"/>
    <w:rsid w:val="00FF7DB0"/>
    <w:rsid w:val="BEFBD2FA"/>
    <w:rsid w:val="FBF6C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keepNext/>
      <w:keepLines/>
      <w:spacing w:before="340" w:after="330" w:line="578" w:lineRule="auto"/>
      <w:outlineLvl w:val="0"/>
    </w:pPr>
    <w:rPr>
      <w:rFonts w:ascii="Calibri" w:hAnsi="Calibri" w:eastAsia="宋体" w:cs="Times New Roman"/>
      <w:b/>
      <w:bCs/>
      <w:kern w:val="44"/>
      <w:sz w:val="44"/>
      <w:szCs w:val="44"/>
      <w:lang w:val="zh-CN" w:eastAsia="zh-CN"/>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lang w:val="zh-CN" w:eastAsia="zh-CN"/>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cs="Times New Roman"/>
      <w:b/>
      <w:bCs/>
      <w:sz w:val="28"/>
      <w:szCs w:val="28"/>
      <w:lang w:val="zh-CN" w:eastAsia="zh-CN"/>
    </w:rPr>
  </w:style>
  <w:style w:type="paragraph" w:styleId="6">
    <w:name w:val="heading 5"/>
    <w:basedOn w:val="1"/>
    <w:next w:val="1"/>
    <w:link w:val="122"/>
    <w:semiHidden/>
    <w:unhideWhenUsed/>
    <w:qFormat/>
    <w:uiPriority w:val="9"/>
    <w:pPr>
      <w:keepNext/>
      <w:keepLines/>
      <w:spacing w:before="280" w:after="290" w:line="376" w:lineRule="auto"/>
      <w:outlineLvl w:val="4"/>
    </w:pPr>
    <w:rPr>
      <w:b/>
      <w:bCs/>
      <w:sz w:val="28"/>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8">
    <w:name w:val="Note Heading"/>
    <w:basedOn w:val="1"/>
    <w:next w:val="1"/>
    <w:link w:val="78"/>
    <w:qFormat/>
    <w:uiPriority w:val="0"/>
    <w:pPr>
      <w:jc w:val="center"/>
    </w:pPr>
    <w:rPr>
      <w:rFonts w:ascii="Times New Roman" w:hAnsi="Times New Roman" w:eastAsia="宋体" w:cs="Times New Roman"/>
      <w:szCs w:val="21"/>
      <w:lang w:val="zh-CN" w:eastAsia="zh-CN"/>
    </w:rPr>
  </w:style>
  <w:style w:type="paragraph" w:styleId="9">
    <w:name w:val="List Bullet 4"/>
    <w:basedOn w:val="1"/>
    <w:qFormat/>
    <w:uiPriority w:val="0"/>
    <w:pPr>
      <w:tabs>
        <w:tab w:val="left" w:pos="720"/>
        <w:tab w:val="left" w:pos="1620"/>
      </w:tabs>
      <w:ind w:left="1620" w:leftChars="600" w:hanging="720"/>
    </w:pPr>
    <w:rPr>
      <w:rFonts w:ascii="Times New Roman" w:hAnsi="Times New Roman" w:eastAsia="宋体" w:cs="Times New Roman"/>
      <w:szCs w:val="21"/>
    </w:rPr>
  </w:style>
  <w:style w:type="paragraph" w:styleId="10">
    <w:name w:val="List Number"/>
    <w:basedOn w:val="1"/>
    <w:qFormat/>
    <w:uiPriority w:val="0"/>
    <w:pPr>
      <w:tabs>
        <w:tab w:val="left" w:pos="360"/>
      </w:tabs>
      <w:ind w:left="360" w:hanging="360"/>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List Bullet"/>
    <w:basedOn w:val="1"/>
    <w:qFormat/>
    <w:uiPriority w:val="0"/>
    <w:pPr>
      <w:tabs>
        <w:tab w:val="left" w:pos="360"/>
        <w:tab w:val="left" w:pos="780"/>
      </w:tabs>
      <w:ind w:left="360" w:leftChars="200" w:hanging="360" w:hangingChars="200"/>
    </w:pPr>
    <w:rPr>
      <w:rFonts w:ascii="Times New Roman" w:hAnsi="Times New Roman" w:eastAsia="宋体" w:cs="Times New Roman"/>
      <w:szCs w:val="21"/>
    </w:rPr>
  </w:style>
  <w:style w:type="paragraph" w:styleId="13">
    <w:name w:val="Document Map"/>
    <w:basedOn w:val="1"/>
    <w:link w:val="88"/>
    <w:qFormat/>
    <w:uiPriority w:val="0"/>
    <w:rPr>
      <w:rFonts w:ascii="宋体" w:hAnsi="Times New Roman" w:eastAsia="宋体" w:cs="Times New Roman"/>
      <w:sz w:val="18"/>
      <w:szCs w:val="18"/>
      <w:lang w:val="zh-CN" w:eastAsia="zh-CN"/>
    </w:rPr>
  </w:style>
  <w:style w:type="paragraph" w:styleId="14">
    <w:name w:val="toa heading"/>
    <w:basedOn w:val="1"/>
    <w:next w:val="1"/>
    <w:qFormat/>
    <w:uiPriority w:val="0"/>
    <w:pPr>
      <w:spacing w:before="120"/>
    </w:pPr>
    <w:rPr>
      <w:rFonts w:ascii="Arial" w:hAnsi="Arial" w:eastAsia="宋体" w:cs="Times New Roman"/>
      <w:b/>
      <w:bCs/>
      <w:szCs w:val="21"/>
    </w:rPr>
  </w:style>
  <w:style w:type="paragraph" w:styleId="15">
    <w:name w:val="annotation text"/>
    <w:basedOn w:val="1"/>
    <w:link w:val="67"/>
    <w:unhideWhenUsed/>
    <w:qFormat/>
    <w:uiPriority w:val="0"/>
    <w:pPr>
      <w:jc w:val="left"/>
    </w:pPr>
    <w:rPr>
      <w:rFonts w:ascii="Calibri" w:hAnsi="Calibri" w:eastAsia="宋体" w:cs="Times New Roman"/>
    </w:rPr>
  </w:style>
  <w:style w:type="paragraph" w:styleId="16">
    <w:name w:val="Salutation"/>
    <w:basedOn w:val="1"/>
    <w:next w:val="1"/>
    <w:link w:val="75"/>
    <w:qFormat/>
    <w:uiPriority w:val="0"/>
    <w:rPr>
      <w:rFonts w:ascii="Times New Roman" w:hAnsi="Times New Roman" w:eastAsia="宋体" w:cs="Times New Roman"/>
      <w:szCs w:val="21"/>
      <w:lang w:val="zh-CN" w:eastAsia="zh-CN"/>
    </w:rPr>
  </w:style>
  <w:style w:type="paragraph" w:styleId="17">
    <w:name w:val="Body Text 3"/>
    <w:basedOn w:val="1"/>
    <w:link w:val="99"/>
    <w:qFormat/>
    <w:uiPriority w:val="0"/>
    <w:pPr>
      <w:spacing w:before="100" w:after="20" w:line="440" w:lineRule="exact"/>
    </w:pPr>
    <w:rPr>
      <w:rFonts w:ascii="楷体_GB2312" w:hAnsi="Times New Roman" w:eastAsia="楷体_GB2312" w:cs="Times New Roman"/>
      <w:color w:val="000000"/>
      <w:sz w:val="24"/>
    </w:rPr>
  </w:style>
  <w:style w:type="paragraph" w:styleId="18">
    <w:name w:val="List Bullet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19">
    <w:name w:val="Body Text"/>
    <w:basedOn w:val="1"/>
    <w:link w:val="83"/>
    <w:qFormat/>
    <w:uiPriority w:val="0"/>
    <w:pPr>
      <w:spacing w:after="120"/>
    </w:pPr>
    <w:rPr>
      <w:rFonts w:ascii="Times New Roman" w:hAnsi="Times New Roman" w:eastAsia="宋体" w:cs="Times New Roman"/>
      <w:szCs w:val="21"/>
      <w:lang w:val="zh-CN" w:eastAsia="zh-CN"/>
    </w:rPr>
  </w:style>
  <w:style w:type="paragraph" w:styleId="20">
    <w:name w:val="Body Text Indent"/>
    <w:basedOn w:val="1"/>
    <w:link w:val="95"/>
    <w:qFormat/>
    <w:uiPriority w:val="0"/>
    <w:pPr>
      <w:adjustRightInd w:val="0"/>
      <w:spacing w:line="300" w:lineRule="auto"/>
      <w:ind w:left="898" w:firstLine="2"/>
      <w:jc w:val="left"/>
      <w:textAlignment w:val="baseline"/>
    </w:pPr>
    <w:rPr>
      <w:rFonts w:ascii="仿宋_GB2312" w:hAnsi="MS Sans Serif" w:eastAsia="仿宋_GB2312" w:cs="Times New Roman"/>
      <w:kern w:val="0"/>
      <w:sz w:val="28"/>
      <w:szCs w:val="20"/>
    </w:rPr>
  </w:style>
  <w:style w:type="paragraph" w:styleId="21">
    <w:name w:val="List Number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22">
    <w:name w:val="Block Text"/>
    <w:basedOn w:val="1"/>
    <w:qFormat/>
    <w:uiPriority w:val="0"/>
    <w:pPr>
      <w:spacing w:after="120"/>
      <w:ind w:left="1440" w:leftChars="700" w:right="1440" w:rightChars="700"/>
    </w:pPr>
    <w:rPr>
      <w:rFonts w:ascii="Times New Roman" w:hAnsi="Times New Roman" w:eastAsia="宋体" w:cs="Times New Roman"/>
      <w:szCs w:val="21"/>
    </w:rPr>
  </w:style>
  <w:style w:type="paragraph" w:styleId="23">
    <w:name w:val="List Bullet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24">
    <w:name w:val="toc 3"/>
    <w:basedOn w:val="1"/>
    <w:next w:val="1"/>
    <w:qFormat/>
    <w:uiPriority w:val="39"/>
    <w:pPr>
      <w:tabs>
        <w:tab w:val="left" w:pos="1680"/>
        <w:tab w:val="right" w:leader="dot" w:pos="8296"/>
      </w:tabs>
      <w:ind w:left="840" w:leftChars="400"/>
    </w:pPr>
    <w:rPr>
      <w:rFonts w:ascii="Times New Roman" w:hAnsi="Times New Roman" w:eastAsia="宋体" w:cs="Times New Roman"/>
      <w:szCs w:val="24"/>
    </w:rPr>
  </w:style>
  <w:style w:type="paragraph" w:styleId="25">
    <w:name w:val="Plain Text"/>
    <w:basedOn w:val="1"/>
    <w:link w:val="82"/>
    <w:qFormat/>
    <w:uiPriority w:val="0"/>
    <w:rPr>
      <w:rFonts w:ascii="宋体" w:hAnsi="Courier New" w:eastAsia="宋体" w:cs="Times New Roman"/>
      <w:szCs w:val="21"/>
      <w:lang w:val="zh-CN" w:eastAsia="zh-CN"/>
    </w:rPr>
  </w:style>
  <w:style w:type="paragraph" w:styleId="26">
    <w:name w:val="List Bullet 5"/>
    <w:basedOn w:val="1"/>
    <w:qFormat/>
    <w:uiPriority w:val="0"/>
    <w:pPr>
      <w:tabs>
        <w:tab w:val="left" w:pos="2040"/>
      </w:tabs>
      <w:ind w:left="2040" w:leftChars="800" w:hanging="360" w:hangingChars="200"/>
    </w:pPr>
    <w:rPr>
      <w:rFonts w:ascii="Times New Roman" w:hAnsi="Times New Roman" w:eastAsia="宋体" w:cs="Times New Roman"/>
      <w:szCs w:val="21"/>
    </w:rPr>
  </w:style>
  <w:style w:type="paragraph" w:styleId="27">
    <w:name w:val="List Number 4"/>
    <w:basedOn w:val="1"/>
    <w:qFormat/>
    <w:uiPriority w:val="0"/>
    <w:pPr>
      <w:tabs>
        <w:tab w:val="left" w:pos="1620"/>
        <w:tab w:val="left" w:pos="2040"/>
      </w:tabs>
      <w:ind w:left="1620" w:leftChars="600" w:hanging="360" w:hangingChars="200"/>
    </w:pPr>
    <w:rPr>
      <w:rFonts w:ascii="Times New Roman" w:hAnsi="Times New Roman" w:eastAsia="宋体" w:cs="Times New Roman"/>
      <w:szCs w:val="21"/>
    </w:rPr>
  </w:style>
  <w:style w:type="paragraph" w:styleId="28">
    <w:name w:val="Date"/>
    <w:basedOn w:val="1"/>
    <w:next w:val="1"/>
    <w:link w:val="79"/>
    <w:qFormat/>
    <w:uiPriority w:val="0"/>
    <w:pPr>
      <w:ind w:left="100" w:leftChars="2500"/>
    </w:pPr>
    <w:rPr>
      <w:rFonts w:ascii="楷体_GB2312" w:hAnsi="Times New Roman" w:eastAsia="楷体_GB2312" w:cs="Times New Roman"/>
      <w:sz w:val="28"/>
      <w:szCs w:val="24"/>
      <w:lang w:val="zh-CN" w:eastAsia="zh-CN"/>
    </w:rPr>
  </w:style>
  <w:style w:type="paragraph" w:styleId="29">
    <w:name w:val="Body Text Indent 2"/>
    <w:basedOn w:val="1"/>
    <w:link w:val="94"/>
    <w:qFormat/>
    <w:uiPriority w:val="0"/>
    <w:pPr>
      <w:adjustRightInd w:val="0"/>
      <w:spacing w:line="360" w:lineRule="auto"/>
      <w:ind w:firstLine="540"/>
      <w:textAlignment w:val="baseline"/>
    </w:pPr>
    <w:rPr>
      <w:rFonts w:ascii="仿宋_GB2312" w:hAnsi="Times New Roman" w:eastAsia="仿宋_GB2312" w:cs="Times New Roman"/>
      <w:kern w:val="0"/>
      <w:sz w:val="24"/>
      <w:szCs w:val="20"/>
    </w:rPr>
  </w:style>
  <w:style w:type="paragraph" w:styleId="30">
    <w:name w:val="Balloon Text"/>
    <w:basedOn w:val="1"/>
    <w:link w:val="65"/>
    <w:unhideWhenUsed/>
    <w:qFormat/>
    <w:uiPriority w:val="0"/>
    <w:rPr>
      <w:rFonts w:ascii="Calibri" w:hAnsi="Calibri" w:eastAsia="宋体" w:cs="Times New Roman"/>
      <w:sz w:val="18"/>
      <w:szCs w:val="18"/>
    </w:rPr>
  </w:style>
  <w:style w:type="paragraph" w:styleId="31">
    <w:name w:val="footer"/>
    <w:basedOn w:val="1"/>
    <w:link w:val="61"/>
    <w:unhideWhenUsed/>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eastAsia="宋体" w:cs="Arial"/>
      <w:szCs w:val="21"/>
    </w:rPr>
  </w:style>
  <w:style w:type="paragraph" w:styleId="33">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628"/>
      </w:tabs>
      <w:jc w:val="left"/>
    </w:pPr>
    <w:rPr>
      <w:rFonts w:ascii="黑体" w:hAnsi="Times New Roman" w:eastAsia="黑体" w:cs="Times New Roman"/>
      <w:sz w:val="44"/>
      <w:szCs w:val="44"/>
    </w:rPr>
  </w:style>
  <w:style w:type="paragraph" w:styleId="35">
    <w:name w:val="Subtitle"/>
    <w:basedOn w:val="1"/>
    <w:next w:val="1"/>
    <w:link w:val="11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36">
    <w:name w:val="List Number 5"/>
    <w:basedOn w:val="1"/>
    <w:qFormat/>
    <w:uiPriority w:val="0"/>
    <w:pPr>
      <w:tabs>
        <w:tab w:val="left" w:pos="1200"/>
        <w:tab w:val="left" w:pos="2040"/>
      </w:tabs>
      <w:ind w:left="2040" w:leftChars="800" w:hanging="360" w:hangingChars="200"/>
    </w:pPr>
    <w:rPr>
      <w:rFonts w:ascii="Times New Roman" w:hAnsi="Times New Roman" w:eastAsia="宋体" w:cs="Times New Roman"/>
      <w:szCs w:val="21"/>
    </w:rPr>
  </w:style>
  <w:style w:type="paragraph" w:styleId="37">
    <w:name w:val="List"/>
    <w:basedOn w:val="1"/>
    <w:qFormat/>
    <w:uiPriority w:val="0"/>
    <w:pPr>
      <w:ind w:left="200" w:hanging="200" w:hangingChars="200"/>
    </w:pPr>
    <w:rPr>
      <w:rFonts w:ascii="Times New Roman" w:hAnsi="Times New Roman" w:eastAsia="宋体" w:cs="Times New Roman"/>
      <w:szCs w:val="21"/>
    </w:rPr>
  </w:style>
  <w:style w:type="paragraph" w:styleId="38">
    <w:name w:val="footnote text"/>
    <w:basedOn w:val="1"/>
    <w:link w:val="90"/>
    <w:qFormat/>
    <w:uiPriority w:val="0"/>
    <w:pPr>
      <w:snapToGrid w:val="0"/>
      <w:jc w:val="left"/>
    </w:pPr>
    <w:rPr>
      <w:rFonts w:ascii="Times New Roman" w:hAnsi="Times New Roman" w:eastAsia="宋体" w:cs="Times New Roman"/>
      <w:sz w:val="18"/>
      <w:szCs w:val="18"/>
      <w:lang w:val="zh-CN" w:eastAsia="zh-CN"/>
    </w:rPr>
  </w:style>
  <w:style w:type="paragraph" w:styleId="39">
    <w:name w:val="Body Text Indent 3"/>
    <w:basedOn w:val="1"/>
    <w:link w:val="97"/>
    <w:qFormat/>
    <w:uiPriority w:val="0"/>
    <w:pPr>
      <w:spacing w:line="180" w:lineRule="atLeast"/>
      <w:ind w:firstLine="538" w:firstLineChars="192"/>
    </w:pPr>
    <w:rPr>
      <w:rFonts w:ascii="楷体_GB2312" w:hAnsi="Times New Roman" w:eastAsia="楷体_GB2312" w:cs="Times New Roman"/>
      <w:sz w:val="28"/>
      <w:szCs w:val="20"/>
    </w:rPr>
  </w:style>
  <w:style w:type="paragraph" w:styleId="40">
    <w:name w:val="toc 2"/>
    <w:basedOn w:val="1"/>
    <w:next w:val="1"/>
    <w:qFormat/>
    <w:uiPriority w:val="39"/>
    <w:pPr>
      <w:tabs>
        <w:tab w:val="right" w:leader="dot" w:pos="9628"/>
      </w:tabs>
      <w:ind w:left="420" w:leftChars="200"/>
    </w:pPr>
    <w:rPr>
      <w:rFonts w:ascii="Times New Roman" w:hAnsi="Times New Roman" w:eastAsia="宋体" w:cs="Times New Roman"/>
      <w:szCs w:val="24"/>
    </w:rPr>
  </w:style>
  <w:style w:type="paragraph" w:styleId="41">
    <w:name w:val="Body Text 2"/>
    <w:basedOn w:val="1"/>
    <w:link w:val="98"/>
    <w:qFormat/>
    <w:uiPriority w:val="0"/>
    <w:pPr>
      <w:tabs>
        <w:tab w:val="left" w:pos="9000"/>
      </w:tabs>
      <w:spacing w:before="100" w:after="20" w:line="440" w:lineRule="exact"/>
      <w:ind w:right="-176"/>
    </w:pPr>
    <w:rPr>
      <w:rFonts w:ascii="楷体_GB2312" w:hAnsi="Times New Roman" w:eastAsia="楷体_GB2312" w:cs="Times New Roman"/>
      <w:sz w:val="28"/>
      <w:szCs w:val="20"/>
    </w:rPr>
  </w:style>
  <w:style w:type="paragraph" w:styleId="4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44">
    <w:name w:val="Title"/>
    <w:basedOn w:val="1"/>
    <w:link w:val="76"/>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68"/>
    <w:unhideWhenUsed/>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qFormat/>
    <w:uiPriority w:val="0"/>
    <w:rPr>
      <w:rFonts w:eastAsia="宋体"/>
      <w:kern w:val="2"/>
      <w:sz w:val="24"/>
      <w:szCs w:val="24"/>
      <w:lang w:val="en-US" w:eastAsia="zh-CN" w:bidi="ar-SA"/>
    </w:rPr>
  </w:style>
  <w:style w:type="character" w:styleId="51">
    <w:name w:val="FollowedHyperlink"/>
    <w:qFormat/>
    <w:uiPriority w:val="0"/>
    <w:rPr>
      <w:rFonts w:eastAsia="宋体"/>
      <w:color w:val="800080"/>
      <w:kern w:val="2"/>
      <w:sz w:val="24"/>
      <w:szCs w:val="24"/>
      <w:u w:val="single"/>
      <w:lang w:val="en-US" w:eastAsia="zh-CN" w:bidi="ar-SA"/>
    </w:rPr>
  </w:style>
  <w:style w:type="character" w:styleId="52">
    <w:name w:val="Emphasis"/>
    <w:basedOn w:val="48"/>
    <w:qFormat/>
    <w:uiPriority w:val="20"/>
    <w:rPr>
      <w:i/>
      <w:iCs/>
    </w:rPr>
  </w:style>
  <w:style w:type="character" w:styleId="53">
    <w:name w:val="Hyperlink"/>
    <w:qFormat/>
    <w:uiPriority w:val="0"/>
    <w:rPr>
      <w:rFonts w:eastAsia="宋体"/>
      <w:color w:val="0000FF"/>
      <w:kern w:val="2"/>
      <w:sz w:val="24"/>
      <w:szCs w:val="24"/>
      <w:u w:val="single"/>
      <w:lang w:val="en-US" w:eastAsia="zh-CN" w:bidi="ar-SA"/>
    </w:rPr>
  </w:style>
  <w:style w:type="character" w:styleId="54">
    <w:name w:val="annotation reference"/>
    <w:basedOn w:val="48"/>
    <w:unhideWhenUsed/>
    <w:qFormat/>
    <w:uiPriority w:val="99"/>
    <w:rPr>
      <w:sz w:val="21"/>
      <w:szCs w:val="21"/>
    </w:rPr>
  </w:style>
  <w:style w:type="character" w:styleId="55">
    <w:name w:val="footnote reference"/>
    <w:qFormat/>
    <w:uiPriority w:val="0"/>
    <w:rPr>
      <w:rFonts w:eastAsia="宋体"/>
      <w:kern w:val="2"/>
      <w:sz w:val="24"/>
      <w:szCs w:val="24"/>
      <w:vertAlign w:val="superscript"/>
      <w:lang w:val="en-US" w:eastAsia="zh-CN" w:bidi="ar-SA"/>
    </w:rPr>
  </w:style>
  <w:style w:type="character" w:customStyle="1" w:styleId="56">
    <w:name w:val="标题 1 Char"/>
    <w:basedOn w:val="48"/>
    <w:link w:val="2"/>
    <w:qFormat/>
    <w:uiPriority w:val="0"/>
    <w:rPr>
      <w:rFonts w:ascii="Calibri" w:hAnsi="Calibri" w:eastAsia="宋体" w:cs="Times New Roman"/>
      <w:b/>
      <w:bCs/>
      <w:kern w:val="44"/>
      <w:sz w:val="44"/>
      <w:szCs w:val="44"/>
      <w:lang w:val="zh-CN" w:eastAsia="zh-CN"/>
    </w:rPr>
  </w:style>
  <w:style w:type="character" w:customStyle="1" w:styleId="57">
    <w:name w:val="标题 2 Char"/>
    <w:basedOn w:val="48"/>
    <w:link w:val="3"/>
    <w:qFormat/>
    <w:uiPriority w:val="0"/>
    <w:rPr>
      <w:rFonts w:asciiTheme="majorHAnsi" w:hAnsiTheme="majorHAnsi" w:eastAsiaTheme="majorEastAsia" w:cstheme="majorBidi"/>
      <w:b/>
      <w:bCs/>
      <w:sz w:val="32"/>
      <w:szCs w:val="32"/>
    </w:rPr>
  </w:style>
  <w:style w:type="character" w:customStyle="1" w:styleId="58">
    <w:name w:val="标题 3 Char1"/>
    <w:link w:val="4"/>
    <w:qFormat/>
    <w:uiPriority w:val="0"/>
    <w:rPr>
      <w:rFonts w:ascii="Times New Roman" w:hAnsi="Times New Roman" w:eastAsia="宋体" w:cs="Times New Roman"/>
      <w:b/>
      <w:bCs/>
      <w:sz w:val="32"/>
      <w:szCs w:val="32"/>
      <w:lang w:val="zh-CN" w:eastAsia="zh-CN"/>
    </w:rPr>
  </w:style>
  <w:style w:type="character" w:customStyle="1" w:styleId="59">
    <w:name w:val="标题 4 Char"/>
    <w:basedOn w:val="48"/>
    <w:link w:val="5"/>
    <w:qFormat/>
    <w:uiPriority w:val="0"/>
    <w:rPr>
      <w:rFonts w:ascii="Arial" w:hAnsi="Arial" w:eastAsia="黑体" w:cs="Times New Roman"/>
      <w:b/>
      <w:bCs/>
      <w:sz w:val="28"/>
      <w:szCs w:val="28"/>
      <w:lang w:val="zh-CN" w:eastAsia="zh-CN"/>
    </w:rPr>
  </w:style>
  <w:style w:type="character" w:customStyle="1" w:styleId="60">
    <w:name w:val="页眉 Char"/>
    <w:basedOn w:val="48"/>
    <w:link w:val="33"/>
    <w:qFormat/>
    <w:uiPriority w:val="0"/>
    <w:rPr>
      <w:sz w:val="18"/>
      <w:szCs w:val="18"/>
    </w:rPr>
  </w:style>
  <w:style w:type="character" w:customStyle="1" w:styleId="61">
    <w:name w:val="页脚 Char"/>
    <w:basedOn w:val="48"/>
    <w:link w:val="31"/>
    <w:qFormat/>
    <w:uiPriority w:val="99"/>
    <w:rPr>
      <w:sz w:val="18"/>
      <w:szCs w:val="18"/>
    </w:rPr>
  </w:style>
  <w:style w:type="character" w:customStyle="1" w:styleId="62">
    <w:name w:val="标题 3 Char"/>
    <w:basedOn w:val="48"/>
    <w:qFormat/>
    <w:uiPriority w:val="0"/>
    <w:rPr>
      <w:b/>
      <w:bCs/>
      <w:sz w:val="32"/>
      <w:szCs w:val="32"/>
    </w:rPr>
  </w:style>
  <w:style w:type="paragraph" w:customStyle="1" w:styleId="63">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paragraph" w:styleId="64">
    <w:name w:val="List Paragraph"/>
    <w:basedOn w:val="1"/>
    <w:qFormat/>
    <w:uiPriority w:val="34"/>
    <w:pPr>
      <w:ind w:firstLine="420" w:firstLineChars="200"/>
    </w:pPr>
    <w:rPr>
      <w:rFonts w:ascii="Calibri" w:hAnsi="Calibri" w:eastAsia="宋体" w:cs="Times New Roman"/>
    </w:rPr>
  </w:style>
  <w:style w:type="character" w:customStyle="1" w:styleId="65">
    <w:name w:val="批注框文本 Char"/>
    <w:basedOn w:val="48"/>
    <w:link w:val="30"/>
    <w:qFormat/>
    <w:uiPriority w:val="0"/>
    <w:rPr>
      <w:rFonts w:ascii="Calibri" w:hAnsi="Calibri" w:eastAsia="宋体" w:cs="Times New Roman"/>
      <w:sz w:val="18"/>
      <w:szCs w:val="18"/>
    </w:rPr>
  </w:style>
  <w:style w:type="paragraph" w:styleId="66">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批注文字 Char"/>
    <w:basedOn w:val="48"/>
    <w:link w:val="15"/>
    <w:qFormat/>
    <w:uiPriority w:val="0"/>
    <w:rPr>
      <w:rFonts w:ascii="Calibri" w:hAnsi="Calibri" w:eastAsia="宋体" w:cs="Times New Roman"/>
    </w:rPr>
  </w:style>
  <w:style w:type="character" w:customStyle="1" w:styleId="68">
    <w:name w:val="批注主题 Char"/>
    <w:basedOn w:val="67"/>
    <w:link w:val="45"/>
    <w:qFormat/>
    <w:uiPriority w:val="0"/>
    <w:rPr>
      <w:rFonts w:ascii="Calibri" w:hAnsi="Calibri" w:eastAsia="宋体" w:cs="Times New Roman"/>
      <w:b/>
      <w:bCs/>
    </w:rPr>
  </w:style>
  <w:style w:type="paragraph" w:customStyle="1" w:styleId="69">
    <w:name w:val="Revision"/>
    <w:hidden/>
    <w:qFormat/>
    <w:uiPriority w:val="99"/>
    <w:rPr>
      <w:rFonts w:ascii="Calibri" w:hAnsi="Calibri" w:eastAsia="宋体" w:cs="Times New Roman"/>
      <w:kern w:val="2"/>
      <w:sz w:val="21"/>
      <w:szCs w:val="22"/>
      <w:lang w:val="en-US" w:eastAsia="zh-CN" w:bidi="ar-SA"/>
    </w:rPr>
  </w:style>
  <w:style w:type="paragraph" w:customStyle="1" w:styleId="70">
    <w:name w:val="Default"/>
    <w:qFormat/>
    <w:uiPriority w:val="0"/>
    <w:pPr>
      <w:widowControl w:val="0"/>
      <w:autoSpaceDE w:val="0"/>
      <w:autoSpaceDN w:val="0"/>
      <w:adjustRightInd w:val="0"/>
    </w:pPr>
    <w:rPr>
      <w:rFonts w:ascii="FangSong" w:hAnsi="Calibri" w:eastAsia="FangSong" w:cs="FangSong"/>
      <w:color w:val="000000"/>
      <w:kern w:val="0"/>
      <w:sz w:val="24"/>
      <w:szCs w:val="24"/>
      <w:lang w:val="en-US" w:eastAsia="zh-CN" w:bidi="ar-SA"/>
    </w:rPr>
  </w:style>
  <w:style w:type="paragraph" w:customStyle="1" w:styleId="71">
    <w:name w:val="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character" w:customStyle="1" w:styleId="72">
    <w:name w:val="cap"/>
    <w:qFormat/>
    <w:uiPriority w:val="0"/>
    <w:rPr>
      <w:rFonts w:eastAsia="宋体"/>
      <w:kern w:val="2"/>
      <w:sz w:val="24"/>
      <w:szCs w:val="24"/>
      <w:lang w:val="en-US" w:eastAsia="zh-CN" w:bidi="ar-SA"/>
    </w:rPr>
  </w:style>
  <w:style w:type="character" w:customStyle="1" w:styleId="73">
    <w:name w:val="notnullcss1"/>
    <w:qFormat/>
    <w:uiPriority w:val="0"/>
    <w:rPr>
      <w:rFonts w:eastAsia="宋体"/>
      <w:color w:val="FF0000"/>
      <w:kern w:val="2"/>
      <w:sz w:val="24"/>
      <w:szCs w:val="24"/>
      <w:lang w:val="en-US" w:eastAsia="zh-CN" w:bidi="ar-SA"/>
    </w:rPr>
  </w:style>
  <w:style w:type="paragraph" w:customStyle="1" w:styleId="74">
    <w:name w:val="xl24"/>
    <w:basedOn w:val="1"/>
    <w:qFormat/>
    <w:uiPriority w:val="0"/>
    <w:pPr>
      <w:widowControl/>
      <w:pBdr>
        <w:bottom w:val="single" w:color="000000" w:sz="12" w:space="0"/>
        <w:right w:val="single" w:color="000000" w:sz="8" w:space="0"/>
      </w:pBdr>
      <w:spacing w:before="100" w:beforeAutospacing="1" w:after="100" w:afterAutospacing="1"/>
      <w:ind w:firstLine="100" w:firstLineChars="100"/>
      <w:jc w:val="left"/>
    </w:pPr>
    <w:rPr>
      <w:rFonts w:ascii="仿宋_GB2312" w:hAnsi="Arial Unicode MS" w:eastAsia="仿宋_GB2312" w:cs="Arial Unicode MS"/>
      <w:kern w:val="0"/>
      <w:sz w:val="24"/>
      <w:szCs w:val="24"/>
    </w:rPr>
  </w:style>
  <w:style w:type="character" w:customStyle="1" w:styleId="75">
    <w:name w:val="称呼 Char"/>
    <w:basedOn w:val="48"/>
    <w:link w:val="16"/>
    <w:qFormat/>
    <w:uiPriority w:val="0"/>
    <w:rPr>
      <w:rFonts w:ascii="Times New Roman" w:hAnsi="Times New Roman" w:eastAsia="宋体" w:cs="Times New Roman"/>
      <w:szCs w:val="21"/>
      <w:lang w:val="zh-CN" w:eastAsia="zh-CN"/>
    </w:rPr>
  </w:style>
  <w:style w:type="character" w:customStyle="1" w:styleId="76">
    <w:name w:val="标题 Char"/>
    <w:link w:val="44"/>
    <w:qFormat/>
    <w:locked/>
    <w:uiPriority w:val="0"/>
    <w:rPr>
      <w:rFonts w:ascii="Arial" w:hAnsi="Arial" w:cs="Arial"/>
      <w:b/>
      <w:bCs/>
      <w:sz w:val="32"/>
      <w:szCs w:val="32"/>
    </w:rPr>
  </w:style>
  <w:style w:type="character" w:customStyle="1" w:styleId="77">
    <w:name w:val="标题 Char1"/>
    <w:basedOn w:val="48"/>
    <w:qFormat/>
    <w:uiPriority w:val="0"/>
    <w:rPr>
      <w:rFonts w:eastAsia="宋体" w:asciiTheme="majorHAnsi" w:hAnsiTheme="majorHAnsi" w:cstheme="majorBidi"/>
      <w:b/>
      <w:bCs/>
      <w:sz w:val="32"/>
      <w:szCs w:val="32"/>
    </w:rPr>
  </w:style>
  <w:style w:type="character" w:customStyle="1" w:styleId="78">
    <w:name w:val="注释标题 Char"/>
    <w:basedOn w:val="48"/>
    <w:link w:val="8"/>
    <w:qFormat/>
    <w:uiPriority w:val="0"/>
    <w:rPr>
      <w:rFonts w:ascii="Times New Roman" w:hAnsi="Times New Roman" w:eastAsia="宋体" w:cs="Times New Roman"/>
      <w:szCs w:val="21"/>
      <w:lang w:val="zh-CN" w:eastAsia="zh-CN"/>
    </w:rPr>
  </w:style>
  <w:style w:type="character" w:customStyle="1" w:styleId="79">
    <w:name w:val="日期 Char"/>
    <w:basedOn w:val="48"/>
    <w:link w:val="28"/>
    <w:qFormat/>
    <w:uiPriority w:val="0"/>
    <w:rPr>
      <w:rFonts w:ascii="楷体_GB2312" w:hAnsi="Times New Roman" w:eastAsia="楷体_GB2312" w:cs="Times New Roman"/>
      <w:sz w:val="28"/>
      <w:szCs w:val="24"/>
      <w:lang w:val="zh-CN" w:eastAsia="zh-CN"/>
    </w:rPr>
  </w:style>
  <w:style w:type="paragraph" w:customStyle="1" w:styleId="80">
    <w:name w:val="Char Char 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paragraph" w:customStyle="1" w:styleId="81">
    <w:name w:val="xl61"/>
    <w:basedOn w:val="1"/>
    <w:qFormat/>
    <w:uiPriority w:val="0"/>
    <w:pPr>
      <w:widowControl/>
      <w:spacing w:before="100" w:after="100"/>
      <w:jc w:val="right"/>
    </w:pPr>
    <w:rPr>
      <w:rFonts w:ascii="Arial Unicode MS" w:hAnsi="Times New Roman" w:eastAsia="Arial Unicode MS" w:cs="Times New Roman"/>
      <w:kern w:val="0"/>
      <w:sz w:val="18"/>
      <w:szCs w:val="18"/>
    </w:rPr>
  </w:style>
  <w:style w:type="character" w:customStyle="1" w:styleId="82">
    <w:name w:val="纯文本 Char"/>
    <w:basedOn w:val="48"/>
    <w:link w:val="25"/>
    <w:qFormat/>
    <w:uiPriority w:val="0"/>
    <w:rPr>
      <w:rFonts w:ascii="宋体" w:hAnsi="Courier New" w:eastAsia="宋体" w:cs="Times New Roman"/>
      <w:szCs w:val="21"/>
      <w:lang w:val="zh-CN" w:eastAsia="zh-CN"/>
    </w:rPr>
  </w:style>
  <w:style w:type="character" w:customStyle="1" w:styleId="83">
    <w:name w:val="正文文本 Char"/>
    <w:basedOn w:val="48"/>
    <w:link w:val="19"/>
    <w:qFormat/>
    <w:uiPriority w:val="0"/>
    <w:rPr>
      <w:rFonts w:ascii="Times New Roman" w:hAnsi="Times New Roman" w:eastAsia="宋体" w:cs="Times New Roman"/>
      <w:szCs w:val="21"/>
      <w:lang w:val="zh-CN" w:eastAsia="zh-CN"/>
    </w:rPr>
  </w:style>
  <w:style w:type="paragraph" w:customStyle="1" w:styleId="84">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eastAsia="宋体" w:cs="Times New Roman"/>
      <w:kern w:val="0"/>
      <w:sz w:val="24"/>
      <w:szCs w:val="24"/>
      <w:lang w:val="en-AU"/>
    </w:rPr>
  </w:style>
  <w:style w:type="paragraph" w:customStyle="1" w:styleId="85">
    <w:name w:val="xl25"/>
    <w:basedOn w:val="1"/>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character" w:customStyle="1" w:styleId="86">
    <w:name w:val="span_"/>
    <w:qFormat/>
    <w:uiPriority w:val="0"/>
    <w:rPr>
      <w:rFonts w:eastAsia="宋体"/>
      <w:kern w:val="2"/>
      <w:sz w:val="24"/>
      <w:szCs w:val="24"/>
      <w:lang w:val="en-US" w:eastAsia="zh-CN" w:bidi="ar-SA"/>
    </w:rPr>
  </w:style>
  <w:style w:type="paragraph" w:customStyle="1" w:styleId="87">
    <w:name w:val="Char"/>
    <w:basedOn w:val="1"/>
    <w:qFormat/>
    <w:uiPriority w:val="0"/>
    <w:pPr>
      <w:ind w:left="765" w:hanging="360"/>
    </w:pPr>
    <w:rPr>
      <w:rFonts w:ascii="Times New Roman" w:hAnsi="Times New Roman" w:eastAsia="宋体" w:cs="Times New Roman"/>
      <w:sz w:val="24"/>
      <w:szCs w:val="24"/>
    </w:rPr>
  </w:style>
  <w:style w:type="character" w:customStyle="1" w:styleId="88">
    <w:name w:val="文档结构图 Char"/>
    <w:basedOn w:val="48"/>
    <w:link w:val="13"/>
    <w:qFormat/>
    <w:uiPriority w:val="0"/>
    <w:rPr>
      <w:rFonts w:ascii="宋体" w:hAnsi="Times New Roman" w:eastAsia="宋体" w:cs="Times New Roman"/>
      <w:sz w:val="18"/>
      <w:szCs w:val="18"/>
      <w:lang w:val="zh-CN" w:eastAsia="zh-CN"/>
    </w:rPr>
  </w:style>
  <w:style w:type="paragraph" w:customStyle="1" w:styleId="89">
    <w:name w:val="Section"/>
    <w:next w:val="1"/>
    <w:qFormat/>
    <w:uiPriority w:val="0"/>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90">
    <w:name w:val="脚注文本 Char"/>
    <w:basedOn w:val="48"/>
    <w:link w:val="38"/>
    <w:qFormat/>
    <w:uiPriority w:val="0"/>
    <w:rPr>
      <w:rFonts w:ascii="Times New Roman" w:hAnsi="Times New Roman" w:eastAsia="宋体" w:cs="Times New Roman"/>
      <w:sz w:val="18"/>
      <w:szCs w:val="18"/>
      <w:lang w:val="zh-CN" w:eastAsia="zh-CN"/>
    </w:rPr>
  </w:style>
  <w:style w:type="character" w:customStyle="1" w:styleId="91">
    <w:name w:val="标题 3 Char Char"/>
    <w:qFormat/>
    <w:uiPriority w:val="0"/>
    <w:rPr>
      <w:b/>
      <w:bCs/>
      <w:kern w:val="2"/>
      <w:sz w:val="32"/>
      <w:szCs w:val="32"/>
    </w:rPr>
  </w:style>
  <w:style w:type="paragraph" w:customStyle="1" w:styleId="92">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93">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character" w:customStyle="1" w:styleId="94">
    <w:name w:val="正文文本缩进 2 Char"/>
    <w:basedOn w:val="48"/>
    <w:link w:val="29"/>
    <w:qFormat/>
    <w:uiPriority w:val="0"/>
    <w:rPr>
      <w:rFonts w:ascii="仿宋_GB2312" w:hAnsi="Times New Roman" w:eastAsia="仿宋_GB2312" w:cs="Times New Roman"/>
      <w:kern w:val="0"/>
      <w:sz w:val="24"/>
      <w:szCs w:val="20"/>
    </w:rPr>
  </w:style>
  <w:style w:type="character" w:customStyle="1" w:styleId="95">
    <w:name w:val="正文文本缩进 Char"/>
    <w:basedOn w:val="48"/>
    <w:link w:val="20"/>
    <w:qFormat/>
    <w:uiPriority w:val="0"/>
    <w:rPr>
      <w:rFonts w:ascii="仿宋_GB2312" w:hAnsi="MS Sans Serif" w:eastAsia="仿宋_GB2312" w:cs="Times New Roman"/>
      <w:kern w:val="0"/>
      <w:sz w:val="28"/>
      <w:szCs w:val="20"/>
    </w:rPr>
  </w:style>
  <w:style w:type="paragraph" w:customStyle="1" w:styleId="96">
    <w:name w:val="标准"/>
    <w:basedOn w:val="1"/>
    <w:qFormat/>
    <w:uiPriority w:val="0"/>
    <w:pPr>
      <w:adjustRightInd w:val="0"/>
      <w:spacing w:line="360" w:lineRule="auto"/>
      <w:jc w:val="center"/>
      <w:textAlignment w:val="baseline"/>
    </w:pPr>
    <w:rPr>
      <w:rFonts w:ascii="Times New Roman" w:hAnsi="Times New Roman" w:eastAsia="宋体" w:cs="Times New Roman"/>
      <w:spacing w:val="28"/>
      <w:kern w:val="0"/>
      <w:sz w:val="72"/>
      <w:szCs w:val="20"/>
    </w:rPr>
  </w:style>
  <w:style w:type="character" w:customStyle="1" w:styleId="97">
    <w:name w:val="正文文本缩进 3 Char"/>
    <w:basedOn w:val="48"/>
    <w:link w:val="39"/>
    <w:qFormat/>
    <w:uiPriority w:val="0"/>
    <w:rPr>
      <w:rFonts w:ascii="楷体_GB2312" w:hAnsi="Times New Roman" w:eastAsia="楷体_GB2312" w:cs="Times New Roman"/>
      <w:sz w:val="28"/>
      <w:szCs w:val="20"/>
    </w:rPr>
  </w:style>
  <w:style w:type="character" w:customStyle="1" w:styleId="98">
    <w:name w:val="正文文本 2 Char"/>
    <w:basedOn w:val="48"/>
    <w:link w:val="41"/>
    <w:qFormat/>
    <w:uiPriority w:val="0"/>
    <w:rPr>
      <w:rFonts w:ascii="楷体_GB2312" w:hAnsi="Times New Roman" w:eastAsia="楷体_GB2312" w:cs="Times New Roman"/>
      <w:sz w:val="28"/>
      <w:szCs w:val="20"/>
    </w:rPr>
  </w:style>
  <w:style w:type="character" w:customStyle="1" w:styleId="99">
    <w:name w:val="正文文本 3 Char"/>
    <w:basedOn w:val="48"/>
    <w:link w:val="17"/>
    <w:qFormat/>
    <w:uiPriority w:val="0"/>
    <w:rPr>
      <w:rFonts w:ascii="楷体_GB2312" w:hAnsi="Times New Roman" w:eastAsia="楷体_GB2312" w:cs="Times New Roman"/>
      <w:color w:val="000000"/>
      <w:sz w:val="24"/>
    </w:rPr>
  </w:style>
  <w:style w:type="character" w:customStyle="1" w:styleId="100">
    <w:name w:val="font14 line-height"/>
    <w:basedOn w:val="48"/>
    <w:qFormat/>
    <w:uiPriority w:val="0"/>
  </w:style>
  <w:style w:type="character" w:customStyle="1" w:styleId="101">
    <w:name w:val="msoins"/>
    <w:basedOn w:val="48"/>
    <w:qFormat/>
    <w:uiPriority w:val="0"/>
  </w:style>
  <w:style w:type="paragraph" w:customStyle="1" w:styleId="102">
    <w:name w:val="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kern w:val="0"/>
      <w:sz w:val="24"/>
      <w:szCs w:val="20"/>
      <w:lang w:val="en-US" w:eastAsia="en-US" w:bidi="ar-SA"/>
    </w:rPr>
  </w:style>
  <w:style w:type="paragraph" w:customStyle="1" w:styleId="104">
    <w:name w:val="font8"/>
    <w:basedOn w:val="1"/>
    <w:qFormat/>
    <w:uiPriority w:val="0"/>
    <w:pPr>
      <w:widowControl/>
      <w:spacing w:before="100" w:beforeAutospacing="1" w:after="100" w:afterAutospacing="1"/>
      <w:jc w:val="left"/>
    </w:pPr>
    <w:rPr>
      <w:rFonts w:hint="eastAsia" w:ascii="宋体" w:hAnsi="宋体" w:eastAsia="宋体" w:cs="Arial Unicode MS"/>
      <w:b/>
      <w:bCs/>
      <w:kern w:val="0"/>
      <w:sz w:val="24"/>
      <w:szCs w:val="24"/>
    </w:rPr>
  </w:style>
  <w:style w:type="paragraph" w:customStyle="1" w:styleId="1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6">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07">
    <w:name w:val="Char Char4"/>
    <w:qFormat/>
    <w:uiPriority w:val="0"/>
    <w:rPr>
      <w:b/>
      <w:bCs/>
      <w:sz w:val="32"/>
      <w:szCs w:val="32"/>
    </w:rPr>
  </w:style>
  <w:style w:type="paragraph" w:customStyle="1" w:styleId="108">
    <w:name w:val="默认段落字体 Para Char Char Char Char Char Char Char"/>
    <w:basedOn w:val="1"/>
    <w:qFormat/>
    <w:uiPriority w:val="0"/>
    <w:rPr>
      <w:rFonts w:ascii="Tahoma" w:hAnsi="Tahoma" w:eastAsia="宋体" w:cs="Times New Roman"/>
      <w:sz w:val="24"/>
      <w:szCs w:val="20"/>
    </w:rPr>
  </w:style>
  <w:style w:type="character" w:customStyle="1" w:styleId="109">
    <w:name w:val="Body Text Char"/>
    <w:link w:val="110"/>
    <w:qFormat/>
    <w:uiPriority w:val="0"/>
    <w:rPr>
      <w:rFonts w:ascii="Georgia"/>
    </w:rPr>
  </w:style>
  <w:style w:type="paragraph" w:customStyle="1" w:styleId="110">
    <w:name w:val="Body Text1"/>
    <w:basedOn w:val="1"/>
    <w:link w:val="109"/>
    <w:qFormat/>
    <w:uiPriority w:val="0"/>
    <w:rPr>
      <w:rFonts w:ascii="Georgia"/>
    </w:rPr>
  </w:style>
  <w:style w:type="paragraph" w:customStyle="1" w:styleId="111">
    <w:name w:val="Char Char Char Char Char Char Char Char Char Char Char Char Char2"/>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2">
    <w:name w:val="Char Char Char Char Char Char1 Char Char Char2"/>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3">
    <w:name w:val="Char Char42"/>
    <w:qFormat/>
    <w:uiPriority w:val="0"/>
    <w:rPr>
      <w:b/>
      <w:bCs/>
      <w:sz w:val="32"/>
      <w:szCs w:val="32"/>
    </w:rPr>
  </w:style>
  <w:style w:type="paragraph" w:customStyle="1" w:styleId="114">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5">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6">
    <w:name w:val="Char Char41"/>
    <w:qFormat/>
    <w:uiPriority w:val="0"/>
    <w:rPr>
      <w:b/>
      <w:bCs/>
      <w:sz w:val="32"/>
      <w:szCs w:val="32"/>
    </w:rPr>
  </w:style>
  <w:style w:type="character" w:customStyle="1" w:styleId="117">
    <w:name w:val="副标题 Char"/>
    <w:basedOn w:val="48"/>
    <w:link w:val="35"/>
    <w:qFormat/>
    <w:uiPriority w:val="11"/>
    <w:rPr>
      <w:rFonts w:eastAsia="宋体" w:asciiTheme="majorHAnsi" w:hAnsiTheme="majorHAnsi" w:cstheme="majorBidi"/>
      <w:b/>
      <w:bCs/>
      <w:kern w:val="28"/>
      <w:sz w:val="32"/>
      <w:szCs w:val="32"/>
    </w:rPr>
  </w:style>
  <w:style w:type="paragraph" w:customStyle="1" w:styleId="118">
    <w:name w:val="Table Paragraph"/>
    <w:basedOn w:val="1"/>
    <w:qFormat/>
    <w:uiPriority w:val="1"/>
    <w:pPr>
      <w:autoSpaceDE w:val="0"/>
      <w:autoSpaceDN w:val="0"/>
      <w:adjustRightInd w:val="0"/>
      <w:ind w:left="562" w:right="564"/>
      <w:jc w:val="left"/>
    </w:pPr>
    <w:rPr>
      <w:rFonts w:ascii="宋体" w:hAnsi="Times New Roman" w:eastAsia="宋体" w:cs="宋体"/>
      <w:kern w:val="0"/>
      <w:sz w:val="24"/>
      <w:szCs w:val="24"/>
    </w:rPr>
  </w:style>
  <w:style w:type="table" w:customStyle="1" w:styleId="119">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网格型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2">
    <w:name w:val="标题 5 Char"/>
    <w:basedOn w:val="48"/>
    <w:link w:val="6"/>
    <w:semiHidden/>
    <w:qFormat/>
    <w:uiPriority w:val="9"/>
    <w:rPr>
      <w:b/>
      <w:bCs/>
      <w:sz w:val="28"/>
      <w:szCs w:val="28"/>
    </w:rPr>
  </w:style>
  <w:style w:type="table" w:customStyle="1" w:styleId="123">
    <w:name w:val="网格型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网格型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Plain Table 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26">
    <w:name w:val="Plain Table 3"/>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27">
    <w:name w:val="TableGrid"/>
    <w:qFormat/>
    <w:uiPriority w:val="0"/>
    <w:rPr>
      <w:rFonts w:ascii="Calibri" w:hAnsi="Calibri" w:eastAsia="宋体" w:cs="Times New Roman"/>
    </w:rPr>
    <w:tblPr>
      <w:tblCellMar>
        <w:top w:w="0" w:type="dxa"/>
        <w:left w:w="0" w:type="dxa"/>
        <w:bottom w:w="0" w:type="dxa"/>
        <w:right w:w="0" w:type="dxa"/>
      </w:tblCellMar>
    </w:tblPr>
  </w:style>
  <w:style w:type="table" w:customStyle="1" w:styleId="128">
    <w:name w:val="网格型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网格型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网格型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型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网格型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网格型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网格型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网格型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无格式表格 21"/>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39">
    <w:name w:val="无格式表格 31"/>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0">
    <w:name w:val="TableGrid1"/>
    <w:qFormat/>
    <w:uiPriority w:val="0"/>
    <w:rPr>
      <w:rFonts w:ascii="Calibri" w:hAnsi="Calibri" w:eastAsia="宋体" w:cs="Times New Roman"/>
    </w:rPr>
    <w:tblPr>
      <w:tblCellMar>
        <w:top w:w="0" w:type="dxa"/>
        <w:left w:w="0" w:type="dxa"/>
        <w:bottom w:w="0" w:type="dxa"/>
        <w:right w:w="0" w:type="dxa"/>
      </w:tblCellMar>
    </w:tblPr>
  </w:style>
  <w:style w:type="table" w:customStyle="1" w:styleId="141">
    <w:name w:val="网格型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网格型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网格型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网格型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网格型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网格型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无格式表格 2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9">
    <w:name w:val="无格式表格 32"/>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50">
    <w:name w:val="TableGrid2"/>
    <w:qFormat/>
    <w:uiPriority w:val="0"/>
    <w:rPr>
      <w:rFonts w:ascii="Calibri" w:hAnsi="Calibri" w:eastAsia="宋体" w:cs="Times New Roman"/>
    </w:rPr>
    <w:tblPr>
      <w:tblCellMar>
        <w:top w:w="0" w:type="dxa"/>
        <w:left w:w="0" w:type="dxa"/>
        <w:bottom w:w="0" w:type="dxa"/>
        <w:right w:w="0" w:type="dxa"/>
      </w:tblCellMar>
    </w:tblPr>
  </w:style>
  <w:style w:type="table" w:customStyle="1" w:styleId="151">
    <w:name w:val="网格型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网格型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网格型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网格型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网格型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网格型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网格型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网格型6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网格型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1">
    <w:name w:val="fontstyle01"/>
    <w:basedOn w:val="48"/>
    <w:qFormat/>
    <w:uiPriority w:val="0"/>
    <w:rPr>
      <w:rFonts w:hint="default" w:ascii="CIDFont+F4" w:hAnsi="CIDFont+F4"/>
      <w:color w:val="000000"/>
      <w:sz w:val="28"/>
      <w:szCs w:val="28"/>
    </w:rPr>
  </w:style>
  <w:style w:type="table" w:customStyle="1" w:styleId="162">
    <w:name w:val="网格型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网格型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无格式表格 23"/>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5">
    <w:name w:val="无格式表格 33"/>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6">
    <w:name w:val="TableGrid3"/>
    <w:qFormat/>
    <w:uiPriority w:val="0"/>
    <w:rPr>
      <w:rFonts w:ascii="Calibri" w:hAnsi="Calibri" w:eastAsia="宋体" w:cs="Times New Roman"/>
    </w:rPr>
    <w:tblPr>
      <w:tblCellMar>
        <w:top w:w="0" w:type="dxa"/>
        <w:left w:w="0" w:type="dxa"/>
        <w:bottom w:w="0" w:type="dxa"/>
        <w:right w:w="0" w:type="dxa"/>
      </w:tblCellMar>
    </w:tblPr>
  </w:style>
  <w:style w:type="table" w:customStyle="1" w:styleId="167">
    <w:name w:val="网格型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网格型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网格型6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
    <w:name w:val="网格型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网格型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网格型6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网格型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网格型8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网格型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1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网格型1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网格型1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网格型1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网格型1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网格型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网格型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4">
    <w:name w:val="fontstyle21"/>
    <w:basedOn w:val="48"/>
    <w:qFormat/>
    <w:uiPriority w:val="0"/>
    <w:rPr>
      <w:rFonts w:hint="default" w:ascii="CIDFont+F1" w:hAnsi="CIDFont+F1"/>
      <w:color w:val="000000"/>
      <w:sz w:val="28"/>
      <w:szCs w:val="28"/>
    </w:rPr>
  </w:style>
  <w:style w:type="table" w:customStyle="1" w:styleId="185">
    <w:name w:val="网格型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网格型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无格式表格 24"/>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88">
    <w:name w:val="无格式表格 34"/>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89">
    <w:name w:val="TableGrid4"/>
    <w:qFormat/>
    <w:uiPriority w:val="0"/>
    <w:rPr>
      <w:rFonts w:ascii="Calibri" w:hAnsi="Calibri" w:eastAsia="宋体" w:cs="Times New Roman"/>
    </w:rPr>
    <w:tblPr>
      <w:tblCellMar>
        <w:top w:w="0" w:type="dxa"/>
        <w:left w:w="0" w:type="dxa"/>
        <w:bottom w:w="0" w:type="dxa"/>
        <w:right w:w="0" w:type="dxa"/>
      </w:tblCellMar>
    </w:tblPr>
  </w:style>
  <w:style w:type="table" w:customStyle="1" w:styleId="190">
    <w:name w:val="网格型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网格型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网格型6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网格型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网格型5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网格型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网格型7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网格型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网格型9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网格型10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网格型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网格型1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网格型1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网格型1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网格型1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网格型1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1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网格型2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网格型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无格式表格 211"/>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10">
    <w:name w:val="无格式表格 311"/>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11">
    <w:name w:val="TableGrid5"/>
    <w:qFormat/>
    <w:uiPriority w:val="0"/>
    <w:rPr>
      <w:rFonts w:ascii="Calibri" w:hAnsi="Calibri" w:eastAsia="宋体" w:cs="Times New Roman"/>
    </w:rPr>
    <w:tblPr>
      <w:tblCellMar>
        <w:top w:w="0" w:type="dxa"/>
        <w:left w:w="0" w:type="dxa"/>
        <w:bottom w:w="0" w:type="dxa"/>
        <w:right w:w="0" w:type="dxa"/>
      </w:tblCellMar>
    </w:tblPr>
  </w:style>
  <w:style w:type="table" w:customStyle="1" w:styleId="212">
    <w:name w:val="网格型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3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6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4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网格型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网格型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网格型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8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网格型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网格型10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1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网格型1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网格型1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网格型1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
    <w:name w:val="网格型1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网格型1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网格型1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9">
    <w:name w:val="网格型1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网格型1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网格型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网格型1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无格式表格 25"/>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4">
    <w:name w:val="无格式表格 35"/>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5">
    <w:name w:val="TableGrid6"/>
    <w:qFormat/>
    <w:uiPriority w:val="0"/>
    <w:rPr>
      <w:rFonts w:ascii="Calibri" w:hAnsi="Calibri" w:eastAsia="宋体" w:cs="Times New Roman"/>
    </w:rPr>
    <w:tblPr>
      <w:tblCellMar>
        <w:top w:w="0" w:type="dxa"/>
        <w:left w:w="0" w:type="dxa"/>
        <w:bottom w:w="0" w:type="dxa"/>
        <w:right w:w="0" w:type="dxa"/>
      </w:tblCellMar>
    </w:tblPr>
  </w:style>
  <w:style w:type="table" w:customStyle="1" w:styleId="236">
    <w:name w:val="网格型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网格型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网格型6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网格型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网格型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1">
    <w:name w:val="网格型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网格型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网格型8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网格型9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网格型10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网格型1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
    <w:name w:val="网格型1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网格型1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网格型1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网格型1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网格型1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网格型1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
    <w:name w:val="网格型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网格型1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2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网格型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网格型1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8">
    <w:name w:val="网格型29"/>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
    <w:name w:val="网格型11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0">
    <w:name w:val="修订1"/>
    <w:hidden/>
    <w:qFormat/>
    <w:uiPriority w:val="99"/>
    <w:rPr>
      <w:rFonts w:ascii="Calibri" w:hAnsi="Calibri" w:eastAsia="宋体" w:cs="Times New Roman"/>
      <w:kern w:val="2"/>
      <w:sz w:val="21"/>
      <w:szCs w:val="22"/>
      <w:lang w:val="en-US" w:eastAsia="zh-CN" w:bidi="ar-SA"/>
    </w:rPr>
  </w:style>
  <w:style w:type="table" w:customStyle="1" w:styleId="261">
    <w:name w:val="无格式表格 21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2">
    <w:name w:val="无格式表格 312"/>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3">
    <w:name w:val="TableGrid7"/>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paragraph" w:customStyle="1" w:styleId="26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65">
    <w:name w:val="网格型210"/>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6">
    <w:name w:val="网格型3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网格型61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8">
    <w:name w:val="网格型4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网格型5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网格型68"/>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1">
    <w:name w:val="网格型7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2">
    <w:name w:val="网格型8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3">
    <w:name w:val="网格型96"/>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4">
    <w:name w:val="网格型10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5">
    <w:name w:val="网格型118"/>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网格型12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
    <w:name w:val="网格型13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
    <w:name w:val="网格型14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
    <w:name w:val="网格型15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
    <w:name w:val="网格型16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
    <w:name w:val="网格型17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
    <w:name w:val="网格型183"/>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
    <w:name w:val="网格型193"/>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
    <w:name w:val="网格型3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5">
    <w:name w:val="网格型1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6">
    <w:name w:val="无格式表格 26"/>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7">
    <w:name w:val="无格式表格 36"/>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8">
    <w:name w:val="TableGrid8"/>
    <w:qFormat/>
    <w:uiPriority w:val="0"/>
    <w:rPr>
      <w:rFonts w:ascii="Calibri" w:hAnsi="Calibri" w:eastAsia="宋体" w:cs="Times New Roman"/>
    </w:rPr>
    <w:tblPr>
      <w:tblCellMar>
        <w:top w:w="0" w:type="dxa"/>
        <w:left w:w="0" w:type="dxa"/>
        <w:bottom w:w="0" w:type="dxa"/>
        <w:right w:w="0" w:type="dxa"/>
      </w:tblCellMar>
    </w:tblPr>
  </w:style>
  <w:style w:type="table" w:customStyle="1" w:styleId="289">
    <w:name w:val="网格型2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
    <w:name w:val="网格型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
    <w:name w:val="网格型6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
    <w:name w:val="网格型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
    <w:name w:val="网格型5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
    <w:name w:val="网格型6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
    <w:name w:val="网格型7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
    <w:name w:val="网格型8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
    <w:name w:val="网格型9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
    <w:name w:val="网格型10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
    <w:name w:val="网格型1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网格型1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
    <w:name w:val="网格型1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
    <w:name w:val="网格型1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3">
    <w:name w:val="网格型1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
    <w:name w:val="网格型1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
    <w:name w:val="网格型1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
    <w:name w:val="网格型1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7">
    <w:name w:val="网格型1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8">
    <w:name w:val="无格式表格 213"/>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9">
    <w:name w:val="无格式表格 313"/>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0">
    <w:name w:val="TableGrid11"/>
    <w:qFormat/>
    <w:uiPriority w:val="0"/>
    <w:rPr>
      <w:rFonts w:ascii="Calibri" w:hAnsi="Calibri" w:eastAsia="宋体" w:cs="Times New Roman"/>
    </w:rPr>
    <w:tblPr>
      <w:tblCellMar>
        <w:top w:w="0" w:type="dxa"/>
        <w:left w:w="0" w:type="dxa"/>
        <w:bottom w:w="0" w:type="dxa"/>
        <w:right w:w="0" w:type="dxa"/>
      </w:tblCellMar>
    </w:tblPr>
  </w:style>
  <w:style w:type="table" w:customStyle="1" w:styleId="311">
    <w:name w:val="网格型2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
    <w:name w:val="网格型3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
    <w:name w:val="网格型6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
    <w:name w:val="网格型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
    <w:name w:val="网格型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
    <w:name w:val="网格型1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
    <w:name w:val="网格型6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
    <w:name w:val="网格型1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
    <w:name w:val="网格型1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
    <w:name w:val="网格型8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
    <w:name w:val="网格型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
    <w:name w:val="网格型10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
    <w:name w:val="网格型1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
    <w:name w:val="网格型1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
    <w:name w:val="网格型1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
    <w:name w:val="网格型7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7">
    <w:name w:val="网格型2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
    <w:name w:val="网格型3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9">
    <w:name w:val="网格型1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
    <w:name w:val="网格型3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1">
    <w:name w:val="网格型1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2">
    <w:name w:val="无格式表格 27"/>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33">
    <w:name w:val="无格式表格 37"/>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34">
    <w:name w:val="TableGrid9"/>
    <w:qFormat/>
    <w:uiPriority w:val="0"/>
    <w:rPr>
      <w:rFonts w:ascii="Calibri" w:hAnsi="Calibri" w:eastAsia="宋体" w:cs="Times New Roman"/>
    </w:rPr>
    <w:tblPr>
      <w:tblCellMar>
        <w:top w:w="0" w:type="dxa"/>
        <w:left w:w="0" w:type="dxa"/>
        <w:bottom w:w="0" w:type="dxa"/>
        <w:right w:w="0" w:type="dxa"/>
      </w:tblCellMar>
    </w:tblPr>
  </w:style>
  <w:style w:type="table" w:customStyle="1" w:styleId="335">
    <w:name w:val="网格型2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
    <w:name w:val="网格型3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
    <w:name w:val="网格型6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
    <w:name w:val="网格型4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
    <w:name w:val="网格型5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0">
    <w:name w:val="网格型6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
    <w:name w:val="网格型7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
    <w:name w:val="网格型8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3">
    <w:name w:val="网格型9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
    <w:name w:val="网格型10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
    <w:name w:val="网格型1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6">
    <w:name w:val="网格型1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3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型14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
    <w:name w:val="网格型1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
    <w:name w:val="网格型1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1">
    <w:name w:val="网格型1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
    <w:name w:val="网格型4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3">
    <w:name w:val="网格型1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4">
    <w:name w:val="无格式表格 28"/>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55">
    <w:name w:val="无格式表格 38"/>
    <w:basedOn w:val="46"/>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56">
    <w:name w:val="TableGrid10"/>
    <w:qFormat/>
    <w:uiPriority w:val="0"/>
    <w:rPr>
      <w:rFonts w:ascii="Calibri" w:hAnsi="Calibri" w:eastAsia="宋体" w:cs="Times New Roman"/>
    </w:rPr>
    <w:tblPr>
      <w:tblCellMar>
        <w:top w:w="0" w:type="dxa"/>
        <w:left w:w="0" w:type="dxa"/>
        <w:bottom w:w="0" w:type="dxa"/>
        <w:right w:w="0" w:type="dxa"/>
      </w:tblCellMar>
    </w:tblPr>
  </w:style>
  <w:style w:type="table" w:customStyle="1" w:styleId="357">
    <w:name w:val="网格型2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
    <w:name w:val="网格型3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
    <w:name w:val="网格型6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0">
    <w:name w:val="网格型4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1">
    <w:name w:val="网格型5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2">
    <w:name w:val="网格型6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3">
    <w:name w:val="网格型7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4">
    <w:name w:val="网格型8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5">
    <w:name w:val="网格型9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6">
    <w:name w:val="网格型10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7">
    <w:name w:val="网格型1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8">
    <w:name w:val="网格型12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9">
    <w:name w:val="网格型1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0">
    <w:name w:val="网格型1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1">
    <w:name w:val="网格型15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2">
    <w:name w:val="网格型1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3">
    <w:name w:val="网格型17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4">
    <w:name w:val="网格型185"/>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5">
    <w:name w:val="网格型216"/>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6">
    <w:name w:val="网格型1811"/>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7">
    <w:name w:val="网格型222"/>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8">
    <w:name w:val="网格型314"/>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9">
    <w:name w:val="网格型195"/>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0">
    <w:name w:val="网格型5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1">
    <w:name w:val="网格型6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2">
    <w:name w:val="修订11"/>
    <w:hidden/>
    <w:qFormat/>
    <w:uiPriority w:val="99"/>
    <w:rPr>
      <w:rFonts w:ascii="Calibri" w:hAnsi="Calibri" w:eastAsia="宋体" w:cs="Times New Roman"/>
      <w:kern w:val="2"/>
      <w:sz w:val="21"/>
      <w:szCs w:val="22"/>
      <w:lang w:val="en-US" w:eastAsia="zh-CN" w:bidi="ar-SA"/>
    </w:rPr>
  </w:style>
  <w:style w:type="paragraph" w:customStyle="1" w:styleId="383">
    <w:name w:val="TOC 标题1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84">
    <w:name w:val="网格型70"/>
    <w:basedOn w:val="4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7558</Words>
  <Characters>43081</Characters>
  <Lines>359</Lines>
  <Paragraphs>101</Paragraphs>
  <TotalTime>271</TotalTime>
  <ScaleCrop>false</ScaleCrop>
  <LinksUpToDate>false</LinksUpToDate>
  <CharactersWithSpaces>50538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2021-08-13T01:24:00Z</dcterms:created>
  <dc:creator>帅嘉伟sjw</dc:creator>
  <cp:lastModifiedBy>gaoduo</cp:lastModifiedBy>
  <cp:lastPrinted>2020-01-17T00:15:00Z</cp:lastPrinted>
  <dcterms:modified xsi:type="dcterms:W3CDTF">2023-09-21T08:48:47Z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