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ind w:firstLine="723"/>
        <w:rPr>
          <w:rFonts w:ascii="方正大标宋简体" w:eastAsia="方正大标宋简体" w:cs="Times New Roman"/>
          <w:b/>
          <w:color w:val="000000" w:themeColor="text1"/>
          <w:sz w:val="36"/>
          <w14:textFill>
            <w14:solidFill>
              <w14:schemeClr w14:val="tx1"/>
            </w14:solidFill>
          </w14:textFill>
        </w:rPr>
      </w:pPr>
      <w:bookmarkStart w:id="116" w:name="_GoBack"/>
      <w:bookmarkEnd w:id="116"/>
    </w:p>
    <w:p>
      <w:pPr>
        <w:spacing w:before="144" w:line="440" w:lineRule="exact"/>
        <w:ind w:firstLine="723"/>
        <w:rPr>
          <w:rFonts w:ascii="方正大标宋简体" w:eastAsia="方正大标宋简体" w:cs="Times New Roman"/>
          <w:b/>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42"/>
          <w:szCs w:val="42"/>
          <w:lang w:val="en"/>
          <w14:textFill>
            <w14:solidFill>
              <w14:schemeClr w14:val="tx1"/>
            </w14:solidFill>
          </w14:textFill>
        </w:rPr>
      </w:pPr>
      <w:r>
        <w:rPr>
          <w:rFonts w:hint="eastAsia" w:ascii="方正大标宋简体" w:eastAsia="方正大标宋简体" w:cs="Times New Roman"/>
          <w:color w:val="000000" w:themeColor="text1"/>
          <w:sz w:val="42"/>
          <w:szCs w:val="42"/>
          <w:lang w:val="en"/>
          <w14:textFill>
            <w14:solidFill>
              <w14:schemeClr w14:val="tx1"/>
            </w14:solidFill>
          </w14:textFill>
        </w:rPr>
        <w:t>退市公司可转换公司债券业务</w:t>
      </w: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通关测试方案</w:t>
      </w: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720"/>
        <w:rPr>
          <w:rFonts w:ascii="方正大标宋简体"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ascii="方正大标宋简体"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二三年九月</w:t>
      </w:r>
    </w:p>
    <w:p>
      <w:pPr>
        <w:tabs>
          <w:tab w:val="center" w:pos="4153"/>
          <w:tab w:val="left" w:pos="5595"/>
        </w:tabs>
        <w:spacing w:before="144"/>
        <w:ind w:firstLine="643"/>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32"/>
          <w14:textFill>
            <w14:solidFill>
              <w14:schemeClr w14:val="tx1"/>
            </w14:solidFill>
          </w14:textFill>
        </w:rPr>
        <w:tab/>
      </w:r>
      <w:r>
        <w:rPr>
          <w:rFonts w:eastAsia="方正仿宋简体" w:cs="Times New Roman"/>
          <w:b/>
          <w:color w:val="000000" w:themeColor="text1"/>
          <w:sz w:val="28"/>
          <w14:textFill>
            <w14:solidFill>
              <w14:schemeClr w14:val="tx1"/>
            </w14:solidFill>
          </w14:textFill>
        </w:rPr>
        <w:t>关于本文档</w:t>
      </w:r>
      <w:r>
        <w:rPr>
          <w:rFonts w:eastAsia="方正仿宋简体" w:cs="Times New Roman"/>
          <w:b/>
          <w:color w:val="000000" w:themeColor="text1"/>
          <w:sz w:val="28"/>
          <w14:textFill>
            <w14:solidFill>
              <w14:schemeClr w14:val="tx1"/>
            </w14:solidFill>
          </w14:textFill>
        </w:rPr>
        <w:tab/>
      </w:r>
    </w:p>
    <w:p>
      <w:pPr>
        <w:spacing w:before="144"/>
        <w:ind w:firstLine="480"/>
        <w:jc w:val="center"/>
        <w:rPr>
          <w:rFonts w:eastAsia="方正仿宋简体" w:cs="Times New Roman"/>
          <w:color w:val="000000" w:themeColor="text1"/>
          <w14:textFill>
            <w14:solidFill>
              <w14:schemeClr w14:val="tx1"/>
            </w14:solidFill>
          </w14:textFill>
        </w:rPr>
      </w:pPr>
    </w:p>
    <w:tbl>
      <w:tblPr>
        <w:tblStyle w:val="36"/>
        <w:tblW w:w="8505" w:type="dxa"/>
        <w:jc w:val="center"/>
        <w:tblLayout w:type="fixed"/>
        <w:tblCellMar>
          <w:top w:w="0" w:type="dxa"/>
          <w:left w:w="108" w:type="dxa"/>
          <w:bottom w:w="0" w:type="dxa"/>
          <w:right w:w="108" w:type="dxa"/>
        </w:tblCellMar>
      </w:tblPr>
      <w:tblGrid>
        <w:gridCol w:w="1515"/>
        <w:gridCol w:w="1604"/>
        <w:gridCol w:w="5386"/>
      </w:tblGrid>
      <w:tr>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14:textFill>
                  <w14:solidFill>
                    <w14:schemeClr w14:val="tx1"/>
                  </w14:solidFill>
                </w14:textFill>
              </w:rPr>
              <w:t>退市公司可转换公司债券业务通关测试方案</w:t>
            </w:r>
          </w:p>
        </w:tc>
      </w:tr>
      <w:tr>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14:textFill>
                  <w14:solidFill>
                    <w14:schemeClr w14:val="tx1"/>
                  </w14:solidFill>
                </w14:textFill>
              </w:rPr>
            </w:pPr>
          </w:p>
        </w:tc>
      </w:tr>
      <w:tr>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5"/>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5"/>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spacing w:before="187"/>
              <w:ind w:firstLine="0" w:firstLineChars="0"/>
              <w:jc w:val="center"/>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V1.0</w:t>
            </w:r>
          </w:p>
        </w:tc>
        <w:tc>
          <w:tcPr>
            <w:tcW w:w="1604" w:type="dxa"/>
            <w:tcBorders>
              <w:top w:val="single" w:color="auto" w:sz="4" w:space="0"/>
              <w:left w:val="single" w:color="auto" w:sz="4" w:space="0"/>
              <w:bottom w:val="single" w:color="auto" w:sz="4" w:space="0"/>
              <w:right w:val="single" w:color="auto" w:sz="4" w:space="0"/>
            </w:tcBorders>
            <w:vAlign w:val="center"/>
          </w:tcPr>
          <w:p>
            <w:pPr>
              <w:pStyle w:val="74"/>
              <w:spacing w:before="187"/>
              <w:ind w:firstLine="0" w:firstLineChars="0"/>
              <w:jc w:val="center"/>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202</w:t>
            </w:r>
            <w:r>
              <w:rPr>
                <w:rFonts w:hint="eastAsia" w:ascii="Times New Roman" w:hAnsi="Times New Roman" w:eastAsia="方正仿宋简体"/>
                <w:color w:val="000000" w:themeColor="text1"/>
                <w:szCs w:val="24"/>
                <w14:textFill>
                  <w14:solidFill>
                    <w14:schemeClr w14:val="tx1"/>
                  </w14:solidFill>
                </w14:textFill>
              </w:rPr>
              <w:t>3</w:t>
            </w:r>
            <w:r>
              <w:rPr>
                <w:rFonts w:ascii="Times New Roman" w:hAnsi="Times New Roman" w:eastAsia="方正仿宋简体"/>
                <w:color w:val="000000" w:themeColor="text1"/>
                <w:szCs w:val="24"/>
                <w14:textFill>
                  <w14:solidFill>
                    <w14:schemeClr w14:val="tx1"/>
                  </w14:solidFill>
                </w14:textFill>
              </w:rPr>
              <w:t>.9.5</w:t>
            </w:r>
          </w:p>
        </w:tc>
        <w:tc>
          <w:tcPr>
            <w:tcW w:w="5386" w:type="dxa"/>
            <w:tcBorders>
              <w:top w:val="single" w:color="auto" w:sz="4" w:space="0"/>
              <w:left w:val="single" w:color="auto" w:sz="4" w:space="0"/>
              <w:bottom w:val="sing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ascii="Times New Roman" w:hAnsi="Times New Roman" w:eastAsia="方正仿宋简体"/>
                <w:color w:val="000000" w:themeColor="text1"/>
                <w:szCs w:val="24"/>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0" w:firstLineChars="0"/>
              <w:jc w:val="center"/>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58" w:right="1588" w:bottom="1758" w:left="1588" w:header="851" w:footer="992" w:gutter="0"/>
          <w:pgNumType w:start="1"/>
          <w:cols w:space="720" w:num="1"/>
          <w:docGrid w:type="lines" w:linePitch="326" w:charSpace="0"/>
        </w:sectPr>
      </w:pPr>
    </w:p>
    <w:p>
      <w:pPr>
        <w:pageBreakBefore/>
        <w:spacing w:before="187" w:after="156" w:afterLines="50"/>
        <w:ind w:firstLine="723"/>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296"/>
        </w:tabs>
        <w:ind w:firstLine="480"/>
        <w:rPr>
          <w:rFonts w:asciiTheme="minorHAnsi" w:hAnsiTheme="minorHAnsi" w:eastAsiaTheme="minorEastAsia" w:cstheme="minorBidi"/>
          <w:sz w:val="21"/>
        </w:rPr>
      </w:pPr>
      <w:r>
        <w:rPr>
          <w:rStyle w:val="43"/>
        </w:rPr>
        <w:fldChar w:fldCharType="begin"/>
      </w:r>
      <w:r>
        <w:rPr>
          <w:rStyle w:val="43"/>
          <w:rFonts w:eastAsia="方正仿宋简体"/>
        </w:rPr>
        <w:instrText xml:space="preserve"> TOC \o "1-3" \h \z \u </w:instrText>
      </w:r>
      <w:r>
        <w:rPr>
          <w:rStyle w:val="43"/>
        </w:rPr>
        <w:fldChar w:fldCharType="separate"/>
      </w:r>
      <w:r>
        <w:fldChar w:fldCharType="begin"/>
      </w:r>
      <w:r>
        <w:instrText xml:space="preserve"> HYPERLINK \l "_Toc145352476" </w:instrText>
      </w:r>
      <w:r>
        <w:fldChar w:fldCharType="separate"/>
      </w:r>
      <w:r>
        <w:rPr>
          <w:rStyle w:val="43"/>
          <w:rFonts w:hint="eastAsia"/>
        </w:rPr>
        <w:t>一、测试目的和背景</w:t>
      </w:r>
      <w:r>
        <w:tab/>
      </w:r>
      <w:r>
        <w:fldChar w:fldCharType="begin"/>
      </w:r>
      <w:r>
        <w:instrText xml:space="preserve"> PAGEREF _Toc145352476 \h </w:instrText>
      </w:r>
      <w:r>
        <w:fldChar w:fldCharType="separate"/>
      </w:r>
      <w:r>
        <w:t>- 1 -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"_Toc145352477" </w:instrText>
      </w:r>
      <w:r>
        <w:fldChar w:fldCharType="separate"/>
      </w:r>
      <w:r>
        <w:rPr>
          <w:rStyle w:val="43"/>
          <w:rFonts w:hint="eastAsia"/>
        </w:rPr>
        <w:t>二、参测机构</w:t>
      </w:r>
      <w:r>
        <w:tab/>
      </w:r>
      <w:r>
        <w:fldChar w:fldCharType="begin"/>
      </w:r>
      <w:r>
        <w:instrText xml:space="preserve"> PAGEREF _Toc145352477 \h </w:instrText>
      </w:r>
      <w:r>
        <w:fldChar w:fldCharType="separate"/>
      </w:r>
      <w:r>
        <w:t>- 1 -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"_Toc145352478" </w:instrText>
      </w:r>
      <w:r>
        <w:fldChar w:fldCharType="separate"/>
      </w:r>
      <w:r>
        <w:rPr>
          <w:rStyle w:val="43"/>
          <w:rFonts w:hint="eastAsia"/>
        </w:rPr>
        <w:t>三．参考技术规范</w:t>
      </w:r>
      <w:r>
        <w:tab/>
      </w:r>
      <w:r>
        <w:fldChar w:fldCharType="begin"/>
      </w:r>
      <w:r>
        <w:instrText xml:space="preserve"> PAGEREF _Toc145352478 \h </w:instrText>
      </w:r>
      <w:r>
        <w:fldChar w:fldCharType="separate"/>
      </w:r>
      <w:r>
        <w:t>- 2 -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"_Toc145352479" </w:instrText>
      </w:r>
      <w:r>
        <w:fldChar w:fldCharType="separate"/>
      </w:r>
      <w:r>
        <w:rPr>
          <w:rStyle w:val="43"/>
          <w:rFonts w:hint="eastAsia"/>
        </w:rPr>
        <w:t>四、参测技术系统</w:t>
      </w:r>
      <w:r>
        <w:tab/>
      </w:r>
      <w:r>
        <w:fldChar w:fldCharType="begin"/>
      </w:r>
      <w:r>
        <w:instrText xml:space="preserve"> PAGEREF _Toc145352479 \h </w:instrText>
      </w:r>
      <w:r>
        <w:fldChar w:fldCharType="separate"/>
      </w:r>
      <w:r>
        <w:t>- 2 -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"_Toc145352480" </w:instrText>
      </w:r>
      <w:r>
        <w:fldChar w:fldCharType="separate"/>
      </w:r>
      <w:r>
        <w:rPr>
          <w:rStyle w:val="43"/>
          <w:rFonts w:hint="eastAsia"/>
        </w:rPr>
        <w:t>五、测试时间安排</w:t>
      </w:r>
      <w:r>
        <w:tab/>
      </w:r>
      <w:r>
        <w:fldChar w:fldCharType="begin"/>
      </w:r>
      <w:r>
        <w:instrText xml:space="preserve"> PAGEREF _Toc145352480 \h </w:instrText>
      </w:r>
      <w:r>
        <w:fldChar w:fldCharType="separate"/>
      </w:r>
      <w:r>
        <w:t>- 2 -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"_Toc145352481" </w:instrText>
      </w:r>
      <w:r>
        <w:fldChar w:fldCharType="separate"/>
      </w:r>
      <w:r>
        <w:rPr>
          <w:rStyle w:val="43"/>
          <w:rFonts w:hint="eastAsia"/>
        </w:rPr>
        <w:t>六、 测试内容</w:t>
      </w:r>
      <w:r>
        <w:tab/>
      </w:r>
      <w:r>
        <w:fldChar w:fldCharType="begin"/>
      </w:r>
      <w:r>
        <w:instrText xml:space="preserve"> PAGEREF _Toc145352481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"_Toc145352482" </w:instrText>
      </w:r>
      <w:r>
        <w:fldChar w:fldCharType="separate"/>
      </w:r>
      <w:r>
        <w:rPr>
          <w:rStyle w:val="43"/>
          <w:rFonts w:hint="eastAsia"/>
        </w:rPr>
        <w:t>七、 测试场景</w:t>
      </w:r>
      <w:r>
        <w:tab/>
      </w:r>
      <w:r>
        <w:fldChar w:fldCharType="begin"/>
      </w:r>
      <w:r>
        <w:instrText xml:space="preserve"> PAGEREF _Toc145352482 \h </w:instrText>
      </w:r>
      <w:r>
        <w:fldChar w:fldCharType="separate"/>
      </w:r>
      <w:r>
        <w:t>- 6 -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"_Toc145352483" </w:instrText>
      </w:r>
      <w:r>
        <w:fldChar w:fldCharType="separate"/>
      </w:r>
      <w:r>
        <w:rPr>
          <w:rStyle w:val="43"/>
          <w:rFonts w:hint="eastAsia"/>
        </w:rPr>
        <w:t>（一） 测试场景</w:t>
      </w:r>
      <w:r>
        <w:tab/>
      </w:r>
      <w:r>
        <w:fldChar w:fldCharType="begin"/>
      </w:r>
      <w:r>
        <w:instrText xml:space="preserve"> PAGEREF _Toc145352483 \h </w:instrText>
      </w:r>
      <w:r>
        <w:fldChar w:fldCharType="separate"/>
      </w:r>
      <w:r>
        <w:t>- 6 -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"_Toc145352484" </w:instrText>
      </w:r>
      <w:r>
        <w:fldChar w:fldCharType="separate"/>
      </w:r>
      <w:r>
        <w:rPr>
          <w:rStyle w:val="43"/>
          <w:rFonts w:hint="eastAsia"/>
        </w:rPr>
        <w:t>（二） 证券信息</w:t>
      </w:r>
      <w:r>
        <w:tab/>
      </w:r>
      <w:r>
        <w:fldChar w:fldCharType="begin"/>
      </w:r>
      <w:r>
        <w:instrText xml:space="preserve"> PAGEREF _Toc145352484 \h </w:instrText>
      </w:r>
      <w:r>
        <w:fldChar w:fldCharType="separate"/>
      </w:r>
      <w:r>
        <w:t>- 6 -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"_Toc145352485" </w:instrText>
      </w:r>
      <w:r>
        <w:fldChar w:fldCharType="separate"/>
      </w:r>
      <w:r>
        <w:rPr>
          <w:rStyle w:val="43"/>
          <w:rFonts w:hint="eastAsia"/>
        </w:rPr>
        <w:t>八、 测试数据准备</w:t>
      </w:r>
      <w:r>
        <w:tab/>
      </w:r>
      <w:r>
        <w:fldChar w:fldCharType="begin"/>
      </w:r>
      <w:r>
        <w:instrText xml:space="preserve"> PAGEREF _Toc145352485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"_Toc145352486" </w:instrText>
      </w:r>
      <w:r>
        <w:fldChar w:fldCharType="separate"/>
      </w:r>
      <w:r>
        <w:rPr>
          <w:rStyle w:val="43"/>
          <w:rFonts w:hint="eastAsia"/>
        </w:rPr>
        <w:t>（一）证券行情和证券信息</w:t>
      </w:r>
      <w:r>
        <w:tab/>
      </w:r>
      <w:r>
        <w:fldChar w:fldCharType="begin"/>
      </w:r>
      <w:r>
        <w:instrText xml:space="preserve"> PAGEREF _Toc145352486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"_Toc145352487" </w:instrText>
      </w:r>
      <w:r>
        <w:fldChar w:fldCharType="separate"/>
      </w:r>
      <w:r>
        <w:rPr>
          <w:rStyle w:val="43"/>
          <w:rFonts w:hint="eastAsia"/>
        </w:rPr>
        <w:t>（二）证券账户、交易单元、托管单元及持仓</w:t>
      </w:r>
      <w:r>
        <w:tab/>
      </w:r>
      <w:r>
        <w:fldChar w:fldCharType="begin"/>
      </w:r>
      <w:r>
        <w:instrText xml:space="preserve"> PAGEREF _Toc145352487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"_Toc145352488" </w:instrText>
      </w:r>
      <w:r>
        <w:fldChar w:fldCharType="separate"/>
      </w:r>
      <w:r>
        <w:rPr>
          <w:rStyle w:val="43"/>
          <w:rFonts w:hint="eastAsia"/>
        </w:rPr>
        <w:t>（三）挂牌公司分层信息</w:t>
      </w:r>
      <w:r>
        <w:tab/>
      </w:r>
      <w:r>
        <w:fldChar w:fldCharType="begin"/>
      </w:r>
      <w:r>
        <w:instrText xml:space="preserve"> PAGEREF _Toc145352488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"_Toc145352489" </w:instrText>
      </w:r>
      <w:r>
        <w:fldChar w:fldCharType="separate"/>
      </w:r>
      <w:r>
        <w:rPr>
          <w:rStyle w:val="43"/>
          <w:rFonts w:hint="eastAsia"/>
        </w:rPr>
        <w:t>（四）交易网关、行情网关和结算网关</w:t>
      </w:r>
      <w:r>
        <w:tab/>
      </w:r>
      <w:r>
        <w:fldChar w:fldCharType="begin"/>
      </w:r>
      <w:r>
        <w:instrText xml:space="preserve"> PAGEREF _Toc145352489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"_Toc145352490" </w:instrText>
      </w:r>
      <w:r>
        <w:fldChar w:fldCharType="separate"/>
      </w:r>
      <w:r>
        <w:rPr>
          <w:rStyle w:val="43"/>
          <w:rFonts w:hint="eastAsia"/>
        </w:rPr>
        <w:t>（五）</w:t>
      </w:r>
      <w:r>
        <w:rPr>
          <w:rStyle w:val="43"/>
        </w:rPr>
        <w:t>FDEP</w:t>
      </w:r>
      <w:r>
        <w:rPr>
          <w:rStyle w:val="43"/>
          <w:rFonts w:hint="eastAsia"/>
        </w:rPr>
        <w:t>小站</w:t>
      </w:r>
      <w:r>
        <w:tab/>
      </w:r>
      <w:r>
        <w:fldChar w:fldCharType="begin"/>
      </w:r>
      <w:r>
        <w:instrText xml:space="preserve"> PAGEREF _Toc145352490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"_Toc145352491" </w:instrText>
      </w:r>
      <w:r>
        <w:fldChar w:fldCharType="separate"/>
      </w:r>
      <w:r>
        <w:rPr>
          <w:rStyle w:val="43"/>
          <w:rFonts w:hint="eastAsia"/>
        </w:rPr>
        <w:t>九、 测试系统接入方式</w:t>
      </w:r>
      <w:r>
        <w:tab/>
      </w:r>
      <w:r>
        <w:fldChar w:fldCharType="begin"/>
      </w:r>
      <w:r>
        <w:instrText xml:space="preserve"> PAGEREF _Toc145352491 \h </w:instrText>
      </w:r>
      <w:r>
        <w:fldChar w:fldCharType="separate"/>
      </w:r>
      <w:r>
        <w:t>- 9 -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"_Toc145352492" </w:instrText>
      </w:r>
      <w:r>
        <w:fldChar w:fldCharType="separate"/>
      </w:r>
      <w:r>
        <w:rPr>
          <w:rStyle w:val="43"/>
          <w:rFonts w:hint="eastAsia"/>
        </w:rPr>
        <w:t>（一）参测机构接入深证通</w:t>
      </w:r>
      <w:r>
        <w:tab/>
      </w:r>
      <w:r>
        <w:fldChar w:fldCharType="begin"/>
      </w:r>
      <w:r>
        <w:instrText xml:space="preserve"> PAGEREF _Toc145352492 \h </w:instrText>
      </w:r>
      <w:r>
        <w:fldChar w:fldCharType="separate"/>
      </w:r>
      <w:r>
        <w:t>- 9 -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"_Toc145352493" </w:instrText>
      </w:r>
      <w:r>
        <w:fldChar w:fldCharType="separate"/>
      </w:r>
      <w:r>
        <w:rPr>
          <w:rStyle w:val="43"/>
          <w:rFonts w:hint="eastAsia"/>
        </w:rPr>
        <w:t>（二）参测机构接入中国结算</w:t>
      </w:r>
      <w:r>
        <w:tab/>
      </w:r>
      <w:r>
        <w:fldChar w:fldCharType="begin"/>
      </w:r>
      <w:r>
        <w:instrText xml:space="preserve"> PAGEREF _Toc145352493 \h </w:instrText>
      </w:r>
      <w:r>
        <w:fldChar w:fldCharType="separate"/>
      </w:r>
      <w:r>
        <w:t>- 9 -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"_Toc145352494" </w:instrText>
      </w:r>
      <w:r>
        <w:fldChar w:fldCharType="separate"/>
      </w:r>
      <w:r>
        <w:rPr>
          <w:rStyle w:val="43"/>
          <w:rFonts w:hint="eastAsia"/>
        </w:rPr>
        <w:t>（三）测试相关软件下载</w:t>
      </w:r>
      <w:r>
        <w:tab/>
      </w:r>
      <w:r>
        <w:fldChar w:fldCharType="begin"/>
      </w:r>
      <w:r>
        <w:instrText xml:space="preserve"> PAGEREF _Toc145352494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"_Toc145352495" </w:instrText>
      </w:r>
      <w:r>
        <w:fldChar w:fldCharType="separate"/>
      </w:r>
      <w:r>
        <w:rPr>
          <w:rStyle w:val="43"/>
          <w:rFonts w:hint="eastAsia"/>
        </w:rPr>
        <w:t>十、 测试要求及注意事项</w:t>
      </w:r>
      <w:r>
        <w:tab/>
      </w:r>
      <w:r>
        <w:fldChar w:fldCharType="begin"/>
      </w:r>
      <w:r>
        <w:instrText xml:space="preserve"> PAGEREF _Toc145352495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"_Toc145352496" </w:instrText>
      </w:r>
      <w:r>
        <w:fldChar w:fldCharType="separate"/>
      </w:r>
      <w:r>
        <w:rPr>
          <w:rStyle w:val="43"/>
          <w:rFonts w:hint="eastAsia"/>
        </w:rPr>
        <w:t>十一、 联系方式</w:t>
      </w:r>
      <w:r>
        <w:tab/>
      </w:r>
      <w:r>
        <w:fldChar w:fldCharType="begin"/>
      </w:r>
      <w:r>
        <w:instrText xml:space="preserve"> PAGEREF _Toc145352496 \h </w:instrText>
      </w:r>
      <w:r>
        <w:fldChar w:fldCharType="separate"/>
      </w:r>
      <w:r>
        <w:t>- 11 -</w:t>
      </w:r>
      <w:r>
        <w:fldChar w:fldCharType="end"/>
      </w:r>
      <w: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2"/>
        <w:spacing w:before="163" w:after="163"/>
        <w:ind w:firstLine="600"/>
      </w:pPr>
      <w:bookmarkStart w:id="0" w:name="_Toc366050038"/>
      <w:bookmarkStart w:id="1" w:name="_Toc374957903"/>
      <w:bookmarkStart w:id="2" w:name="_Toc145352476"/>
      <w:bookmarkStart w:id="3" w:name="_Toc376285219"/>
      <w:bookmarkStart w:id="4" w:name="_Toc374381845"/>
      <w:bookmarkStart w:id="5" w:name="_Toc374381911"/>
      <w:bookmarkStart w:id="6" w:name="_Toc119341896"/>
      <w:bookmarkStart w:id="7" w:name="_Toc375070721"/>
      <w:bookmarkStart w:id="8" w:name="_Toc375557957"/>
      <w:bookmarkStart w:id="9" w:name="_Toc376597516"/>
      <w:bookmarkStart w:id="10"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为验证各市场参与者技术系统对于退市公司可转换公司债券（以下简称“退市可转债”）业务的支持情况，全国中小企业股份转让系统有限责任公司（以下简称“全国股转公司”）联合中国证券登记结算有限责任公司（以下简称“中国结算”）、深圳证券通信有限公司（以下简称“深证通”）共同搭建测试环境开展通关测试。</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请各参测机构认真阅读本测试方案，在测试过程中按照要求进行充分测试。</w:t>
      </w:r>
    </w:p>
    <w:p>
      <w:pPr>
        <w:spacing w:line="240" w:lineRule="auto"/>
        <w:ind w:firstLine="600"/>
        <w:jc w:val="both"/>
        <w:rPr>
          <w:rFonts w:cs="Times New Roman"/>
          <w:color w:val="000000" w:themeColor="text1"/>
          <w:sz w:val="30"/>
          <w:szCs w:val="30"/>
          <w:lang w:val="en"/>
          <w14:textFill>
            <w14:solidFill>
              <w14:schemeClr w14:val="tx1"/>
            </w14:solidFill>
          </w14:textFill>
        </w:rPr>
      </w:pPr>
    </w:p>
    <w:p>
      <w:pPr>
        <w:pStyle w:val="72"/>
        <w:spacing w:before="163" w:after="163"/>
        <w:ind w:firstLine="600"/>
      </w:pPr>
      <w:bookmarkStart w:id="11" w:name="_Toc374381846"/>
      <w:bookmarkStart w:id="12" w:name="_Toc376285220"/>
      <w:bookmarkStart w:id="13" w:name="_Toc375557958"/>
      <w:bookmarkStart w:id="14" w:name="_Toc374957904"/>
      <w:bookmarkStart w:id="15" w:name="_Toc375070722"/>
      <w:bookmarkStart w:id="16" w:name="_Toc374381912"/>
      <w:bookmarkStart w:id="17" w:name="_Toc376597517"/>
      <w:bookmarkStart w:id="18" w:name="_Toc145352477"/>
      <w:bookmarkStart w:id="19" w:name="_Toc119341897"/>
      <w:r>
        <w:t>二</w:t>
      </w:r>
      <w:r>
        <w:rPr>
          <w:rFonts w:hint="eastAsia"/>
        </w:rPr>
        <w:t>、</w:t>
      </w:r>
      <w:r>
        <w:t>参测</w:t>
      </w:r>
      <w:bookmarkEnd w:id="11"/>
      <w:bookmarkEnd w:id="12"/>
      <w:bookmarkEnd w:id="13"/>
      <w:bookmarkEnd w:id="14"/>
      <w:bookmarkEnd w:id="15"/>
      <w:bookmarkEnd w:id="16"/>
      <w:bookmarkEnd w:id="17"/>
      <w:r>
        <w:rPr>
          <w:rFonts w:hint="eastAsia"/>
        </w:rPr>
        <w:t>机构</w:t>
      </w:r>
      <w:bookmarkEnd w:id="18"/>
      <w:bookmarkEnd w:id="19"/>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1.</w:t>
      </w:r>
      <w:r>
        <w:rPr>
          <w:rFonts w:cs="Times New Roman"/>
          <w:color w:val="000000" w:themeColor="text1"/>
          <w:sz w:val="30"/>
          <w:szCs w:val="30"/>
          <w:lang w:val="en"/>
          <w14:textFill>
            <w14:solidFill>
              <w14:schemeClr w14:val="tx1"/>
            </w14:solidFill>
          </w14:textFill>
        </w:rPr>
        <w:t>全国中小企业股份转让系统有限责任公司</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2.</w:t>
      </w:r>
      <w:r>
        <w:rPr>
          <w:rFonts w:cs="Times New Roman"/>
          <w:color w:val="000000" w:themeColor="text1"/>
          <w:sz w:val="30"/>
          <w:szCs w:val="30"/>
          <w:lang w:val="en"/>
          <w14:textFill>
            <w14:solidFill>
              <w14:schemeClr w14:val="tx1"/>
            </w14:solidFill>
          </w14:textFill>
        </w:rPr>
        <w:t>中国证券登记结算有限责任公司</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3</w:t>
      </w:r>
      <w:r>
        <w:rPr>
          <w:rFonts w:cs="Times New Roman"/>
          <w:color w:val="000000" w:themeColor="text1"/>
          <w:sz w:val="30"/>
          <w:szCs w:val="30"/>
          <w:lang w:val="en"/>
          <w14:textFill>
            <w14:solidFill>
              <w14:schemeClr w14:val="tx1"/>
            </w14:solidFill>
          </w14:textFill>
        </w:rPr>
        <w:t>.深圳证券通信有限公司</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4</w:t>
      </w:r>
      <w:r>
        <w:rPr>
          <w:rFonts w:cs="Times New Roman"/>
          <w:color w:val="000000" w:themeColor="text1"/>
          <w:sz w:val="30"/>
          <w:szCs w:val="30"/>
          <w:lang w:val="en"/>
          <w14:textFill>
            <w14:solidFill>
              <w14:schemeClr w14:val="tx1"/>
            </w14:solidFill>
          </w14:textFill>
        </w:rPr>
        <w:t>.各</w:t>
      </w:r>
      <w:r>
        <w:rPr>
          <w:rFonts w:hint="eastAsia" w:cs="Times New Roman"/>
          <w:color w:val="000000" w:themeColor="text1"/>
          <w:sz w:val="30"/>
          <w:szCs w:val="30"/>
          <w:lang w:val="en"/>
          <w14:textFill>
            <w14:solidFill>
              <w14:schemeClr w14:val="tx1"/>
            </w14:solidFill>
          </w14:textFill>
        </w:rPr>
        <w:t>证券</w:t>
      </w:r>
      <w:r>
        <w:rPr>
          <w:rFonts w:cs="Times New Roman"/>
          <w:color w:val="000000" w:themeColor="text1"/>
          <w:sz w:val="30"/>
          <w:szCs w:val="30"/>
          <w:lang w:val="en"/>
          <w14:textFill>
            <w14:solidFill>
              <w14:schemeClr w14:val="tx1"/>
            </w14:solidFill>
          </w14:textFill>
        </w:rPr>
        <w:t>公司、</w:t>
      </w:r>
      <w:r>
        <w:rPr>
          <w:rFonts w:hint="eastAsia" w:cs="Times New Roman"/>
          <w:color w:val="000000" w:themeColor="text1"/>
          <w:sz w:val="30"/>
          <w:szCs w:val="30"/>
          <w:lang w:val="en"/>
          <w14:textFill>
            <w14:solidFill>
              <w14:schemeClr w14:val="tx1"/>
            </w14:solidFill>
          </w14:textFill>
        </w:rPr>
        <w:t>信息</w:t>
      </w:r>
      <w:r>
        <w:rPr>
          <w:rFonts w:cs="Times New Roman"/>
          <w:color w:val="000000" w:themeColor="text1"/>
          <w:sz w:val="30"/>
          <w:szCs w:val="30"/>
          <w:lang w:val="en"/>
          <w14:textFill>
            <w14:solidFill>
              <w14:schemeClr w14:val="tx1"/>
            </w14:solidFill>
          </w14:textFill>
        </w:rPr>
        <w:t>商</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5.有清理退市可转债需求的基金公司、QFII、RQFII及其托管机构</w:t>
      </w:r>
    </w:p>
    <w:p>
      <w:pPr>
        <w:pStyle w:val="100"/>
        <w:spacing w:line="240" w:lineRule="auto"/>
        <w:ind w:left="567" w:firstLine="0" w:firstLineChars="0"/>
        <w:jc w:val="both"/>
        <w:rPr>
          <w:rFonts w:cs="Times New Roman"/>
          <w:color w:val="000000" w:themeColor="text1"/>
          <w:sz w:val="30"/>
          <w:szCs w:val="30"/>
          <w:lang w:val="en"/>
          <w14:textFill>
            <w14:solidFill>
              <w14:schemeClr w14:val="tx1"/>
            </w14:solidFill>
          </w14:textFill>
        </w:rPr>
      </w:pPr>
    </w:p>
    <w:p>
      <w:pPr>
        <w:pStyle w:val="100"/>
        <w:spacing w:line="240" w:lineRule="auto"/>
        <w:ind w:left="567" w:firstLine="0" w:firstLineChars="0"/>
        <w:jc w:val="both"/>
        <w:rPr>
          <w:rFonts w:cs="Times New Roman"/>
          <w:color w:val="000000" w:themeColor="text1"/>
          <w:sz w:val="30"/>
          <w:szCs w:val="30"/>
          <w:lang w:val="en"/>
          <w14:textFill>
            <w14:solidFill>
              <w14:schemeClr w14:val="tx1"/>
            </w14:solidFill>
          </w14:textFill>
        </w:rPr>
      </w:pPr>
    </w:p>
    <w:p>
      <w:pPr>
        <w:pStyle w:val="72"/>
        <w:spacing w:before="163" w:after="163"/>
        <w:ind w:firstLine="600"/>
      </w:pPr>
      <w:bookmarkStart w:id="20" w:name="_Toc145352478"/>
      <w:bookmarkStart w:id="21" w:name="_Toc143003900"/>
      <w:bookmarkStart w:id="22" w:name="_Toc376597518"/>
      <w:bookmarkStart w:id="23" w:name="_Toc376285221"/>
      <w:bookmarkStart w:id="24" w:name="_Toc374957905"/>
      <w:bookmarkStart w:id="25" w:name="_Toc375557959"/>
      <w:bookmarkStart w:id="26" w:name="_Toc374381913"/>
      <w:bookmarkStart w:id="27" w:name="_Toc374381847"/>
      <w:bookmarkStart w:id="28" w:name="_Toc375070723"/>
      <w:r>
        <w:rPr>
          <w:rFonts w:hint="eastAsia"/>
        </w:rPr>
        <w:t>三．</w:t>
      </w:r>
      <w:r>
        <w:t>参考技术规范</w:t>
      </w:r>
      <w:bookmarkEnd w:id="20"/>
      <w:bookmarkEnd w:id="21"/>
      <w:bookmarkEnd w:id="22"/>
      <w:bookmarkEnd w:id="23"/>
      <w:bookmarkEnd w:id="24"/>
      <w:bookmarkEnd w:id="25"/>
      <w:bookmarkEnd w:id="26"/>
      <w:bookmarkEnd w:id="27"/>
      <w:bookmarkEnd w:id="28"/>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1.</w:t>
      </w:r>
      <w:r>
        <w:rPr>
          <w:rFonts w:cs="Times New Roman"/>
          <w:color w:val="000000" w:themeColor="text1"/>
          <w:sz w:val="30"/>
          <w:szCs w:val="30"/>
          <w:lang w:val="en"/>
          <w14:textFill>
            <w14:solidFill>
              <w14:schemeClr w14:val="tx1"/>
            </w14:solidFill>
          </w14:textFill>
        </w:rPr>
        <w:t>《交易支持平台数据接口规范</w:t>
      </w:r>
      <w:r>
        <w:rPr>
          <w:rFonts w:hint="eastAsia" w:cs="Times New Roman"/>
          <w:color w:val="000000" w:themeColor="text1"/>
          <w:sz w:val="30"/>
          <w:szCs w:val="30"/>
          <w:lang w:val="en"/>
          <w14:textFill>
            <w14:solidFill>
              <w14:schemeClr w14:val="tx1"/>
            </w14:solidFill>
          </w14:textFill>
        </w:rPr>
        <w:t>（</w:t>
      </w:r>
      <w:r>
        <w:rPr>
          <w:rFonts w:cs="Times New Roman"/>
          <w:color w:val="000000" w:themeColor="text1"/>
          <w:sz w:val="30"/>
          <w:szCs w:val="30"/>
          <w:lang w:val="en"/>
          <w14:textFill>
            <w14:solidFill>
              <w14:schemeClr w14:val="tx1"/>
            </w14:solidFill>
          </w14:textFill>
        </w:rPr>
        <w:t>V</w:t>
      </w:r>
      <w:r>
        <w:rPr>
          <w:rFonts w:hint="eastAsia" w:cs="Times New Roman"/>
          <w:color w:val="000000" w:themeColor="text1"/>
          <w:sz w:val="30"/>
          <w:szCs w:val="30"/>
          <w:lang w:val="en"/>
          <w14:textFill>
            <w14:solidFill>
              <w14:schemeClr w14:val="tx1"/>
            </w14:solidFill>
          </w14:textFill>
        </w:rPr>
        <w:t>2</w:t>
      </w:r>
      <w:r>
        <w:rPr>
          <w:rFonts w:cs="Times New Roman"/>
          <w:color w:val="000000" w:themeColor="text1"/>
          <w:sz w:val="30"/>
          <w:szCs w:val="30"/>
          <w:lang w:val="en"/>
          <w14:textFill>
            <w14:solidFill>
              <w14:schemeClr w14:val="tx1"/>
            </w14:solidFill>
          </w14:textFill>
        </w:rPr>
        <w:t>.</w:t>
      </w:r>
      <w:r>
        <w:rPr>
          <w:rFonts w:hint="eastAsia" w:cs="Times New Roman"/>
          <w:color w:val="000000" w:themeColor="text1"/>
          <w:sz w:val="30"/>
          <w:szCs w:val="30"/>
          <w:lang w:val="en"/>
          <w14:textFill>
            <w14:solidFill>
              <w14:schemeClr w14:val="tx1"/>
            </w14:solidFill>
          </w14:textFill>
        </w:rPr>
        <w:t>3）</w:t>
      </w:r>
      <w:r>
        <w:rPr>
          <w:rFonts w:cs="Times New Roman"/>
          <w:color w:val="000000" w:themeColor="text1"/>
          <w:sz w:val="30"/>
          <w:szCs w:val="30"/>
          <w:lang w:val="en"/>
          <w14:textFill>
            <w14:solidFill>
              <w14:schemeClr w14:val="tx1"/>
            </w14:solidFill>
          </w14:textFill>
        </w:rPr>
        <w:t>》</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2.</w:t>
      </w:r>
      <w:r>
        <w:rPr>
          <w:rFonts w:hint="eastAsia" w:cs="Times New Roman"/>
          <w:color w:val="000000" w:themeColor="text1"/>
          <w:sz w:val="30"/>
          <w:szCs w:val="30"/>
          <w:lang w:val="en"/>
          <w14:textFill>
            <w14:solidFill>
              <w14:schemeClr w14:val="tx1"/>
            </w14:solidFill>
          </w14:textFill>
        </w:rPr>
        <w:t>《全国中小企业股份转让系统市场参与者技术系统变更指南之退市公司可转换公司债券业务》</w:t>
      </w:r>
    </w:p>
    <w:p>
      <w:pPr>
        <w:spacing w:line="240" w:lineRule="auto"/>
        <w:ind w:firstLine="600"/>
        <w:jc w:val="both"/>
        <w:rPr>
          <w:rFonts w:cs="Times New Roman"/>
          <w:color w:val="000000" w:themeColor="text1"/>
          <w:sz w:val="30"/>
          <w:szCs w:val="30"/>
          <w:lang w:val="en"/>
          <w14:textFill>
            <w14:solidFill>
              <w14:schemeClr w14:val="tx1"/>
            </w14:solidFill>
          </w14:textFill>
        </w:rPr>
      </w:pPr>
    </w:p>
    <w:p>
      <w:pPr>
        <w:pStyle w:val="72"/>
        <w:spacing w:before="163" w:after="163"/>
        <w:ind w:firstLine="600"/>
      </w:pPr>
      <w:bookmarkStart w:id="29" w:name="_Toc376285224"/>
      <w:bookmarkStart w:id="30" w:name="_Toc375557962"/>
      <w:bookmarkStart w:id="31" w:name="_Toc376597521"/>
      <w:bookmarkStart w:id="32" w:name="_Toc119341899"/>
      <w:bookmarkStart w:id="33" w:name="_Toc374381916"/>
      <w:bookmarkStart w:id="34" w:name="_Toc145352479"/>
      <w:bookmarkStart w:id="35" w:name="_Toc374381850"/>
      <w:bookmarkStart w:id="36" w:name="_Toc374957908"/>
      <w:bookmarkStart w:id="37" w:name="_Toc375070726"/>
      <w:r>
        <w:rPr>
          <w:rFonts w:hint="eastAsia"/>
        </w:rPr>
        <w:t>四、</w:t>
      </w:r>
      <w:r>
        <w:t>参测技术系统</w:t>
      </w:r>
      <w:bookmarkEnd w:id="29"/>
      <w:bookmarkEnd w:id="30"/>
      <w:bookmarkEnd w:id="31"/>
      <w:bookmarkEnd w:id="32"/>
      <w:bookmarkEnd w:id="33"/>
      <w:bookmarkEnd w:id="34"/>
      <w:bookmarkEnd w:id="35"/>
      <w:bookmarkEnd w:id="36"/>
      <w:bookmarkEnd w:id="37"/>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1.全国股转公司交易支持平台通关测试环境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2.中国结算北京市场证券登记结算系统通关测试环境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3.深证通通信系统通关测试环境</w:t>
      </w:r>
    </w:p>
    <w:p>
      <w:pPr>
        <w:pStyle w:val="100"/>
        <w:spacing w:line="240" w:lineRule="auto"/>
        <w:ind w:left="3"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4.各证券公司、</w:t>
      </w:r>
      <w:r>
        <w:rPr>
          <w:rFonts w:cs="Times New Roman"/>
          <w:color w:val="000000" w:themeColor="text1"/>
          <w:sz w:val="30"/>
          <w:szCs w:val="30"/>
          <w14:textFill>
            <w14:solidFill>
              <w14:schemeClr w14:val="tx1"/>
            </w14:solidFill>
          </w14:textFill>
        </w:rPr>
        <w:t>信息商等市场机构相关</w:t>
      </w:r>
      <w:r>
        <w:rPr>
          <w:rFonts w:hint="eastAsia" w:cs="Times New Roman"/>
          <w:color w:val="000000" w:themeColor="text1"/>
          <w:sz w:val="30"/>
          <w:szCs w:val="30"/>
          <w14:textFill>
            <w14:solidFill>
              <w14:schemeClr w14:val="tx1"/>
            </w14:solidFill>
          </w14:textFill>
        </w:rPr>
        <w:t>测试环境</w:t>
      </w:r>
    </w:p>
    <w:p>
      <w:pPr>
        <w:pStyle w:val="100"/>
        <w:spacing w:line="240" w:lineRule="auto"/>
        <w:ind w:left="3" w:firstLine="480"/>
        <w:jc w:val="both"/>
      </w:pPr>
    </w:p>
    <w:p>
      <w:pPr>
        <w:pStyle w:val="72"/>
        <w:spacing w:before="163" w:after="163"/>
        <w:ind w:firstLine="600"/>
      </w:pPr>
      <w:bookmarkStart w:id="38" w:name="_Toc145352480"/>
      <w:bookmarkStart w:id="39" w:name="_Toc119341900"/>
      <w:r>
        <w:rPr>
          <w:rFonts w:hint="eastAsia"/>
        </w:rPr>
        <w:t>五、</w:t>
      </w:r>
      <w:r>
        <w:t>测试时间安排</w:t>
      </w:r>
      <w:bookmarkEnd w:id="38"/>
      <w:bookmarkEnd w:id="39"/>
    </w:p>
    <w:p>
      <w:pPr>
        <w:spacing w:line="36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通关测试时间为20</w:t>
      </w:r>
      <w:r>
        <w:rPr>
          <w:rFonts w:hint="eastAsia" w:cs="Times New Roman"/>
          <w:color w:val="000000" w:themeColor="text1"/>
          <w:sz w:val="30"/>
          <w:szCs w:val="30"/>
          <w14:textFill>
            <w14:solidFill>
              <w14:schemeClr w14:val="tx1"/>
            </w14:solidFill>
          </w14:textFill>
        </w:rPr>
        <w:t>23</w:t>
      </w:r>
      <w:r>
        <w:rPr>
          <w:rFonts w:cs="Times New Roman"/>
          <w:color w:val="000000" w:themeColor="text1"/>
          <w:sz w:val="30"/>
          <w:szCs w:val="30"/>
          <w14:textFill>
            <w14:solidFill>
              <w14:schemeClr w14:val="tx1"/>
            </w14:solidFill>
          </w14:textFill>
        </w:rPr>
        <w:t>年9</w:t>
      </w:r>
      <w:r>
        <w:rPr>
          <w:rFonts w:hint="eastAsia" w:cs="Times New Roman"/>
          <w:color w:val="000000" w:themeColor="text1"/>
          <w:sz w:val="30"/>
          <w:szCs w:val="30"/>
          <w14:textFill>
            <w14:solidFill>
              <w14:schemeClr w14:val="tx1"/>
            </w14:solidFill>
          </w14:textFill>
        </w:rPr>
        <w:t>月1</w:t>
      </w:r>
      <w:r>
        <w:rPr>
          <w:rFonts w:cs="Times New Roman"/>
          <w:color w:val="000000" w:themeColor="text1"/>
          <w:sz w:val="30"/>
          <w:szCs w:val="30"/>
          <w14:textFill>
            <w14:solidFill>
              <w14:schemeClr w14:val="tx1"/>
            </w14:solidFill>
          </w14:textFill>
        </w:rPr>
        <w:t>6</w:t>
      </w:r>
      <w:r>
        <w:rPr>
          <w:rFonts w:hint="eastAsia" w:cs="Times New Roman"/>
          <w:color w:val="000000" w:themeColor="text1"/>
          <w:sz w:val="30"/>
          <w:szCs w:val="30"/>
          <w14:textFill>
            <w14:solidFill>
              <w14:schemeClr w14:val="tx1"/>
            </w14:solidFill>
          </w14:textFill>
        </w:rPr>
        <w:t>日。通关测试模拟两个交易日和两个结算日：</w:t>
      </w:r>
      <w:r>
        <w:rPr>
          <w:rFonts w:cs="Times New Roman"/>
          <w:color w:val="000000" w:themeColor="text1"/>
          <w:sz w:val="30"/>
          <w:szCs w:val="30"/>
          <w14:textFill>
            <w14:solidFill>
              <w14:schemeClr w14:val="tx1"/>
            </w14:solidFill>
          </w14:textFill>
        </w:rPr>
        <w:t xml:space="preserve"> 9</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15</w:t>
      </w:r>
      <w:r>
        <w:rPr>
          <w:rFonts w:hint="eastAsia" w:cs="Times New Roman"/>
          <w:color w:val="000000" w:themeColor="text1"/>
          <w:sz w:val="30"/>
          <w:szCs w:val="30"/>
          <w14:textFill>
            <w14:solidFill>
              <w14:schemeClr w14:val="tx1"/>
            </w14:solidFill>
          </w14:textFill>
        </w:rPr>
        <w:t>至1</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0模拟T日的交易，1</w:t>
      </w:r>
      <w:r>
        <w:rPr>
          <w:rFonts w:cs="Times New Roman"/>
          <w:color w:val="000000" w:themeColor="text1"/>
          <w:sz w:val="30"/>
          <w:szCs w:val="30"/>
          <w14:textFill>
            <w14:solidFill>
              <w14:schemeClr w14:val="tx1"/>
            </w14:solidFill>
          </w14:textFill>
        </w:rPr>
        <w:t>0:30</w:t>
      </w:r>
      <w:r>
        <w:rPr>
          <w:rFonts w:hint="eastAsia" w:cs="Times New Roman"/>
          <w:color w:val="000000" w:themeColor="text1"/>
          <w:sz w:val="30"/>
          <w:szCs w:val="30"/>
          <w14:textFill>
            <w14:solidFill>
              <w14:schemeClr w14:val="tx1"/>
            </w14:solidFill>
          </w14:textFill>
        </w:rPr>
        <w:t>至1</w:t>
      </w: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:00模拟T日的日终过程；</w:t>
      </w:r>
      <w:r>
        <w:rPr>
          <w:rFonts w:cs="Times New Roman"/>
          <w:color w:val="000000" w:themeColor="text1"/>
          <w:sz w:val="30"/>
          <w:szCs w:val="30"/>
          <w14:textFill>
            <w14:solidFill>
              <w14:schemeClr w14:val="tx1"/>
            </w14:solidFill>
          </w14:textFill>
        </w:rPr>
        <w:t>14</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00</w:t>
      </w:r>
      <w:r>
        <w:rPr>
          <w:rFonts w:hint="eastAsia" w:cs="Times New Roman"/>
          <w:color w:val="000000" w:themeColor="text1"/>
          <w:sz w:val="30"/>
          <w:szCs w:val="30"/>
          <w14:textFill>
            <w14:solidFill>
              <w14:schemeClr w14:val="tx1"/>
            </w14:solidFill>
          </w14:textFill>
        </w:rPr>
        <w:t>至1</w:t>
      </w:r>
      <w:r>
        <w:rPr>
          <w:rFonts w:cs="Times New Roman"/>
          <w:color w:val="000000" w:themeColor="text1"/>
          <w:sz w:val="30"/>
          <w:szCs w:val="30"/>
          <w14:textFill>
            <w14:solidFill>
              <w14:schemeClr w14:val="tx1"/>
            </w14:solidFill>
          </w14:textFill>
        </w:rPr>
        <w:t>6</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30</w:t>
      </w:r>
      <w:r>
        <w:rPr>
          <w:rFonts w:hint="eastAsia" w:cs="Times New Roman"/>
          <w:color w:val="000000" w:themeColor="text1"/>
          <w:sz w:val="30"/>
          <w:szCs w:val="30"/>
          <w14:textFill>
            <w14:solidFill>
              <w14:schemeClr w14:val="tx1"/>
            </w14:solidFill>
          </w14:textFill>
        </w:rPr>
        <w:t>模拟T+</w:t>
      </w:r>
      <w:r>
        <w:rPr>
          <w:rFonts w:cs="Times New Roman"/>
          <w:color w:val="000000" w:themeColor="text1"/>
          <w:sz w:val="30"/>
          <w:szCs w:val="30"/>
          <w14:textFill>
            <w14:solidFill>
              <w14:schemeClr w14:val="tx1"/>
            </w14:solidFill>
          </w14:textFill>
        </w:rPr>
        <w:t>1</w:t>
      </w:r>
      <w:r>
        <w:rPr>
          <w:rFonts w:hint="eastAsia" w:cs="Times New Roman"/>
          <w:color w:val="000000" w:themeColor="text1"/>
          <w:sz w:val="30"/>
          <w:szCs w:val="30"/>
          <w14:textFill>
            <w14:solidFill>
              <w14:schemeClr w14:val="tx1"/>
            </w14:solidFill>
          </w14:textFill>
        </w:rPr>
        <w:t>日的交易，</w:t>
      </w:r>
      <w:r>
        <w:rPr>
          <w:rFonts w:cs="Times New Roman"/>
          <w:color w:val="000000" w:themeColor="text1"/>
          <w:sz w:val="30"/>
          <w:szCs w:val="30"/>
          <w14:textFill>
            <w14:solidFill>
              <w14:schemeClr w14:val="tx1"/>
            </w14:solidFill>
          </w14:textFill>
        </w:rPr>
        <w:t>16</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0至</w:t>
      </w:r>
      <w:r>
        <w:rPr>
          <w:rFonts w:cs="Times New Roman"/>
          <w:color w:val="000000" w:themeColor="text1"/>
          <w:sz w:val="30"/>
          <w:szCs w:val="30"/>
          <w14:textFill>
            <w14:solidFill>
              <w14:schemeClr w14:val="tx1"/>
            </w14:solidFill>
          </w14:textFill>
        </w:rPr>
        <w:t>20</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0模拟T+1日的日终过程</w:t>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具体时间见下表：</w:t>
      </w:r>
    </w:p>
    <w:p>
      <w:pPr>
        <w:spacing w:line="240" w:lineRule="auto"/>
        <w:ind w:firstLine="600"/>
        <w:jc w:val="both"/>
        <w:rPr>
          <w:rFonts w:cs="Times New Roman"/>
          <w:color w:val="000000" w:themeColor="text1"/>
          <w:sz w:val="30"/>
          <w:szCs w:val="30"/>
          <w:lang w:val="en"/>
          <w14:textFill>
            <w14:solidFill>
              <w14:schemeClr w14:val="tx1"/>
            </w14:solidFill>
          </w14:textFill>
        </w:rPr>
      </w:pPr>
    </w:p>
    <w:tbl>
      <w:tblPr>
        <w:tblStyle w:val="36"/>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1"/>
        <w:gridCol w:w="3550"/>
        <w:gridCol w:w="11"/>
        <w:gridCol w:w="337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cantSplit/>
          <w:trHeight w:val="516" w:hRule="atLeast"/>
          <w:jc w:val="center"/>
        </w:trPr>
        <w:tc>
          <w:tcPr>
            <w:tcW w:w="1268" w:type="dxa"/>
            <w:tcBorders>
              <w:bottom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T</w:t>
            </w:r>
            <w:r>
              <w:rPr>
                <w:rFonts w:eastAsia="楷体" w:cs="Times New Roman"/>
                <w:b/>
                <w:color w:val="000000" w:themeColor="text1"/>
                <w:sz w:val="21"/>
                <w:szCs w:val="21"/>
                <w14:textFill>
                  <w14:solidFill>
                    <w14:schemeClr w14:val="tx1"/>
                  </w14:solidFill>
                </w14:textFill>
              </w:rPr>
              <w:t>日时间</w:t>
            </w:r>
          </w:p>
        </w:tc>
        <w:tc>
          <w:tcPr>
            <w:tcW w:w="3561" w:type="dxa"/>
            <w:gridSpan w:val="2"/>
            <w:tcBorders>
              <w:bottom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全国</w:t>
            </w:r>
            <w:r>
              <w:rPr>
                <w:rFonts w:eastAsia="楷体" w:cs="Times New Roman"/>
                <w:b/>
                <w:color w:val="000000" w:themeColor="text1"/>
                <w:sz w:val="21"/>
                <w:szCs w:val="21"/>
                <w14:textFill>
                  <w14:solidFill>
                    <w14:schemeClr w14:val="tx1"/>
                  </w14:solidFill>
                </w14:textFill>
              </w:rPr>
              <w:t>股转</w:t>
            </w:r>
            <w:r>
              <w:rPr>
                <w:rFonts w:hint="eastAsia" w:eastAsia="楷体" w:cs="Times New Roman"/>
                <w:b/>
                <w:color w:val="000000" w:themeColor="text1"/>
                <w:sz w:val="21"/>
                <w:szCs w:val="21"/>
                <w14:textFill>
                  <w14:solidFill>
                    <w14:schemeClr w14:val="tx1"/>
                  </w14:solidFill>
                </w14:textFill>
              </w:rPr>
              <w:t>公司</w:t>
            </w:r>
            <w:r>
              <w:rPr>
                <w:rFonts w:eastAsia="楷体" w:cs="Times New Roman"/>
                <w:b/>
                <w:color w:val="000000" w:themeColor="text1"/>
                <w:sz w:val="21"/>
                <w:szCs w:val="21"/>
                <w14:textFill>
                  <w14:solidFill>
                    <w14:schemeClr w14:val="tx1"/>
                  </w14:solidFill>
                </w14:textFill>
              </w:rPr>
              <w:t>测试内容</w:t>
            </w:r>
          </w:p>
        </w:tc>
        <w:tc>
          <w:tcPr>
            <w:tcW w:w="3385" w:type="dxa"/>
            <w:gridSpan w:val="2"/>
            <w:tcBorders>
              <w:bottom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参测市场</w:t>
            </w:r>
            <w:r>
              <w:rPr>
                <w:rFonts w:eastAsia="楷体" w:cs="Times New Roman"/>
                <w:b/>
                <w:color w:val="000000" w:themeColor="text1"/>
                <w:sz w:val="21"/>
                <w:szCs w:val="21"/>
                <w14:textFill>
                  <w14:solidFill>
                    <w14:schemeClr w14:val="tx1"/>
                  </w14:solidFill>
                </w14:textFill>
              </w:rPr>
              <w:t>机构重点测试内容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cantSplit/>
          <w:trHeight w:val="567" w:hRule="atLeast"/>
          <w:jc w:val="center"/>
        </w:trPr>
        <w:tc>
          <w:tcPr>
            <w:tcW w:w="1268" w:type="dxa"/>
            <w:shd w:val="clear" w:color="auto" w:fill="auto"/>
            <w:vAlign w:val="center"/>
          </w:tcPr>
          <w:p>
            <w:pPr>
              <w:ind w:firstLine="0" w:firstLineChars="0"/>
              <w:rPr>
                <w:rFonts w:cs="方正仿宋_GBK"/>
                <w:sz w:val="21"/>
                <w:szCs w:val="21"/>
              </w:rPr>
            </w:pPr>
            <w:r>
              <w:rPr>
                <w:rFonts w:cs="方正仿宋_GBK"/>
                <w:sz w:val="21"/>
                <w:szCs w:val="21"/>
              </w:rPr>
              <w:t>8:30</w:t>
            </w:r>
          </w:p>
        </w:tc>
        <w:tc>
          <w:tcPr>
            <w:tcW w:w="3561" w:type="dxa"/>
            <w:gridSpan w:val="2"/>
            <w:shd w:val="clear" w:color="auto" w:fill="auto"/>
            <w:vAlign w:val="center"/>
          </w:tcPr>
          <w:p>
            <w:pPr>
              <w:ind w:firstLine="0" w:firstLineChars="0"/>
              <w:rPr>
                <w:rFonts w:cs="方正仿宋_GBK"/>
                <w:sz w:val="21"/>
                <w:szCs w:val="21"/>
              </w:rPr>
            </w:pPr>
            <w:r>
              <w:rPr>
                <w:rFonts w:cs="方正仿宋_GBK"/>
                <w:sz w:val="21"/>
                <w:szCs w:val="21"/>
              </w:rPr>
              <w:t>发送初始</w:t>
            </w:r>
            <w:r>
              <w:rPr>
                <w:rFonts w:hint="eastAsia" w:cs="方正仿宋_GBK"/>
                <w:sz w:val="21"/>
                <w:szCs w:val="21"/>
              </w:rPr>
              <w:t>证券</w:t>
            </w:r>
            <w:r>
              <w:rPr>
                <w:rFonts w:cs="方正仿宋_GBK"/>
                <w:sz w:val="21"/>
                <w:szCs w:val="21"/>
              </w:rPr>
              <w:t>行情库，当日证券信息库等。</w:t>
            </w:r>
          </w:p>
        </w:tc>
        <w:tc>
          <w:tcPr>
            <w:tcW w:w="3385" w:type="dxa"/>
            <w:gridSpan w:val="2"/>
            <w:shd w:val="clear" w:color="auto" w:fill="auto"/>
            <w:vAlign w:val="center"/>
          </w:tcPr>
          <w:p>
            <w:pPr>
              <w:ind w:firstLine="0" w:firstLineChars="0"/>
              <w:rPr>
                <w:rFonts w:cs="方正仿宋_GBK"/>
                <w:sz w:val="21"/>
                <w:szCs w:val="21"/>
              </w:rPr>
            </w:pPr>
            <w:r>
              <w:rPr>
                <w:rFonts w:cs="方正仿宋_GBK"/>
                <w:sz w:val="21"/>
                <w:szCs w:val="21"/>
              </w:rPr>
              <w:t>接收初始</w:t>
            </w:r>
            <w:r>
              <w:rPr>
                <w:rFonts w:hint="eastAsia" w:cs="方正仿宋_GBK"/>
                <w:sz w:val="21"/>
                <w:szCs w:val="21"/>
              </w:rPr>
              <w:t>证券</w:t>
            </w:r>
            <w:r>
              <w:rPr>
                <w:rFonts w:cs="方正仿宋_GBK"/>
                <w:sz w:val="21"/>
                <w:szCs w:val="21"/>
              </w:rPr>
              <w:t>行情库、证券信息库等。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cantSplit/>
          <w:trHeight w:val="567" w:hRule="atLeast"/>
          <w:jc w:val="center"/>
        </w:trPr>
        <w:tc>
          <w:tcPr>
            <w:tcW w:w="1268" w:type="dxa"/>
            <w:shd w:val="clear" w:color="auto" w:fill="auto"/>
            <w:vAlign w:val="center"/>
          </w:tcPr>
          <w:p>
            <w:pPr>
              <w:ind w:firstLine="0" w:firstLineChars="0"/>
              <w:rPr>
                <w:rFonts w:cs="方正仿宋_GBK"/>
                <w:sz w:val="21"/>
                <w:szCs w:val="21"/>
              </w:rPr>
            </w:pPr>
            <w:r>
              <w:rPr>
                <w:rFonts w:cs="方正仿宋_GBK"/>
                <w:sz w:val="21"/>
                <w:szCs w:val="21"/>
              </w:rPr>
              <w:t>9:15-9:30</w:t>
            </w:r>
          </w:p>
        </w:tc>
        <w:tc>
          <w:tcPr>
            <w:tcW w:w="3561" w:type="dxa"/>
            <w:gridSpan w:val="2"/>
            <w:shd w:val="clear" w:color="auto" w:fill="auto"/>
            <w:vAlign w:val="center"/>
          </w:tcPr>
          <w:p>
            <w:pPr>
              <w:ind w:firstLine="0" w:firstLineChars="0"/>
              <w:rPr>
                <w:rFonts w:cs="方正仿宋_GBK"/>
                <w:sz w:val="21"/>
                <w:szCs w:val="21"/>
              </w:rPr>
            </w:pPr>
            <w:r>
              <w:rPr>
                <w:rFonts w:hint="eastAsia" w:cs="方正仿宋_GBK"/>
                <w:sz w:val="21"/>
                <w:szCs w:val="21"/>
              </w:rPr>
              <w:t>禁止退市可转债转让、回售、转股申报；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库，不发送与当天退市可转债交易相关的任何行情。</w:t>
            </w:r>
          </w:p>
        </w:tc>
        <w:tc>
          <w:tcPr>
            <w:tcW w:w="3385" w:type="dxa"/>
            <w:gridSpan w:val="2"/>
            <w:shd w:val="clear" w:color="auto" w:fill="auto"/>
            <w:vAlign w:val="center"/>
          </w:tcPr>
          <w:p>
            <w:pPr>
              <w:ind w:firstLine="0" w:firstLineChars="0"/>
              <w:rPr>
                <w:rFonts w:cs="方正仿宋_GBK"/>
                <w:sz w:val="21"/>
                <w:szCs w:val="21"/>
              </w:rPr>
            </w:pPr>
            <w:r>
              <w:rPr>
                <w:rFonts w:hint="eastAsia" w:cs="方正仿宋_GBK"/>
                <w:sz w:val="21"/>
                <w:szCs w:val="21"/>
              </w:rPr>
              <w:t>退市可转债转让、回售、转股申报</w:t>
            </w:r>
            <w:r>
              <w:rPr>
                <w:rFonts w:cs="方正仿宋_GBK"/>
                <w:sz w:val="21"/>
                <w:szCs w:val="21"/>
              </w:rPr>
              <w:t>废单</w:t>
            </w:r>
            <w:r>
              <w:rPr>
                <w:rFonts w:hint="eastAsia" w:cs="方正仿宋_GBK"/>
                <w:sz w:val="21"/>
                <w:szCs w:val="21"/>
              </w:rPr>
              <w:t>；</w:t>
            </w:r>
          </w:p>
          <w:p>
            <w:pPr>
              <w:ind w:firstLine="0" w:firstLineChars="0"/>
              <w:rPr>
                <w:rFonts w:cs="方正仿宋_GBK"/>
                <w:sz w:val="21"/>
                <w:szCs w:val="21"/>
              </w:rPr>
            </w:pPr>
            <w:r>
              <w:rPr>
                <w:rFonts w:cs="方正仿宋_GBK"/>
                <w:sz w:val="21"/>
                <w:szCs w:val="21"/>
              </w:rPr>
              <w:t>接收</w:t>
            </w:r>
            <w:r>
              <w:rPr>
                <w:rFonts w:hint="eastAsia" w:cs="方正仿宋_GBK"/>
                <w:sz w:val="21"/>
                <w:szCs w:val="21"/>
              </w:rPr>
              <w:t>并</w:t>
            </w:r>
            <w:r>
              <w:rPr>
                <w:rFonts w:cs="方正仿宋_GBK"/>
                <w:sz w:val="21"/>
                <w:szCs w:val="21"/>
              </w:rPr>
              <w:t>正确揭示</w:t>
            </w:r>
            <w:r>
              <w:rPr>
                <w:rFonts w:hint="eastAsia" w:cs="方正仿宋_GBK"/>
                <w:sz w:val="21"/>
                <w:szCs w:val="21"/>
              </w:rPr>
              <w:t>证券信息库和</w:t>
            </w:r>
            <w:r>
              <w:rPr>
                <w:rFonts w:cs="方正仿宋_GBK"/>
                <w:sz w:val="21"/>
                <w:szCs w:val="21"/>
              </w:rPr>
              <w:t>证券行情</w:t>
            </w:r>
            <w:r>
              <w:rPr>
                <w:rFonts w:hint="eastAsia" w:cs="方正仿宋_GBK"/>
                <w:sz w:val="21"/>
                <w:szCs w:val="21"/>
              </w:rPr>
              <w:t>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cantSplit/>
          <w:trHeight w:val="567" w:hRule="atLeast"/>
          <w:jc w:val="center"/>
        </w:trPr>
        <w:tc>
          <w:tcPr>
            <w:tcW w:w="1268" w:type="dxa"/>
            <w:shd w:val="clear" w:color="auto" w:fill="auto"/>
            <w:vAlign w:val="center"/>
          </w:tcPr>
          <w:p>
            <w:pPr>
              <w:ind w:firstLine="0" w:firstLineChars="0"/>
              <w:rPr>
                <w:rFonts w:cs="方正仿宋_GBK"/>
                <w:sz w:val="21"/>
                <w:szCs w:val="21"/>
              </w:rPr>
            </w:pPr>
            <w:r>
              <w:rPr>
                <w:rFonts w:cs="方正仿宋_GBK"/>
                <w:sz w:val="21"/>
                <w:szCs w:val="21"/>
              </w:rPr>
              <w:t>9:30-9:55</w:t>
            </w:r>
          </w:p>
        </w:tc>
        <w:tc>
          <w:tcPr>
            <w:tcW w:w="3561" w:type="dxa"/>
            <w:gridSpan w:val="2"/>
            <w:shd w:val="clear" w:color="auto" w:fill="auto"/>
            <w:vAlign w:val="center"/>
          </w:tcPr>
          <w:p>
            <w:pPr>
              <w:ind w:firstLine="0" w:firstLineChars="0"/>
              <w:rPr>
                <w:rFonts w:cs="方正仿宋_GBK"/>
                <w:sz w:val="21"/>
                <w:szCs w:val="21"/>
              </w:rPr>
            </w:pPr>
            <w:r>
              <w:rPr>
                <w:rFonts w:hint="eastAsia" w:cs="方正仿宋_GBK"/>
                <w:sz w:val="21"/>
                <w:szCs w:val="21"/>
              </w:rPr>
              <w:t>处理退市可转债转让、回售、转股申报；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库，不发送与当天退市可转债交易相关的任何行情。</w:t>
            </w:r>
          </w:p>
        </w:tc>
        <w:tc>
          <w:tcPr>
            <w:tcW w:w="3385" w:type="dxa"/>
            <w:gridSpan w:val="2"/>
            <w:shd w:val="clear" w:color="auto" w:fill="auto"/>
            <w:vAlign w:val="center"/>
          </w:tcPr>
          <w:p>
            <w:pPr>
              <w:ind w:firstLine="0" w:firstLineChars="0"/>
              <w:rPr>
                <w:rFonts w:cs="方正仿宋_GBK"/>
                <w:sz w:val="21"/>
                <w:szCs w:val="21"/>
              </w:rPr>
            </w:pPr>
            <w:r>
              <w:rPr>
                <w:rFonts w:hint="eastAsia" w:cs="方正仿宋_GBK"/>
                <w:sz w:val="21"/>
                <w:szCs w:val="21"/>
              </w:rPr>
              <w:t>发送退市可转债转让、回售、转股申报，处理确认回报；</w:t>
            </w:r>
          </w:p>
          <w:p>
            <w:pPr>
              <w:ind w:firstLine="0" w:firstLineChars="0"/>
              <w:rPr>
                <w:rFonts w:cs="方正仿宋_GBK"/>
                <w:sz w:val="21"/>
                <w:szCs w:val="21"/>
              </w:rPr>
            </w:pPr>
            <w:r>
              <w:rPr>
                <w:rFonts w:cs="方正仿宋_GBK"/>
                <w:sz w:val="21"/>
                <w:szCs w:val="21"/>
              </w:rPr>
              <w:t>接收</w:t>
            </w:r>
            <w:r>
              <w:rPr>
                <w:rFonts w:hint="eastAsia" w:cs="方正仿宋_GBK"/>
                <w:sz w:val="21"/>
                <w:szCs w:val="21"/>
              </w:rPr>
              <w:t>并</w:t>
            </w:r>
            <w:r>
              <w:rPr>
                <w:rFonts w:cs="方正仿宋_GBK"/>
                <w:sz w:val="21"/>
                <w:szCs w:val="21"/>
              </w:rPr>
              <w:t>正确揭示</w:t>
            </w:r>
            <w:r>
              <w:rPr>
                <w:rFonts w:hint="eastAsia" w:cs="方正仿宋_GBK"/>
                <w:sz w:val="21"/>
                <w:szCs w:val="21"/>
              </w:rPr>
              <w:t>证券信息库和</w:t>
            </w:r>
            <w:r>
              <w:rPr>
                <w:rFonts w:cs="方正仿宋_GBK"/>
                <w:sz w:val="21"/>
                <w:szCs w:val="21"/>
              </w:rPr>
              <w:t>证券行情</w:t>
            </w:r>
            <w:r>
              <w:rPr>
                <w:rFonts w:hint="eastAsia" w:cs="方正仿宋_GBK"/>
                <w:sz w:val="21"/>
                <w:szCs w:val="21"/>
              </w:rPr>
              <w:t>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cantSplit/>
          <w:trHeight w:val="567" w:hRule="atLeast"/>
          <w:jc w:val="center"/>
        </w:trPr>
        <w:tc>
          <w:tcPr>
            <w:tcW w:w="1268" w:type="dxa"/>
            <w:shd w:val="clear" w:color="auto" w:fill="auto"/>
            <w:vAlign w:val="center"/>
          </w:tcPr>
          <w:p>
            <w:pPr>
              <w:ind w:firstLine="0" w:firstLineChars="0"/>
              <w:rPr>
                <w:rFonts w:cs="方正仿宋_GBK"/>
                <w:sz w:val="21"/>
                <w:szCs w:val="21"/>
              </w:rPr>
            </w:pPr>
            <w:r>
              <w:rPr>
                <w:rFonts w:cs="方正仿宋_GBK"/>
                <w:sz w:val="21"/>
                <w:szCs w:val="21"/>
              </w:rPr>
              <w:t>9:55-1</w:t>
            </w:r>
            <w:r>
              <w:rPr>
                <w:rFonts w:hint="eastAsia" w:cs="方正仿宋_GBK"/>
                <w:sz w:val="21"/>
                <w:szCs w:val="21"/>
              </w:rPr>
              <w:t>0</w:t>
            </w:r>
            <w:r>
              <w:rPr>
                <w:rFonts w:cs="方正仿宋_GBK"/>
                <w:sz w:val="21"/>
                <w:szCs w:val="21"/>
              </w:rPr>
              <w:t>:00</w:t>
            </w:r>
          </w:p>
        </w:tc>
        <w:tc>
          <w:tcPr>
            <w:tcW w:w="6946" w:type="dxa"/>
            <w:gridSpan w:val="4"/>
            <w:shd w:val="clear" w:color="auto" w:fill="auto"/>
            <w:vAlign w:val="center"/>
          </w:tcPr>
          <w:p>
            <w:pPr>
              <w:ind w:firstLine="0" w:firstLineChars="0"/>
              <w:rPr>
                <w:rFonts w:cs="方正仿宋_GBK"/>
                <w:sz w:val="21"/>
                <w:szCs w:val="21"/>
              </w:rPr>
            </w:pPr>
            <w:r>
              <w:rPr>
                <w:rFonts w:cs="方正仿宋_GBK"/>
                <w:sz w:val="21"/>
                <w:szCs w:val="21"/>
              </w:rPr>
              <w:t>中午休市，不接收申报处理。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cantSplit/>
          <w:trHeight w:val="567" w:hRule="atLeast"/>
          <w:jc w:val="center"/>
        </w:trPr>
        <w:tc>
          <w:tcPr>
            <w:tcW w:w="1268" w:type="dxa"/>
            <w:shd w:val="clear" w:color="auto" w:fill="auto"/>
            <w:vAlign w:val="center"/>
          </w:tcPr>
          <w:p>
            <w:pPr>
              <w:ind w:firstLine="0" w:firstLineChars="0"/>
              <w:rPr>
                <w:rFonts w:cs="方正仿宋_GBK"/>
                <w:sz w:val="21"/>
                <w:szCs w:val="21"/>
              </w:rPr>
            </w:pPr>
            <w:r>
              <w:rPr>
                <w:rFonts w:cs="方正仿宋_GBK"/>
                <w:sz w:val="21"/>
                <w:szCs w:val="21"/>
              </w:rPr>
              <w:t>1</w:t>
            </w:r>
            <w:r>
              <w:rPr>
                <w:rFonts w:hint="eastAsia" w:cs="方正仿宋_GBK"/>
                <w:sz w:val="21"/>
                <w:szCs w:val="21"/>
              </w:rPr>
              <w:t>0</w:t>
            </w:r>
            <w:r>
              <w:rPr>
                <w:rFonts w:cs="方正仿宋_GBK"/>
                <w:sz w:val="21"/>
                <w:szCs w:val="21"/>
              </w:rPr>
              <w:t>:00-10:25</w:t>
            </w:r>
          </w:p>
        </w:tc>
        <w:tc>
          <w:tcPr>
            <w:tcW w:w="3561" w:type="dxa"/>
            <w:gridSpan w:val="2"/>
            <w:shd w:val="clear" w:color="auto" w:fill="auto"/>
            <w:vAlign w:val="center"/>
          </w:tcPr>
          <w:p>
            <w:pPr>
              <w:ind w:firstLine="0" w:firstLineChars="0"/>
              <w:rPr>
                <w:rFonts w:cs="方正仿宋_GBK"/>
                <w:sz w:val="21"/>
                <w:szCs w:val="21"/>
              </w:rPr>
            </w:pPr>
            <w:r>
              <w:rPr>
                <w:rFonts w:hint="eastAsia" w:cs="方正仿宋_GBK"/>
                <w:sz w:val="21"/>
                <w:szCs w:val="21"/>
              </w:rPr>
              <w:t>处理退市可转债转让、回售、转股申报；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库，不发送与当天退市可转债交易相关的任何行情。</w:t>
            </w:r>
          </w:p>
        </w:tc>
        <w:tc>
          <w:tcPr>
            <w:tcW w:w="3385" w:type="dxa"/>
            <w:gridSpan w:val="2"/>
            <w:shd w:val="clear" w:color="auto" w:fill="auto"/>
            <w:vAlign w:val="center"/>
          </w:tcPr>
          <w:p>
            <w:pPr>
              <w:ind w:firstLine="0" w:firstLineChars="0"/>
              <w:rPr>
                <w:rFonts w:cs="方正仿宋_GBK"/>
                <w:sz w:val="21"/>
                <w:szCs w:val="21"/>
              </w:rPr>
            </w:pPr>
            <w:r>
              <w:rPr>
                <w:rFonts w:hint="eastAsia" w:cs="方正仿宋_GBK"/>
                <w:sz w:val="21"/>
                <w:szCs w:val="21"/>
              </w:rPr>
              <w:t>发送退市可转债转让、回售、转股申报，处理确认回报；</w:t>
            </w:r>
          </w:p>
          <w:p>
            <w:pPr>
              <w:ind w:firstLine="0" w:firstLineChars="0"/>
              <w:rPr>
                <w:rFonts w:cs="方正仿宋_GBK"/>
                <w:sz w:val="21"/>
                <w:szCs w:val="21"/>
              </w:rPr>
            </w:pPr>
            <w:r>
              <w:rPr>
                <w:rFonts w:cs="方正仿宋_GBK"/>
                <w:sz w:val="21"/>
                <w:szCs w:val="21"/>
              </w:rPr>
              <w:t>接收</w:t>
            </w:r>
            <w:r>
              <w:rPr>
                <w:rFonts w:hint="eastAsia" w:cs="方正仿宋_GBK"/>
                <w:sz w:val="21"/>
                <w:szCs w:val="21"/>
              </w:rPr>
              <w:t>并</w:t>
            </w:r>
            <w:r>
              <w:rPr>
                <w:rFonts w:cs="方正仿宋_GBK"/>
                <w:sz w:val="21"/>
                <w:szCs w:val="21"/>
              </w:rPr>
              <w:t>正确揭示</w:t>
            </w:r>
            <w:r>
              <w:rPr>
                <w:rFonts w:hint="eastAsia" w:cs="方正仿宋_GBK"/>
                <w:sz w:val="21"/>
                <w:szCs w:val="21"/>
              </w:rPr>
              <w:t>证券信息库和</w:t>
            </w:r>
            <w:r>
              <w:rPr>
                <w:rFonts w:cs="方正仿宋_GBK"/>
                <w:sz w:val="21"/>
                <w:szCs w:val="21"/>
              </w:rPr>
              <w:t>证券行情</w:t>
            </w:r>
            <w:r>
              <w:rPr>
                <w:rFonts w:hint="eastAsia" w:cs="方正仿宋_GBK"/>
                <w:sz w:val="21"/>
                <w:szCs w:val="21"/>
              </w:rPr>
              <w:t>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cantSplit/>
          <w:trHeight w:val="666" w:hRule="atLeast"/>
          <w:jc w:val="center"/>
        </w:trPr>
        <w:tc>
          <w:tcPr>
            <w:tcW w:w="1268" w:type="dxa"/>
            <w:shd w:val="clear" w:color="auto" w:fill="auto"/>
            <w:vAlign w:val="center"/>
          </w:tcPr>
          <w:p>
            <w:pPr>
              <w:ind w:firstLine="0" w:firstLineChars="0"/>
              <w:rPr>
                <w:rFonts w:cs="方正仿宋_GBK"/>
                <w:sz w:val="21"/>
                <w:szCs w:val="21"/>
              </w:rPr>
            </w:pPr>
            <w:r>
              <w:rPr>
                <w:rFonts w:cs="方正仿宋_GBK"/>
                <w:sz w:val="21"/>
                <w:szCs w:val="21"/>
              </w:rPr>
              <w:t>10:25-10:30</w:t>
            </w:r>
          </w:p>
        </w:tc>
        <w:tc>
          <w:tcPr>
            <w:tcW w:w="3561" w:type="dxa"/>
            <w:gridSpan w:val="2"/>
            <w:shd w:val="clear" w:color="auto" w:fill="auto"/>
            <w:vAlign w:val="center"/>
          </w:tcPr>
          <w:p>
            <w:pPr>
              <w:ind w:firstLine="0" w:firstLineChars="0"/>
              <w:rPr>
                <w:rFonts w:cs="方正仿宋_GBK"/>
                <w:sz w:val="21"/>
                <w:szCs w:val="21"/>
              </w:rPr>
            </w:pPr>
            <w:r>
              <w:rPr>
                <w:rFonts w:hint="eastAsia" w:cs="方正仿宋_GBK"/>
                <w:sz w:val="21"/>
                <w:szCs w:val="21"/>
              </w:rPr>
              <w:t>禁止退市可转债转让、回售、转股申报；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库，实时</w:t>
            </w:r>
            <w:r>
              <w:rPr>
                <w:rFonts w:cs="方正仿宋_GBK"/>
                <w:sz w:val="21"/>
                <w:szCs w:val="21"/>
              </w:rPr>
              <w:t>发送</w:t>
            </w:r>
            <w:r>
              <w:rPr>
                <w:rFonts w:hint="eastAsia" w:cs="方正仿宋_GBK"/>
                <w:sz w:val="21"/>
                <w:szCs w:val="21"/>
              </w:rPr>
              <w:t>退市可转债收盘</w:t>
            </w:r>
            <w:r>
              <w:rPr>
                <w:rFonts w:cs="方正仿宋_GBK"/>
                <w:sz w:val="21"/>
                <w:szCs w:val="21"/>
              </w:rPr>
              <w:t>行情。</w:t>
            </w:r>
          </w:p>
        </w:tc>
        <w:tc>
          <w:tcPr>
            <w:tcW w:w="3385" w:type="dxa"/>
            <w:gridSpan w:val="2"/>
            <w:shd w:val="clear" w:color="auto" w:fill="auto"/>
            <w:vAlign w:val="center"/>
          </w:tcPr>
          <w:p>
            <w:pPr>
              <w:ind w:firstLine="0" w:firstLineChars="0"/>
              <w:rPr>
                <w:rFonts w:cs="方正仿宋_GBK"/>
                <w:sz w:val="21"/>
                <w:szCs w:val="21"/>
              </w:rPr>
            </w:pPr>
            <w:r>
              <w:rPr>
                <w:rFonts w:hint="eastAsia" w:cs="方正仿宋_GBK"/>
                <w:sz w:val="21"/>
                <w:szCs w:val="21"/>
              </w:rPr>
              <w:t>退市可转债转让、回售、转股申报</w:t>
            </w:r>
            <w:r>
              <w:rPr>
                <w:rFonts w:cs="方正仿宋_GBK"/>
                <w:sz w:val="21"/>
                <w:szCs w:val="21"/>
              </w:rPr>
              <w:t>废单</w:t>
            </w:r>
            <w:r>
              <w:rPr>
                <w:rFonts w:hint="eastAsia" w:cs="方正仿宋_GBK"/>
                <w:sz w:val="21"/>
                <w:szCs w:val="21"/>
              </w:rPr>
              <w:t>；</w:t>
            </w:r>
          </w:p>
          <w:p>
            <w:pPr>
              <w:ind w:firstLine="0" w:firstLineChars="0"/>
              <w:rPr>
                <w:rFonts w:cs="方正仿宋_GBK"/>
                <w:sz w:val="21"/>
                <w:szCs w:val="21"/>
              </w:rPr>
            </w:pPr>
            <w:r>
              <w:rPr>
                <w:rFonts w:hint="eastAsia" w:cs="方正仿宋_GBK"/>
                <w:sz w:val="21"/>
                <w:szCs w:val="21"/>
              </w:rPr>
              <w:t>接收并</w:t>
            </w:r>
            <w:r>
              <w:rPr>
                <w:rFonts w:cs="方正仿宋_GBK"/>
                <w:sz w:val="21"/>
                <w:szCs w:val="21"/>
              </w:rPr>
              <w:t>正确揭示</w:t>
            </w:r>
            <w:r>
              <w:rPr>
                <w:rFonts w:hint="eastAsia" w:cs="方正仿宋_GBK"/>
                <w:sz w:val="21"/>
                <w:szCs w:val="21"/>
              </w:rPr>
              <w:t>退市可转债收盘</w:t>
            </w:r>
            <w:r>
              <w:rPr>
                <w:rFonts w:cs="方正仿宋_GBK"/>
                <w:sz w:val="21"/>
                <w:szCs w:val="21"/>
              </w:rPr>
              <w:t>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cantSplit/>
          <w:trHeight w:val="567" w:hRule="atLeast"/>
          <w:jc w:val="center"/>
        </w:trPr>
        <w:tc>
          <w:tcPr>
            <w:tcW w:w="1268" w:type="dxa"/>
            <w:shd w:val="clear" w:color="auto" w:fill="auto"/>
            <w:vAlign w:val="center"/>
          </w:tcPr>
          <w:p>
            <w:pPr>
              <w:ind w:firstLine="0" w:firstLineChars="0"/>
              <w:rPr>
                <w:rFonts w:cs="方正仿宋_GBK"/>
                <w:sz w:val="21"/>
                <w:szCs w:val="21"/>
              </w:rPr>
            </w:pPr>
            <w:r>
              <w:rPr>
                <w:rFonts w:cs="方正仿宋_GBK"/>
                <w:sz w:val="21"/>
                <w:szCs w:val="21"/>
              </w:rPr>
              <w:t>10:30</w:t>
            </w:r>
          </w:p>
        </w:tc>
        <w:tc>
          <w:tcPr>
            <w:tcW w:w="6946" w:type="dxa"/>
            <w:gridSpan w:val="4"/>
            <w:shd w:val="clear" w:color="auto" w:fill="auto"/>
            <w:vAlign w:val="center"/>
          </w:tcPr>
          <w:p>
            <w:pPr>
              <w:ind w:firstLine="0" w:firstLineChars="0"/>
              <w:jc w:val="center"/>
              <w:rPr>
                <w:rFonts w:cs="方正仿宋_GBK"/>
                <w:sz w:val="21"/>
                <w:szCs w:val="21"/>
              </w:rPr>
            </w:pPr>
            <w:r>
              <w:rPr>
                <w:rFonts w:hint="eastAsia" w:cs="方正仿宋_GBK"/>
                <w:sz w:val="21"/>
                <w:szCs w:val="21"/>
              </w:rPr>
              <w:t>T日闭市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cantSplit/>
          <w:trHeight w:val="567" w:hRule="atLeast"/>
          <w:jc w:val="center"/>
        </w:trPr>
        <w:tc>
          <w:tcPr>
            <w:tcW w:w="1268" w:type="dxa"/>
            <w:shd w:val="clear" w:color="auto" w:fill="auto"/>
            <w:vAlign w:val="center"/>
          </w:tcPr>
          <w:p>
            <w:pPr>
              <w:ind w:firstLine="0" w:firstLineChars="0"/>
              <w:rPr>
                <w:rFonts w:cs="方正仿宋_GBK"/>
                <w:sz w:val="21"/>
                <w:szCs w:val="21"/>
              </w:rPr>
            </w:pPr>
            <w:r>
              <w:rPr>
                <w:rFonts w:cs="方正仿宋_GBK"/>
                <w:sz w:val="21"/>
                <w:szCs w:val="21"/>
              </w:rPr>
              <w:t>10:30</w:t>
            </w:r>
            <w:r>
              <w:rPr>
                <w:rFonts w:hint="eastAsia" w:cs="方正仿宋_GBK"/>
                <w:sz w:val="21"/>
                <w:szCs w:val="21"/>
              </w:rPr>
              <w:t>-1</w:t>
            </w:r>
            <w:r>
              <w:rPr>
                <w:rFonts w:cs="方正仿宋_GBK"/>
                <w:sz w:val="21"/>
                <w:szCs w:val="21"/>
              </w:rPr>
              <w:t>2</w:t>
            </w:r>
            <w:r>
              <w:rPr>
                <w:rFonts w:hint="eastAsia" w:cs="方正仿宋_GBK"/>
                <w:sz w:val="21"/>
                <w:szCs w:val="21"/>
              </w:rPr>
              <w:t>:00</w:t>
            </w:r>
          </w:p>
        </w:tc>
        <w:tc>
          <w:tcPr>
            <w:tcW w:w="3561" w:type="dxa"/>
            <w:gridSpan w:val="2"/>
            <w:shd w:val="clear" w:color="auto" w:fill="auto"/>
            <w:vAlign w:val="center"/>
          </w:tcPr>
          <w:p>
            <w:pPr>
              <w:ind w:firstLine="0" w:firstLineChars="0"/>
              <w:rPr>
                <w:rFonts w:cs="方正仿宋_GBK"/>
                <w:sz w:val="21"/>
                <w:szCs w:val="21"/>
              </w:rPr>
            </w:pPr>
            <w:r>
              <w:rPr>
                <w:rFonts w:cs="方正仿宋_GBK"/>
                <w:sz w:val="21"/>
                <w:szCs w:val="21"/>
              </w:rPr>
              <w:t>接收中国结算发送的T日清算交收数据</w:t>
            </w:r>
            <w:r>
              <w:rPr>
                <w:rFonts w:hint="eastAsia" w:cs="方正仿宋_GBK"/>
                <w:sz w:val="21"/>
                <w:szCs w:val="21"/>
              </w:rPr>
              <w:t>。</w:t>
            </w:r>
          </w:p>
        </w:tc>
        <w:tc>
          <w:tcPr>
            <w:tcW w:w="3385" w:type="dxa"/>
            <w:gridSpan w:val="2"/>
            <w:shd w:val="clear" w:color="auto" w:fill="auto"/>
            <w:vAlign w:val="center"/>
          </w:tcPr>
          <w:p>
            <w:pPr>
              <w:ind w:firstLine="0" w:firstLineChars="0"/>
              <w:rPr>
                <w:rFonts w:cs="方正仿宋_GBK"/>
                <w:sz w:val="21"/>
                <w:szCs w:val="21"/>
              </w:rPr>
            </w:pPr>
            <w:r>
              <w:rPr>
                <w:rFonts w:cs="方正仿宋_GBK"/>
                <w:sz w:val="21"/>
                <w:szCs w:val="21"/>
              </w:rPr>
              <w:t>接收中国结算发送的T日清算交收数据</w:t>
            </w:r>
            <w:r>
              <w:rPr>
                <w:rFonts w:hint="eastAsia"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 w:type="dxa"/>
          <w:cantSplit/>
          <w:trHeight w:val="567" w:hRule="atLeast"/>
          <w:jc w:val="center"/>
        </w:trPr>
        <w:tc>
          <w:tcPr>
            <w:tcW w:w="1268" w:type="dxa"/>
            <w:shd w:val="clear" w:color="auto" w:fill="auto"/>
            <w:vAlign w:val="center"/>
          </w:tcPr>
          <w:p>
            <w:pPr>
              <w:ind w:firstLine="0" w:firstLineChars="0"/>
              <w:rPr>
                <w:rFonts w:cs="方正仿宋_GBK"/>
                <w:sz w:val="21"/>
                <w:szCs w:val="21"/>
              </w:rPr>
            </w:pPr>
            <w:r>
              <w:rPr>
                <w:rFonts w:hint="eastAsia" w:cs="方正仿宋_GBK"/>
                <w:sz w:val="21"/>
                <w:szCs w:val="21"/>
              </w:rPr>
              <w:t>1</w:t>
            </w:r>
            <w:r>
              <w:rPr>
                <w:rFonts w:cs="方正仿宋_GBK"/>
                <w:sz w:val="21"/>
                <w:szCs w:val="21"/>
              </w:rPr>
              <w:t>2:</w:t>
            </w:r>
            <w:r>
              <w:rPr>
                <w:rFonts w:hint="eastAsia" w:cs="方正仿宋_GBK"/>
                <w:sz w:val="21"/>
                <w:szCs w:val="21"/>
              </w:rPr>
              <w:t>00-1</w:t>
            </w:r>
            <w:r>
              <w:rPr>
                <w:rFonts w:cs="方正仿宋_GBK"/>
                <w:sz w:val="21"/>
                <w:szCs w:val="21"/>
              </w:rPr>
              <w:t>4</w:t>
            </w:r>
            <w:r>
              <w:rPr>
                <w:rFonts w:hint="eastAsia" w:cs="方正仿宋_GBK"/>
                <w:sz w:val="21"/>
                <w:szCs w:val="21"/>
              </w:rPr>
              <w:t>:00</w:t>
            </w:r>
          </w:p>
        </w:tc>
        <w:tc>
          <w:tcPr>
            <w:tcW w:w="3561" w:type="dxa"/>
            <w:gridSpan w:val="2"/>
            <w:shd w:val="clear" w:color="auto" w:fill="auto"/>
            <w:vAlign w:val="center"/>
          </w:tcPr>
          <w:p>
            <w:pPr>
              <w:ind w:firstLine="0" w:firstLineChars="0"/>
              <w:rPr>
                <w:rFonts w:cs="方正仿宋_GBK"/>
                <w:sz w:val="21"/>
                <w:szCs w:val="21"/>
              </w:rPr>
            </w:pPr>
            <w:r>
              <w:rPr>
                <w:rFonts w:cs="方正仿宋_GBK"/>
                <w:sz w:val="21"/>
                <w:szCs w:val="21"/>
              </w:rPr>
              <w:t>根据中国结算数据进行</w:t>
            </w:r>
            <w:r>
              <w:rPr>
                <w:rFonts w:hint="eastAsia" w:cs="方正仿宋_GBK"/>
                <w:sz w:val="21"/>
                <w:szCs w:val="21"/>
              </w:rPr>
              <w:t>T</w:t>
            </w:r>
            <w:r>
              <w:rPr>
                <w:rFonts w:cs="方正仿宋_GBK"/>
                <w:sz w:val="21"/>
                <w:szCs w:val="21"/>
              </w:rPr>
              <w:t>日日终处理</w:t>
            </w:r>
            <w:r>
              <w:rPr>
                <w:rFonts w:hint="eastAsia" w:cs="方正仿宋_GBK"/>
                <w:sz w:val="21"/>
                <w:szCs w:val="21"/>
              </w:rPr>
              <w:t>，</w:t>
            </w:r>
            <w:r>
              <w:rPr>
                <w:rFonts w:cs="方正仿宋_GBK"/>
                <w:sz w:val="21"/>
                <w:szCs w:val="21"/>
              </w:rPr>
              <w:t>下发</w:t>
            </w:r>
            <w:r>
              <w:rPr>
                <w:rFonts w:hint="eastAsia" w:cs="方正仿宋_GBK"/>
                <w:sz w:val="21"/>
                <w:szCs w:val="21"/>
              </w:rPr>
              <w:t>适当性数据等文件</w:t>
            </w:r>
            <w:r>
              <w:rPr>
                <w:rFonts w:cs="方正仿宋_GBK"/>
                <w:sz w:val="21"/>
                <w:szCs w:val="21"/>
              </w:rPr>
              <w:t>。</w:t>
            </w:r>
          </w:p>
        </w:tc>
        <w:tc>
          <w:tcPr>
            <w:tcW w:w="3385" w:type="dxa"/>
            <w:gridSpan w:val="2"/>
            <w:shd w:val="clear" w:color="auto" w:fill="auto"/>
            <w:vAlign w:val="center"/>
          </w:tcPr>
          <w:p>
            <w:pPr>
              <w:ind w:firstLine="0" w:firstLineChars="0"/>
              <w:rPr>
                <w:rFonts w:cs="方正仿宋_GBK"/>
                <w:sz w:val="21"/>
                <w:szCs w:val="21"/>
              </w:rPr>
            </w:pPr>
            <w:r>
              <w:rPr>
                <w:rFonts w:cs="方正仿宋_GBK"/>
                <w:sz w:val="21"/>
                <w:szCs w:val="21"/>
              </w:rPr>
              <w:t>完成</w:t>
            </w:r>
            <w:r>
              <w:rPr>
                <w:rFonts w:hint="eastAsia" w:cs="方正仿宋_GBK"/>
                <w:sz w:val="21"/>
                <w:szCs w:val="21"/>
              </w:rPr>
              <w:t>T</w:t>
            </w:r>
            <w:r>
              <w:rPr>
                <w:rFonts w:cs="方正仿宋_GBK"/>
                <w:sz w:val="21"/>
                <w:szCs w:val="21"/>
              </w:rPr>
              <w:t>日</w:t>
            </w:r>
            <w:r>
              <w:rPr>
                <w:rFonts w:hint="eastAsia" w:cs="方正仿宋_GBK"/>
                <w:sz w:val="21"/>
                <w:szCs w:val="21"/>
              </w:rPr>
              <w:t>日终</w:t>
            </w:r>
            <w:r>
              <w:rPr>
                <w:rFonts w:cs="方正仿宋_GBK"/>
                <w:sz w:val="21"/>
                <w:szCs w:val="21"/>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jc w:val="center"/>
        </w:trPr>
        <w:tc>
          <w:tcPr>
            <w:tcW w:w="8225" w:type="dxa"/>
            <w:gridSpan w:val="6"/>
            <w:tcBorders>
              <w:bottom w:val="single" w:color="auto" w:sz="4" w:space="0"/>
            </w:tcBorders>
            <w:shd w:val="clear" w:color="auto" w:fill="D8D8D8" w:themeFill="background1" w:themeFillShade="D9"/>
          </w:tcPr>
          <w:p>
            <w:pPr>
              <w:ind w:firstLine="0" w:firstLineChars="0"/>
              <w:jc w:val="center"/>
              <w:rPr>
                <w:rFonts w:eastAsia="楷体" w:cs="Times New Roman"/>
                <w:b/>
                <w:color w:val="000000" w:themeColor="text1"/>
                <w:sz w:val="21"/>
                <w:szCs w:val="21"/>
                <w14:textFill>
                  <w14:solidFill>
                    <w14:schemeClr w14:val="tx1"/>
                  </w14:solidFill>
                </w14:textFill>
              </w:rPr>
            </w:pPr>
            <w:r>
              <w:rPr>
                <w:rFonts w:eastAsia="楷体" w:cs="Times New Roman"/>
                <w:b/>
                <w:color w:val="000000" w:themeColor="text1"/>
                <w:sz w:val="21"/>
                <w:szCs w:val="21"/>
                <w14:textFill>
                  <w14:solidFill>
                    <w14:schemeClr w14:val="tx1"/>
                  </w14:solidFill>
                </w14:textFill>
              </w:rPr>
              <w:t>T</w:t>
            </w:r>
            <w:r>
              <w:rPr>
                <w:rFonts w:hint="eastAsia" w:eastAsia="楷体" w:cs="Times New Roman"/>
                <w:b/>
                <w:color w:val="000000" w:themeColor="text1"/>
                <w:sz w:val="21"/>
                <w:szCs w:val="21"/>
                <w14:textFill>
                  <w14:solidFill>
                    <w14:schemeClr w14:val="tx1"/>
                  </w14:solidFill>
                </w14:textFill>
              </w:rPr>
              <w:t>+</w:t>
            </w:r>
            <w:r>
              <w:rPr>
                <w:rFonts w:eastAsia="楷体" w:cs="Times New Roman"/>
                <w:b/>
                <w:color w:val="000000" w:themeColor="text1"/>
                <w:sz w:val="21"/>
                <w:szCs w:val="21"/>
                <w14:textFill>
                  <w14:solidFill>
                    <w14:schemeClr w14:val="tx1"/>
                  </w14:solidFill>
                </w14:textFill>
              </w:rPr>
              <w:t>1日测试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79" w:type="dxa"/>
            <w:gridSpan w:val="2"/>
            <w:vAlign w:val="center"/>
          </w:tcPr>
          <w:p>
            <w:pPr>
              <w:ind w:firstLine="0" w:firstLineChars="0"/>
              <w:rPr>
                <w:rFonts w:cs="方正仿宋_GBK"/>
                <w:sz w:val="21"/>
                <w:szCs w:val="21"/>
              </w:rPr>
            </w:pPr>
            <w:r>
              <w:rPr>
                <w:rFonts w:hint="eastAsia" w:cs="方正仿宋_GBK"/>
                <w:sz w:val="21"/>
                <w:szCs w:val="21"/>
              </w:rPr>
              <w:t>1</w:t>
            </w:r>
            <w:r>
              <w:rPr>
                <w:rFonts w:cs="方正仿宋_GBK"/>
                <w:sz w:val="21"/>
                <w:szCs w:val="21"/>
              </w:rPr>
              <w:t>4:00</w:t>
            </w:r>
          </w:p>
        </w:tc>
        <w:tc>
          <w:tcPr>
            <w:tcW w:w="3561" w:type="dxa"/>
            <w:gridSpan w:val="2"/>
            <w:shd w:val="clear" w:color="auto" w:fill="auto"/>
            <w:vAlign w:val="center"/>
          </w:tcPr>
          <w:p>
            <w:pPr>
              <w:ind w:firstLine="0" w:firstLineChars="0"/>
              <w:rPr>
                <w:rFonts w:cs="方正仿宋_GBK"/>
                <w:sz w:val="21"/>
                <w:szCs w:val="21"/>
              </w:rPr>
            </w:pPr>
            <w:r>
              <w:rPr>
                <w:rFonts w:cs="方正仿宋_GBK"/>
                <w:sz w:val="21"/>
                <w:szCs w:val="21"/>
              </w:rPr>
              <w:t>发送初始</w:t>
            </w:r>
            <w:r>
              <w:rPr>
                <w:rFonts w:hint="eastAsia" w:cs="方正仿宋_GBK"/>
                <w:sz w:val="21"/>
                <w:szCs w:val="21"/>
              </w:rPr>
              <w:t>证券</w:t>
            </w:r>
            <w:r>
              <w:rPr>
                <w:rFonts w:cs="方正仿宋_GBK"/>
                <w:sz w:val="21"/>
                <w:szCs w:val="21"/>
              </w:rPr>
              <w:t>行情库，当日证券信息库等。</w:t>
            </w:r>
          </w:p>
        </w:tc>
        <w:tc>
          <w:tcPr>
            <w:tcW w:w="3385" w:type="dxa"/>
            <w:gridSpan w:val="2"/>
            <w:shd w:val="clear" w:color="auto" w:fill="auto"/>
            <w:vAlign w:val="center"/>
          </w:tcPr>
          <w:p>
            <w:pPr>
              <w:ind w:firstLine="0" w:firstLineChars="0"/>
              <w:rPr>
                <w:rFonts w:cs="方正仿宋_GBK"/>
                <w:sz w:val="21"/>
                <w:szCs w:val="21"/>
              </w:rPr>
            </w:pPr>
            <w:r>
              <w:rPr>
                <w:rFonts w:cs="方正仿宋_GBK"/>
                <w:sz w:val="21"/>
                <w:szCs w:val="21"/>
              </w:rPr>
              <w:t>接收初始</w:t>
            </w:r>
            <w:r>
              <w:rPr>
                <w:rFonts w:hint="eastAsia" w:cs="方正仿宋_GBK"/>
                <w:sz w:val="21"/>
                <w:szCs w:val="21"/>
              </w:rPr>
              <w:t>证券</w:t>
            </w:r>
            <w:r>
              <w:rPr>
                <w:rFonts w:cs="方正仿宋_GBK"/>
                <w:sz w:val="21"/>
                <w:szCs w:val="21"/>
              </w:rPr>
              <w:t>行情库、证券信息库等。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79" w:type="dxa"/>
            <w:gridSpan w:val="2"/>
            <w:vAlign w:val="center"/>
          </w:tcPr>
          <w:p>
            <w:pPr>
              <w:ind w:firstLine="0" w:firstLineChars="0"/>
              <w:rPr>
                <w:rFonts w:cs="方正仿宋_GBK"/>
                <w:sz w:val="21"/>
                <w:szCs w:val="21"/>
              </w:rPr>
            </w:pPr>
          </w:p>
          <w:p>
            <w:pPr>
              <w:ind w:firstLine="0" w:firstLineChars="0"/>
              <w:rPr>
                <w:rFonts w:cs="方正仿宋_GBK"/>
                <w:sz w:val="21"/>
                <w:szCs w:val="21"/>
              </w:rPr>
            </w:pPr>
          </w:p>
          <w:p>
            <w:pPr>
              <w:ind w:firstLine="0" w:firstLineChars="0"/>
              <w:jc w:val="center"/>
              <w:rPr>
                <w:rFonts w:cs="方正仿宋_GBK"/>
                <w:sz w:val="21"/>
                <w:szCs w:val="21"/>
              </w:rPr>
            </w:pPr>
            <w:r>
              <w:rPr>
                <w:rFonts w:cs="方正仿宋_GBK"/>
                <w:sz w:val="21"/>
                <w:szCs w:val="21"/>
              </w:rPr>
              <w:t>14:15-14:30</w:t>
            </w:r>
          </w:p>
        </w:tc>
        <w:tc>
          <w:tcPr>
            <w:tcW w:w="3561" w:type="dxa"/>
            <w:gridSpan w:val="2"/>
            <w:shd w:val="clear" w:color="auto" w:fill="auto"/>
            <w:vAlign w:val="center"/>
          </w:tcPr>
          <w:p>
            <w:pPr>
              <w:ind w:firstLine="0" w:firstLineChars="0"/>
              <w:rPr>
                <w:rFonts w:cs="方正仿宋_GBK"/>
                <w:sz w:val="21"/>
                <w:szCs w:val="21"/>
              </w:rPr>
            </w:pPr>
            <w:r>
              <w:rPr>
                <w:rFonts w:hint="eastAsia" w:cs="方正仿宋_GBK"/>
                <w:sz w:val="21"/>
                <w:szCs w:val="21"/>
              </w:rPr>
              <w:t>禁止退市可转债转让、回售、转股申报；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库，不发送与当天退市可转债交易相关的任何行情。</w:t>
            </w:r>
          </w:p>
        </w:tc>
        <w:tc>
          <w:tcPr>
            <w:tcW w:w="3385" w:type="dxa"/>
            <w:gridSpan w:val="2"/>
            <w:shd w:val="clear" w:color="auto" w:fill="auto"/>
            <w:vAlign w:val="center"/>
          </w:tcPr>
          <w:p>
            <w:pPr>
              <w:ind w:firstLine="0" w:firstLineChars="0"/>
              <w:rPr>
                <w:rFonts w:cs="方正仿宋_GBK"/>
                <w:sz w:val="21"/>
                <w:szCs w:val="21"/>
              </w:rPr>
            </w:pPr>
            <w:r>
              <w:rPr>
                <w:rFonts w:hint="eastAsia" w:cs="方正仿宋_GBK"/>
                <w:sz w:val="21"/>
                <w:szCs w:val="21"/>
              </w:rPr>
              <w:t>退市可转债转让、回售、转股申报</w:t>
            </w:r>
            <w:r>
              <w:rPr>
                <w:rFonts w:cs="方正仿宋_GBK"/>
                <w:sz w:val="21"/>
                <w:szCs w:val="21"/>
              </w:rPr>
              <w:t>废单</w:t>
            </w:r>
            <w:r>
              <w:rPr>
                <w:rFonts w:hint="eastAsia" w:cs="方正仿宋_GBK"/>
                <w:sz w:val="21"/>
                <w:szCs w:val="21"/>
              </w:rPr>
              <w:t>；</w:t>
            </w:r>
          </w:p>
          <w:p>
            <w:pPr>
              <w:ind w:firstLine="0" w:firstLineChars="0"/>
              <w:rPr>
                <w:rFonts w:cs="方正仿宋_GBK"/>
                <w:sz w:val="21"/>
                <w:szCs w:val="21"/>
              </w:rPr>
            </w:pPr>
            <w:r>
              <w:rPr>
                <w:rFonts w:cs="方正仿宋_GBK"/>
                <w:sz w:val="21"/>
                <w:szCs w:val="21"/>
              </w:rPr>
              <w:t>接收</w:t>
            </w:r>
            <w:r>
              <w:rPr>
                <w:rFonts w:hint="eastAsia" w:cs="方正仿宋_GBK"/>
                <w:sz w:val="21"/>
                <w:szCs w:val="21"/>
              </w:rPr>
              <w:t>并</w:t>
            </w:r>
            <w:r>
              <w:rPr>
                <w:rFonts w:cs="方正仿宋_GBK"/>
                <w:sz w:val="21"/>
                <w:szCs w:val="21"/>
              </w:rPr>
              <w:t>正确揭示</w:t>
            </w:r>
            <w:r>
              <w:rPr>
                <w:rFonts w:hint="eastAsia" w:cs="方正仿宋_GBK"/>
                <w:sz w:val="21"/>
                <w:szCs w:val="21"/>
              </w:rPr>
              <w:t>证券信息库和</w:t>
            </w:r>
            <w:r>
              <w:rPr>
                <w:rFonts w:cs="方正仿宋_GBK"/>
                <w:sz w:val="21"/>
                <w:szCs w:val="21"/>
              </w:rPr>
              <w:t>证券行情</w:t>
            </w:r>
            <w:r>
              <w:rPr>
                <w:rFonts w:hint="eastAsia" w:cs="方正仿宋_GBK"/>
                <w:sz w:val="21"/>
                <w:szCs w:val="21"/>
              </w:rPr>
              <w:t>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79" w:type="dxa"/>
            <w:gridSpan w:val="2"/>
            <w:vAlign w:val="center"/>
          </w:tcPr>
          <w:p>
            <w:pPr>
              <w:ind w:firstLine="0" w:firstLineChars="0"/>
              <w:rPr>
                <w:rFonts w:cs="方正仿宋_GBK"/>
                <w:sz w:val="21"/>
                <w:szCs w:val="21"/>
              </w:rPr>
            </w:pPr>
          </w:p>
          <w:p>
            <w:pPr>
              <w:ind w:firstLine="0" w:firstLineChars="0"/>
              <w:rPr>
                <w:rFonts w:cs="方正仿宋_GBK"/>
                <w:sz w:val="21"/>
                <w:szCs w:val="21"/>
              </w:rPr>
            </w:pPr>
          </w:p>
          <w:p>
            <w:pPr>
              <w:ind w:firstLine="0" w:firstLineChars="0"/>
              <w:rPr>
                <w:rFonts w:cs="方正仿宋_GBK"/>
                <w:sz w:val="21"/>
                <w:szCs w:val="21"/>
              </w:rPr>
            </w:pPr>
            <w:r>
              <w:rPr>
                <w:rFonts w:cs="方正仿宋_GBK"/>
                <w:sz w:val="21"/>
                <w:szCs w:val="21"/>
              </w:rPr>
              <w:t>14:30-15:20</w:t>
            </w:r>
          </w:p>
        </w:tc>
        <w:tc>
          <w:tcPr>
            <w:tcW w:w="3561" w:type="dxa"/>
            <w:gridSpan w:val="2"/>
            <w:shd w:val="clear" w:color="auto" w:fill="auto"/>
            <w:vAlign w:val="center"/>
          </w:tcPr>
          <w:p>
            <w:pPr>
              <w:ind w:firstLine="0" w:firstLineChars="0"/>
              <w:rPr>
                <w:rFonts w:cs="方正仿宋_GBK"/>
                <w:sz w:val="21"/>
                <w:szCs w:val="21"/>
              </w:rPr>
            </w:pPr>
            <w:r>
              <w:rPr>
                <w:rFonts w:hint="eastAsia" w:cs="方正仿宋_GBK"/>
                <w:sz w:val="21"/>
                <w:szCs w:val="21"/>
              </w:rPr>
              <w:t>处理退市可转债转让、回售、转股申报；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库，不发送与当天退市可转债交易相关的任何行情。</w:t>
            </w:r>
          </w:p>
        </w:tc>
        <w:tc>
          <w:tcPr>
            <w:tcW w:w="3385" w:type="dxa"/>
            <w:gridSpan w:val="2"/>
            <w:shd w:val="clear" w:color="auto" w:fill="auto"/>
            <w:vAlign w:val="center"/>
          </w:tcPr>
          <w:p>
            <w:pPr>
              <w:ind w:firstLine="0" w:firstLineChars="0"/>
              <w:rPr>
                <w:rFonts w:cs="方正仿宋_GBK"/>
                <w:sz w:val="21"/>
                <w:szCs w:val="21"/>
              </w:rPr>
            </w:pPr>
            <w:r>
              <w:rPr>
                <w:rFonts w:hint="eastAsia" w:cs="方正仿宋_GBK"/>
                <w:sz w:val="21"/>
                <w:szCs w:val="21"/>
              </w:rPr>
              <w:t>发送退市可转债转让、回售、转股申报，处理确认回报；</w:t>
            </w:r>
          </w:p>
          <w:p>
            <w:pPr>
              <w:ind w:firstLine="0" w:firstLineChars="0"/>
              <w:rPr>
                <w:rFonts w:cs="方正仿宋_GBK"/>
                <w:sz w:val="21"/>
                <w:szCs w:val="21"/>
              </w:rPr>
            </w:pPr>
            <w:r>
              <w:rPr>
                <w:rFonts w:cs="方正仿宋_GBK"/>
                <w:sz w:val="21"/>
                <w:szCs w:val="21"/>
              </w:rPr>
              <w:t>接收</w:t>
            </w:r>
            <w:r>
              <w:rPr>
                <w:rFonts w:hint="eastAsia" w:cs="方正仿宋_GBK"/>
                <w:sz w:val="21"/>
                <w:szCs w:val="21"/>
              </w:rPr>
              <w:t>并</w:t>
            </w:r>
            <w:r>
              <w:rPr>
                <w:rFonts w:cs="方正仿宋_GBK"/>
                <w:sz w:val="21"/>
                <w:szCs w:val="21"/>
              </w:rPr>
              <w:t>正确揭示</w:t>
            </w:r>
            <w:r>
              <w:rPr>
                <w:rFonts w:hint="eastAsia" w:cs="方正仿宋_GBK"/>
                <w:sz w:val="21"/>
                <w:szCs w:val="21"/>
              </w:rPr>
              <w:t>证券信息库和</w:t>
            </w:r>
            <w:r>
              <w:rPr>
                <w:rFonts w:cs="方正仿宋_GBK"/>
                <w:sz w:val="21"/>
                <w:szCs w:val="21"/>
              </w:rPr>
              <w:t>证券行情</w:t>
            </w:r>
            <w:r>
              <w:rPr>
                <w:rFonts w:hint="eastAsia" w:cs="方正仿宋_GBK"/>
                <w:sz w:val="21"/>
                <w:szCs w:val="21"/>
              </w:rPr>
              <w:t>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79" w:type="dxa"/>
            <w:gridSpan w:val="2"/>
            <w:vAlign w:val="center"/>
          </w:tcPr>
          <w:p>
            <w:pPr>
              <w:ind w:firstLine="0" w:firstLineChars="0"/>
              <w:rPr>
                <w:rFonts w:cs="方正仿宋_GBK"/>
                <w:sz w:val="21"/>
                <w:szCs w:val="21"/>
              </w:rPr>
            </w:pPr>
            <w:r>
              <w:rPr>
                <w:rFonts w:cs="方正仿宋_GBK"/>
                <w:sz w:val="21"/>
                <w:szCs w:val="21"/>
              </w:rPr>
              <w:t>15:20-15:30</w:t>
            </w:r>
          </w:p>
        </w:tc>
        <w:tc>
          <w:tcPr>
            <w:tcW w:w="6946" w:type="dxa"/>
            <w:gridSpan w:val="4"/>
            <w:shd w:val="clear" w:color="auto" w:fill="auto"/>
            <w:vAlign w:val="center"/>
          </w:tcPr>
          <w:p>
            <w:pPr>
              <w:ind w:firstLine="0" w:firstLineChars="0"/>
              <w:rPr>
                <w:rFonts w:cs="方正仿宋_GBK"/>
                <w:sz w:val="21"/>
                <w:szCs w:val="21"/>
              </w:rPr>
            </w:pPr>
            <w:r>
              <w:rPr>
                <w:rFonts w:cs="方正仿宋_GBK"/>
                <w:sz w:val="21"/>
                <w:szCs w:val="21"/>
              </w:rPr>
              <w:t>中午休市，不接收申报处理。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79" w:type="dxa"/>
            <w:gridSpan w:val="2"/>
            <w:vAlign w:val="center"/>
          </w:tcPr>
          <w:p>
            <w:pPr>
              <w:ind w:firstLine="0" w:firstLineChars="0"/>
              <w:rPr>
                <w:rFonts w:cs="方正仿宋_GBK"/>
                <w:sz w:val="21"/>
                <w:szCs w:val="21"/>
              </w:rPr>
            </w:pPr>
          </w:p>
          <w:p>
            <w:pPr>
              <w:ind w:firstLine="0" w:firstLineChars="0"/>
              <w:rPr>
                <w:rFonts w:cs="方正仿宋_GBK"/>
                <w:sz w:val="21"/>
                <w:szCs w:val="21"/>
              </w:rPr>
            </w:pPr>
          </w:p>
          <w:p>
            <w:pPr>
              <w:ind w:firstLine="0" w:firstLineChars="0"/>
              <w:rPr>
                <w:rFonts w:cs="方正仿宋_GBK"/>
                <w:sz w:val="21"/>
                <w:szCs w:val="21"/>
              </w:rPr>
            </w:pPr>
            <w:r>
              <w:rPr>
                <w:rFonts w:cs="方正仿宋_GBK"/>
                <w:sz w:val="21"/>
                <w:szCs w:val="21"/>
              </w:rPr>
              <w:t>15:30-16:20</w:t>
            </w:r>
          </w:p>
        </w:tc>
        <w:tc>
          <w:tcPr>
            <w:tcW w:w="3561" w:type="dxa"/>
            <w:gridSpan w:val="2"/>
            <w:shd w:val="clear" w:color="auto" w:fill="auto"/>
            <w:vAlign w:val="center"/>
          </w:tcPr>
          <w:p>
            <w:pPr>
              <w:ind w:firstLine="0" w:firstLineChars="0"/>
              <w:rPr>
                <w:rFonts w:cs="方正仿宋_GBK"/>
                <w:sz w:val="21"/>
                <w:szCs w:val="21"/>
              </w:rPr>
            </w:pPr>
            <w:r>
              <w:rPr>
                <w:rFonts w:hint="eastAsia" w:cs="方正仿宋_GBK"/>
                <w:sz w:val="21"/>
                <w:szCs w:val="21"/>
              </w:rPr>
              <w:t>处理退市可转债转让、回售、转股申报；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库，不发送与当天退市可转债交易相关的任何行情。</w:t>
            </w:r>
          </w:p>
        </w:tc>
        <w:tc>
          <w:tcPr>
            <w:tcW w:w="3385" w:type="dxa"/>
            <w:gridSpan w:val="2"/>
            <w:shd w:val="clear" w:color="auto" w:fill="auto"/>
            <w:vAlign w:val="center"/>
          </w:tcPr>
          <w:p>
            <w:pPr>
              <w:ind w:firstLine="0" w:firstLineChars="0"/>
              <w:rPr>
                <w:rFonts w:cs="方正仿宋_GBK"/>
                <w:sz w:val="21"/>
                <w:szCs w:val="21"/>
              </w:rPr>
            </w:pPr>
            <w:r>
              <w:rPr>
                <w:rFonts w:hint="eastAsia" w:cs="方正仿宋_GBK"/>
                <w:sz w:val="21"/>
                <w:szCs w:val="21"/>
              </w:rPr>
              <w:t>发送退市可转债转让、回售、转股申报，处理确认回报；</w:t>
            </w:r>
          </w:p>
          <w:p>
            <w:pPr>
              <w:ind w:firstLine="0" w:firstLineChars="0"/>
              <w:rPr>
                <w:rFonts w:cs="方正仿宋_GBK"/>
                <w:sz w:val="21"/>
                <w:szCs w:val="21"/>
              </w:rPr>
            </w:pPr>
            <w:r>
              <w:rPr>
                <w:rFonts w:cs="方正仿宋_GBK"/>
                <w:sz w:val="21"/>
                <w:szCs w:val="21"/>
              </w:rPr>
              <w:t>接收</w:t>
            </w:r>
            <w:r>
              <w:rPr>
                <w:rFonts w:hint="eastAsia" w:cs="方正仿宋_GBK"/>
                <w:sz w:val="21"/>
                <w:szCs w:val="21"/>
              </w:rPr>
              <w:t>并</w:t>
            </w:r>
            <w:r>
              <w:rPr>
                <w:rFonts w:cs="方正仿宋_GBK"/>
                <w:sz w:val="21"/>
                <w:szCs w:val="21"/>
              </w:rPr>
              <w:t>正确揭示</w:t>
            </w:r>
            <w:r>
              <w:rPr>
                <w:rFonts w:hint="eastAsia" w:cs="方正仿宋_GBK"/>
                <w:sz w:val="21"/>
                <w:szCs w:val="21"/>
              </w:rPr>
              <w:t>证券信息库和</w:t>
            </w:r>
            <w:r>
              <w:rPr>
                <w:rFonts w:cs="方正仿宋_GBK"/>
                <w:sz w:val="21"/>
                <w:szCs w:val="21"/>
              </w:rPr>
              <w:t>证券行情</w:t>
            </w:r>
            <w:r>
              <w:rPr>
                <w:rFonts w:hint="eastAsia" w:cs="方正仿宋_GBK"/>
                <w:sz w:val="21"/>
                <w:szCs w:val="21"/>
              </w:rPr>
              <w:t>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6" w:hRule="atLeast"/>
          <w:jc w:val="center"/>
        </w:trPr>
        <w:tc>
          <w:tcPr>
            <w:tcW w:w="1279" w:type="dxa"/>
            <w:gridSpan w:val="2"/>
            <w:vAlign w:val="center"/>
          </w:tcPr>
          <w:p>
            <w:pPr>
              <w:ind w:firstLine="0" w:firstLineChars="0"/>
              <w:rPr>
                <w:rFonts w:cs="方正仿宋_GBK"/>
                <w:sz w:val="21"/>
                <w:szCs w:val="21"/>
              </w:rPr>
            </w:pPr>
          </w:p>
          <w:p>
            <w:pPr>
              <w:ind w:firstLine="0" w:firstLineChars="0"/>
              <w:rPr>
                <w:rFonts w:cs="方正仿宋_GBK"/>
                <w:sz w:val="21"/>
                <w:szCs w:val="21"/>
              </w:rPr>
            </w:pPr>
          </w:p>
          <w:p>
            <w:pPr>
              <w:ind w:firstLine="0" w:firstLineChars="0"/>
              <w:rPr>
                <w:rFonts w:cs="方正仿宋_GBK"/>
                <w:sz w:val="21"/>
                <w:szCs w:val="21"/>
              </w:rPr>
            </w:pPr>
            <w:r>
              <w:rPr>
                <w:rFonts w:cs="方正仿宋_GBK"/>
                <w:sz w:val="21"/>
                <w:szCs w:val="21"/>
              </w:rPr>
              <w:t>16:20-16:30</w:t>
            </w:r>
          </w:p>
        </w:tc>
        <w:tc>
          <w:tcPr>
            <w:tcW w:w="3561" w:type="dxa"/>
            <w:gridSpan w:val="2"/>
            <w:shd w:val="clear" w:color="auto" w:fill="auto"/>
            <w:vAlign w:val="center"/>
          </w:tcPr>
          <w:p>
            <w:pPr>
              <w:ind w:firstLine="0" w:firstLineChars="0"/>
              <w:rPr>
                <w:rFonts w:cs="方正仿宋_GBK"/>
                <w:sz w:val="21"/>
                <w:szCs w:val="21"/>
              </w:rPr>
            </w:pPr>
            <w:r>
              <w:rPr>
                <w:rFonts w:hint="eastAsia" w:cs="方正仿宋_GBK"/>
                <w:sz w:val="21"/>
                <w:szCs w:val="21"/>
              </w:rPr>
              <w:t>禁止退市可转债转让、回售、转股申报；</w:t>
            </w:r>
          </w:p>
          <w:p>
            <w:pPr>
              <w:ind w:firstLine="0" w:firstLineChars="0"/>
              <w:rPr>
                <w:rFonts w:cs="方正仿宋_GBK"/>
                <w:sz w:val="21"/>
                <w:szCs w:val="21"/>
              </w:rPr>
            </w:pPr>
            <w:r>
              <w:rPr>
                <w:rFonts w:hint="eastAsia" w:cs="方正仿宋_GBK"/>
                <w:sz w:val="21"/>
                <w:szCs w:val="21"/>
              </w:rPr>
              <w:t>发送证券信息库和</w:t>
            </w:r>
            <w:r>
              <w:rPr>
                <w:rFonts w:cs="方正仿宋_GBK"/>
                <w:sz w:val="21"/>
                <w:szCs w:val="21"/>
              </w:rPr>
              <w:t>证券行情</w:t>
            </w:r>
            <w:r>
              <w:rPr>
                <w:rFonts w:hint="eastAsia" w:cs="方正仿宋_GBK"/>
                <w:sz w:val="21"/>
                <w:szCs w:val="21"/>
              </w:rPr>
              <w:t>库，实时</w:t>
            </w:r>
            <w:r>
              <w:rPr>
                <w:rFonts w:cs="方正仿宋_GBK"/>
                <w:sz w:val="21"/>
                <w:szCs w:val="21"/>
              </w:rPr>
              <w:t>发送</w:t>
            </w:r>
            <w:r>
              <w:rPr>
                <w:rFonts w:hint="eastAsia" w:cs="方正仿宋_GBK"/>
                <w:sz w:val="21"/>
                <w:szCs w:val="21"/>
              </w:rPr>
              <w:t>退市可转债收盘</w:t>
            </w:r>
            <w:r>
              <w:rPr>
                <w:rFonts w:cs="方正仿宋_GBK"/>
                <w:sz w:val="21"/>
                <w:szCs w:val="21"/>
              </w:rPr>
              <w:t>行情。</w:t>
            </w:r>
          </w:p>
        </w:tc>
        <w:tc>
          <w:tcPr>
            <w:tcW w:w="3385" w:type="dxa"/>
            <w:gridSpan w:val="2"/>
            <w:shd w:val="clear" w:color="auto" w:fill="auto"/>
            <w:vAlign w:val="center"/>
          </w:tcPr>
          <w:p>
            <w:pPr>
              <w:ind w:firstLine="0" w:firstLineChars="0"/>
              <w:rPr>
                <w:rFonts w:cs="方正仿宋_GBK"/>
                <w:sz w:val="21"/>
                <w:szCs w:val="21"/>
              </w:rPr>
            </w:pPr>
            <w:r>
              <w:rPr>
                <w:rFonts w:hint="eastAsia" w:cs="方正仿宋_GBK"/>
                <w:sz w:val="21"/>
                <w:szCs w:val="21"/>
              </w:rPr>
              <w:t>退市可转债转让、回售、转股申报</w:t>
            </w:r>
            <w:r>
              <w:rPr>
                <w:rFonts w:cs="方正仿宋_GBK"/>
                <w:sz w:val="21"/>
                <w:szCs w:val="21"/>
              </w:rPr>
              <w:t>废单</w:t>
            </w:r>
            <w:r>
              <w:rPr>
                <w:rFonts w:hint="eastAsia" w:cs="方正仿宋_GBK"/>
                <w:sz w:val="21"/>
                <w:szCs w:val="21"/>
              </w:rPr>
              <w:t>；</w:t>
            </w:r>
          </w:p>
          <w:p>
            <w:pPr>
              <w:ind w:firstLine="0" w:firstLineChars="0"/>
              <w:rPr>
                <w:rFonts w:cs="方正仿宋_GBK"/>
                <w:sz w:val="21"/>
                <w:szCs w:val="21"/>
              </w:rPr>
            </w:pPr>
            <w:r>
              <w:rPr>
                <w:rFonts w:hint="eastAsia" w:cs="方正仿宋_GBK"/>
                <w:sz w:val="21"/>
                <w:szCs w:val="21"/>
              </w:rPr>
              <w:t>接收并</w:t>
            </w:r>
            <w:r>
              <w:rPr>
                <w:rFonts w:cs="方正仿宋_GBK"/>
                <w:sz w:val="21"/>
                <w:szCs w:val="21"/>
              </w:rPr>
              <w:t>正确揭示</w:t>
            </w:r>
            <w:r>
              <w:rPr>
                <w:rFonts w:hint="eastAsia" w:cs="方正仿宋_GBK"/>
                <w:sz w:val="21"/>
                <w:szCs w:val="21"/>
              </w:rPr>
              <w:t>退市可转债收盘</w:t>
            </w:r>
            <w:r>
              <w:rPr>
                <w:rFonts w:cs="方正仿宋_GBK"/>
                <w:sz w:val="21"/>
                <w:szCs w:val="21"/>
              </w:rPr>
              <w:t>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79" w:type="dxa"/>
            <w:gridSpan w:val="2"/>
            <w:vAlign w:val="center"/>
          </w:tcPr>
          <w:p>
            <w:pPr>
              <w:ind w:firstLine="0" w:firstLineChars="0"/>
              <w:rPr>
                <w:rFonts w:cs="方正仿宋_GBK"/>
                <w:sz w:val="21"/>
                <w:szCs w:val="21"/>
              </w:rPr>
            </w:pPr>
            <w:r>
              <w:rPr>
                <w:rFonts w:hint="eastAsia" w:cs="方正仿宋_GBK"/>
                <w:sz w:val="21"/>
                <w:szCs w:val="21"/>
              </w:rPr>
              <w:t>1</w:t>
            </w:r>
            <w:r>
              <w:rPr>
                <w:rFonts w:cs="方正仿宋_GBK"/>
                <w:sz w:val="21"/>
                <w:szCs w:val="21"/>
              </w:rPr>
              <w:t>6</w:t>
            </w:r>
            <w:r>
              <w:rPr>
                <w:rFonts w:hint="eastAsia" w:cs="方正仿宋_GBK"/>
                <w:sz w:val="21"/>
                <w:szCs w:val="21"/>
              </w:rPr>
              <w:t>:3</w:t>
            </w:r>
            <w:r>
              <w:rPr>
                <w:rFonts w:cs="方正仿宋_GBK"/>
                <w:sz w:val="21"/>
                <w:szCs w:val="21"/>
              </w:rPr>
              <w:t>0</w:t>
            </w:r>
          </w:p>
        </w:tc>
        <w:tc>
          <w:tcPr>
            <w:tcW w:w="6946" w:type="dxa"/>
            <w:gridSpan w:val="4"/>
            <w:shd w:val="clear" w:color="auto" w:fill="auto"/>
            <w:vAlign w:val="center"/>
          </w:tcPr>
          <w:p>
            <w:pPr>
              <w:ind w:firstLine="0" w:firstLineChars="0"/>
              <w:jc w:val="center"/>
              <w:rPr>
                <w:rFonts w:cs="方正仿宋_GBK"/>
                <w:sz w:val="21"/>
                <w:szCs w:val="21"/>
              </w:rPr>
            </w:pPr>
            <w:r>
              <w:rPr>
                <w:rFonts w:hint="eastAsia" w:cs="方正仿宋_GBK"/>
                <w:sz w:val="21"/>
                <w:szCs w:val="21"/>
              </w:rPr>
              <w:t>T+</w:t>
            </w:r>
            <w:r>
              <w:rPr>
                <w:rFonts w:cs="方正仿宋_GBK"/>
                <w:sz w:val="21"/>
                <w:szCs w:val="21"/>
              </w:rPr>
              <w:t>1</w:t>
            </w:r>
            <w:r>
              <w:rPr>
                <w:rFonts w:hint="eastAsia" w:cs="方正仿宋_GBK"/>
                <w:sz w:val="21"/>
                <w:szCs w:val="21"/>
              </w:rPr>
              <w:t>日闭市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79" w:type="dxa"/>
            <w:gridSpan w:val="2"/>
            <w:vAlign w:val="center"/>
          </w:tcPr>
          <w:p>
            <w:pPr>
              <w:ind w:firstLine="0" w:firstLineChars="0"/>
              <w:rPr>
                <w:rFonts w:cs="方正仿宋_GBK"/>
                <w:sz w:val="21"/>
                <w:szCs w:val="21"/>
              </w:rPr>
            </w:pPr>
            <w:r>
              <w:rPr>
                <w:rFonts w:hint="eastAsia" w:cs="方正仿宋_GBK"/>
                <w:sz w:val="21"/>
                <w:szCs w:val="21"/>
              </w:rPr>
              <w:t>1</w:t>
            </w:r>
            <w:r>
              <w:rPr>
                <w:rFonts w:cs="方正仿宋_GBK"/>
                <w:sz w:val="21"/>
                <w:szCs w:val="21"/>
              </w:rPr>
              <w:t>6</w:t>
            </w:r>
            <w:r>
              <w:rPr>
                <w:rFonts w:hint="eastAsia" w:cs="方正仿宋_GBK"/>
                <w:sz w:val="21"/>
                <w:szCs w:val="21"/>
              </w:rPr>
              <w:t>:3</w:t>
            </w:r>
            <w:r>
              <w:rPr>
                <w:rFonts w:cs="方正仿宋_GBK"/>
                <w:sz w:val="21"/>
                <w:szCs w:val="21"/>
              </w:rPr>
              <w:t>0</w:t>
            </w:r>
            <w:r>
              <w:rPr>
                <w:rFonts w:hint="eastAsia" w:cs="方正仿宋_GBK"/>
                <w:sz w:val="21"/>
                <w:szCs w:val="21"/>
              </w:rPr>
              <w:t>-</w:t>
            </w:r>
            <w:r>
              <w:rPr>
                <w:rFonts w:cs="方正仿宋_GBK"/>
                <w:sz w:val="21"/>
                <w:szCs w:val="21"/>
              </w:rPr>
              <w:t>18</w:t>
            </w:r>
            <w:r>
              <w:rPr>
                <w:rFonts w:hint="eastAsia" w:cs="方正仿宋_GBK"/>
                <w:sz w:val="21"/>
                <w:szCs w:val="21"/>
              </w:rPr>
              <w:t>:0</w:t>
            </w:r>
            <w:r>
              <w:rPr>
                <w:rFonts w:cs="方正仿宋_GBK"/>
                <w:sz w:val="21"/>
                <w:szCs w:val="21"/>
              </w:rPr>
              <w:t>0</w:t>
            </w:r>
          </w:p>
        </w:tc>
        <w:tc>
          <w:tcPr>
            <w:tcW w:w="3561" w:type="dxa"/>
            <w:gridSpan w:val="2"/>
            <w:shd w:val="clear" w:color="auto" w:fill="auto"/>
            <w:vAlign w:val="center"/>
          </w:tcPr>
          <w:p>
            <w:pPr>
              <w:ind w:firstLine="0" w:firstLineChars="0"/>
              <w:rPr>
                <w:rFonts w:cs="方正仿宋_GBK"/>
                <w:sz w:val="21"/>
                <w:szCs w:val="21"/>
              </w:rPr>
            </w:pPr>
            <w:r>
              <w:rPr>
                <w:rFonts w:cs="方正仿宋_GBK"/>
                <w:sz w:val="21"/>
                <w:szCs w:val="21"/>
              </w:rPr>
              <w:t>接收中国结算发送的</w:t>
            </w:r>
            <w:r>
              <w:rPr>
                <w:rFonts w:hint="eastAsia" w:cs="方正仿宋_GBK"/>
                <w:sz w:val="21"/>
                <w:szCs w:val="21"/>
              </w:rPr>
              <w:t>T+</w:t>
            </w:r>
            <w:r>
              <w:rPr>
                <w:rFonts w:cs="方正仿宋_GBK"/>
                <w:sz w:val="21"/>
                <w:szCs w:val="21"/>
              </w:rPr>
              <w:t>1</w:t>
            </w:r>
            <w:r>
              <w:rPr>
                <w:rFonts w:hint="eastAsia" w:cs="方正仿宋_GBK"/>
                <w:sz w:val="21"/>
                <w:szCs w:val="21"/>
              </w:rPr>
              <w:t>日</w:t>
            </w:r>
            <w:r>
              <w:rPr>
                <w:rFonts w:cs="方正仿宋_GBK"/>
                <w:sz w:val="21"/>
                <w:szCs w:val="21"/>
              </w:rPr>
              <w:t>清算交收数据</w:t>
            </w:r>
            <w:r>
              <w:rPr>
                <w:rFonts w:hint="eastAsia" w:cs="方正仿宋_GBK"/>
                <w:sz w:val="21"/>
                <w:szCs w:val="21"/>
              </w:rPr>
              <w:t>。</w:t>
            </w:r>
          </w:p>
        </w:tc>
        <w:tc>
          <w:tcPr>
            <w:tcW w:w="3385" w:type="dxa"/>
            <w:gridSpan w:val="2"/>
            <w:shd w:val="clear" w:color="auto" w:fill="auto"/>
            <w:vAlign w:val="center"/>
          </w:tcPr>
          <w:p>
            <w:pPr>
              <w:ind w:firstLine="0" w:firstLineChars="0"/>
              <w:rPr>
                <w:rFonts w:cs="方正仿宋_GBK"/>
                <w:sz w:val="21"/>
                <w:szCs w:val="21"/>
              </w:rPr>
            </w:pPr>
            <w:r>
              <w:rPr>
                <w:rFonts w:cs="方正仿宋_GBK"/>
                <w:sz w:val="21"/>
                <w:szCs w:val="21"/>
              </w:rPr>
              <w:t>接收中国结算发送的</w:t>
            </w:r>
            <w:r>
              <w:rPr>
                <w:rFonts w:hint="eastAsia" w:cs="方正仿宋_GBK"/>
                <w:sz w:val="21"/>
                <w:szCs w:val="21"/>
              </w:rPr>
              <w:t>T+</w:t>
            </w:r>
            <w:r>
              <w:rPr>
                <w:rFonts w:cs="方正仿宋_GBK"/>
                <w:sz w:val="21"/>
                <w:szCs w:val="21"/>
              </w:rPr>
              <w:t>1</w:t>
            </w:r>
            <w:r>
              <w:rPr>
                <w:rFonts w:hint="eastAsia" w:cs="方正仿宋_GBK"/>
                <w:sz w:val="21"/>
                <w:szCs w:val="21"/>
              </w:rPr>
              <w:t>日</w:t>
            </w:r>
            <w:r>
              <w:rPr>
                <w:rFonts w:cs="方正仿宋_GBK"/>
                <w:sz w:val="21"/>
                <w:szCs w:val="21"/>
              </w:rPr>
              <w:t>清算交收数据</w:t>
            </w:r>
            <w:r>
              <w:rPr>
                <w:rFonts w:hint="eastAsia"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79" w:type="dxa"/>
            <w:gridSpan w:val="2"/>
            <w:vAlign w:val="center"/>
          </w:tcPr>
          <w:p>
            <w:pPr>
              <w:ind w:firstLine="0" w:firstLineChars="0"/>
              <w:rPr>
                <w:rFonts w:cs="方正仿宋_GBK"/>
                <w:sz w:val="21"/>
                <w:szCs w:val="21"/>
              </w:rPr>
            </w:pPr>
            <w:r>
              <w:rPr>
                <w:rFonts w:hint="eastAsia" w:cs="方正仿宋_GBK"/>
                <w:sz w:val="21"/>
                <w:szCs w:val="21"/>
              </w:rPr>
              <w:t>1</w:t>
            </w:r>
            <w:r>
              <w:rPr>
                <w:rFonts w:cs="方正仿宋_GBK"/>
                <w:sz w:val="21"/>
                <w:szCs w:val="21"/>
              </w:rPr>
              <w:t>8</w:t>
            </w:r>
            <w:r>
              <w:rPr>
                <w:rFonts w:hint="eastAsia" w:cs="方正仿宋_GBK"/>
                <w:sz w:val="21"/>
                <w:szCs w:val="21"/>
              </w:rPr>
              <w:t>:</w:t>
            </w:r>
            <w:r>
              <w:rPr>
                <w:rFonts w:cs="方正仿宋_GBK"/>
                <w:sz w:val="21"/>
                <w:szCs w:val="21"/>
              </w:rPr>
              <w:t>00</w:t>
            </w:r>
            <w:r>
              <w:rPr>
                <w:rFonts w:hint="eastAsia" w:cs="方正仿宋_GBK"/>
                <w:sz w:val="21"/>
                <w:szCs w:val="21"/>
              </w:rPr>
              <w:t>-</w:t>
            </w:r>
            <w:r>
              <w:rPr>
                <w:rFonts w:cs="方正仿宋_GBK"/>
                <w:sz w:val="21"/>
                <w:szCs w:val="21"/>
              </w:rPr>
              <w:t>20</w:t>
            </w:r>
            <w:r>
              <w:rPr>
                <w:rFonts w:hint="eastAsia" w:cs="方正仿宋_GBK"/>
                <w:sz w:val="21"/>
                <w:szCs w:val="21"/>
              </w:rPr>
              <w:t>:0</w:t>
            </w:r>
            <w:r>
              <w:rPr>
                <w:rFonts w:cs="方正仿宋_GBK"/>
                <w:sz w:val="21"/>
                <w:szCs w:val="21"/>
              </w:rPr>
              <w:t>0</w:t>
            </w:r>
          </w:p>
        </w:tc>
        <w:tc>
          <w:tcPr>
            <w:tcW w:w="3561" w:type="dxa"/>
            <w:gridSpan w:val="2"/>
            <w:shd w:val="clear" w:color="auto" w:fill="auto"/>
            <w:vAlign w:val="center"/>
          </w:tcPr>
          <w:p>
            <w:pPr>
              <w:ind w:firstLine="0" w:firstLineChars="0"/>
              <w:rPr>
                <w:rFonts w:cs="方正仿宋_GBK"/>
                <w:sz w:val="21"/>
                <w:szCs w:val="21"/>
              </w:rPr>
            </w:pPr>
            <w:r>
              <w:rPr>
                <w:rFonts w:cs="方正仿宋_GBK"/>
                <w:sz w:val="21"/>
                <w:szCs w:val="21"/>
              </w:rPr>
              <w:t>根据中国结算数据进行</w:t>
            </w:r>
            <w:r>
              <w:rPr>
                <w:rFonts w:hint="eastAsia" w:cs="方正仿宋_GBK"/>
                <w:sz w:val="21"/>
                <w:szCs w:val="21"/>
              </w:rPr>
              <w:t>T</w:t>
            </w:r>
            <w:r>
              <w:rPr>
                <w:rFonts w:cs="方正仿宋_GBK"/>
                <w:sz w:val="21"/>
                <w:szCs w:val="21"/>
              </w:rPr>
              <w:t>+1日日终处理</w:t>
            </w:r>
            <w:r>
              <w:rPr>
                <w:rFonts w:hint="eastAsia" w:cs="方正仿宋_GBK"/>
                <w:sz w:val="21"/>
                <w:szCs w:val="21"/>
              </w:rPr>
              <w:t>，</w:t>
            </w:r>
            <w:r>
              <w:rPr>
                <w:rFonts w:cs="方正仿宋_GBK"/>
                <w:sz w:val="21"/>
                <w:szCs w:val="21"/>
              </w:rPr>
              <w:t>下发</w:t>
            </w:r>
            <w:r>
              <w:rPr>
                <w:rFonts w:hint="eastAsia" w:cs="方正仿宋_GBK"/>
                <w:sz w:val="21"/>
                <w:szCs w:val="21"/>
              </w:rPr>
              <w:t>适当性数据等文件</w:t>
            </w:r>
            <w:r>
              <w:rPr>
                <w:rFonts w:cs="方正仿宋_GBK"/>
                <w:sz w:val="21"/>
                <w:szCs w:val="21"/>
              </w:rPr>
              <w:t>。</w:t>
            </w:r>
          </w:p>
        </w:tc>
        <w:tc>
          <w:tcPr>
            <w:tcW w:w="3385" w:type="dxa"/>
            <w:gridSpan w:val="2"/>
            <w:shd w:val="clear" w:color="auto" w:fill="auto"/>
            <w:vAlign w:val="center"/>
          </w:tcPr>
          <w:p>
            <w:pPr>
              <w:ind w:firstLine="0" w:firstLineChars="0"/>
              <w:rPr>
                <w:rFonts w:cs="方正仿宋_GBK"/>
                <w:sz w:val="21"/>
                <w:szCs w:val="21"/>
              </w:rPr>
            </w:pPr>
            <w:r>
              <w:rPr>
                <w:rFonts w:cs="方正仿宋_GBK"/>
                <w:sz w:val="21"/>
                <w:szCs w:val="21"/>
              </w:rPr>
              <w:t>完成</w:t>
            </w:r>
            <w:r>
              <w:rPr>
                <w:rFonts w:hint="eastAsia" w:cs="方正仿宋_GBK"/>
                <w:sz w:val="21"/>
                <w:szCs w:val="21"/>
              </w:rPr>
              <w:t>T+</w:t>
            </w:r>
            <w:r>
              <w:rPr>
                <w:rFonts w:cs="方正仿宋_GBK"/>
                <w:sz w:val="21"/>
                <w:szCs w:val="21"/>
              </w:rPr>
              <w:t>1日</w:t>
            </w:r>
            <w:r>
              <w:rPr>
                <w:rFonts w:hint="eastAsia" w:cs="方正仿宋_GBK"/>
                <w:sz w:val="21"/>
                <w:szCs w:val="21"/>
              </w:rPr>
              <w:t>日终</w:t>
            </w:r>
            <w:r>
              <w:rPr>
                <w:rFonts w:cs="方正仿宋_GBK"/>
                <w:sz w:val="21"/>
                <w:szCs w:val="21"/>
              </w:rPr>
              <w:t>处理。</w:t>
            </w:r>
          </w:p>
        </w:tc>
      </w:tr>
    </w:tbl>
    <w:p>
      <w:pPr>
        <w:spacing w:line="360" w:lineRule="auto"/>
        <w:ind w:firstLine="600"/>
        <w:jc w:val="both"/>
        <w:rPr>
          <w:rFonts w:cs="Times New Roman"/>
          <w:color w:val="000000" w:themeColor="text1"/>
          <w:sz w:val="30"/>
          <w:szCs w:val="30"/>
          <w14:textFill>
            <w14:solidFill>
              <w14:schemeClr w14:val="tx1"/>
            </w14:solidFill>
          </w14:textFill>
        </w:rPr>
      </w:pPr>
    </w:p>
    <w:p>
      <w:pPr>
        <w:pStyle w:val="72"/>
        <w:numPr>
          <w:ilvl w:val="0"/>
          <w:numId w:val="4"/>
        </w:numPr>
        <w:spacing w:before="163" w:after="163"/>
        <w:ind w:firstLine="600"/>
      </w:pPr>
      <w:bookmarkStart w:id="40" w:name="_Toc119341901"/>
      <w:bookmarkStart w:id="41" w:name="_Toc145352481"/>
      <w:bookmarkStart w:id="42" w:name="_Toc376597522"/>
      <w:bookmarkStart w:id="43" w:name="_Toc119341902"/>
      <w:r>
        <w:rPr>
          <w:rFonts w:hint="eastAsia"/>
        </w:rPr>
        <w:t>测试内容</w:t>
      </w:r>
      <w:bookmarkEnd w:id="40"/>
      <w:bookmarkEnd w:id="41"/>
      <w:bookmarkEnd w:id="42"/>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验证各参测机构技术系统已按照《交易支持平台数据接口规范（V2.3）》《全国中小企业股份转让系统市场参与者技术系统变更指南之退市公司可转换公司债券业务》等</w:t>
      </w:r>
      <w:r>
        <w:rPr>
          <w:rFonts w:cs="Times New Roman"/>
          <w:color w:val="000000" w:themeColor="text1"/>
          <w:sz w:val="30"/>
          <w:szCs w:val="30"/>
          <w:lang w:val="en"/>
          <w14:textFill>
            <w14:solidFill>
              <w14:schemeClr w14:val="tx1"/>
            </w14:solidFill>
          </w14:textFill>
        </w:rPr>
        <w:t>技术</w:t>
      </w:r>
      <w:r>
        <w:rPr>
          <w:rFonts w:hint="eastAsia" w:cs="Times New Roman"/>
          <w:color w:val="000000" w:themeColor="text1"/>
          <w:sz w:val="30"/>
          <w:szCs w:val="30"/>
          <w:lang w:val="en"/>
          <w14:textFill>
            <w14:solidFill>
              <w14:schemeClr w14:val="tx1"/>
            </w14:solidFill>
          </w14:textFill>
        </w:rPr>
        <w:t>规范的要求对技术系统进行改造，达到上线要求。</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1</w:t>
      </w:r>
      <w:r>
        <w:rPr>
          <w:rFonts w:cs="Times New Roman"/>
          <w:color w:val="000000" w:themeColor="text1"/>
          <w:sz w:val="30"/>
          <w:szCs w:val="30"/>
          <w:lang w:val="en"/>
          <w14:textFill>
            <w14:solidFill>
              <w14:schemeClr w14:val="tx1"/>
            </w14:solidFill>
          </w14:textFill>
        </w:rPr>
        <w:t>.</w:t>
      </w:r>
      <w:r>
        <w:rPr>
          <w:rFonts w:hint="eastAsia" w:cs="Times New Roman"/>
          <w:color w:val="000000" w:themeColor="text1"/>
          <w:sz w:val="30"/>
          <w:szCs w:val="30"/>
          <w:lang w:val="en"/>
          <w14:textFill>
            <w14:solidFill>
              <w14:schemeClr w14:val="tx1"/>
            </w14:solidFill>
          </w14:textFill>
        </w:rPr>
        <w:t>验证交易支持平台能够正确发布退市可转债信息，正确对退市可转债业务各类申报进行处理，正确发布证券行情。</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2.</w:t>
      </w:r>
      <w:r>
        <w:rPr>
          <w:rFonts w:hint="eastAsia" w:cs="Times New Roman"/>
          <w:color w:val="000000" w:themeColor="text1"/>
          <w:sz w:val="30"/>
          <w:szCs w:val="30"/>
          <w:lang w:val="en"/>
          <w14:textFill>
            <w14:solidFill>
              <w14:schemeClr w14:val="tx1"/>
            </w14:solidFill>
          </w14:textFill>
        </w:rPr>
        <w:t>验证</w:t>
      </w:r>
      <w:r>
        <w:rPr>
          <w:rFonts w:cs="Times New Roman"/>
          <w:color w:val="000000" w:themeColor="text1"/>
          <w:sz w:val="30"/>
          <w:szCs w:val="30"/>
          <w:lang w:val="en"/>
          <w14:textFill>
            <w14:solidFill>
              <w14:schemeClr w14:val="tx1"/>
            </w14:solidFill>
          </w14:textFill>
        </w:rPr>
        <w:t>中国结算北京市场登记结算系统能够</w:t>
      </w:r>
      <w:r>
        <w:rPr>
          <w:rFonts w:hint="eastAsia" w:cs="Times New Roman"/>
          <w:color w:val="000000" w:themeColor="text1"/>
          <w:sz w:val="30"/>
          <w:szCs w:val="30"/>
          <w:lang w:val="en"/>
          <w14:textFill>
            <w14:solidFill>
              <w14:schemeClr w14:val="tx1"/>
            </w14:solidFill>
          </w14:textFill>
        </w:rPr>
        <w:t>正确</w:t>
      </w:r>
      <w:r>
        <w:rPr>
          <w:rFonts w:cs="Times New Roman"/>
          <w:color w:val="000000" w:themeColor="text1"/>
          <w:sz w:val="30"/>
          <w:szCs w:val="30"/>
          <w:lang w:val="en"/>
          <w14:textFill>
            <w14:solidFill>
              <w14:schemeClr w14:val="tx1"/>
            </w14:solidFill>
          </w14:textFill>
        </w:rPr>
        <w:t>进行日终处理，生成日终数据并发布</w:t>
      </w:r>
      <w:r>
        <w:rPr>
          <w:rFonts w:hint="eastAsia" w:cs="Times New Roman"/>
          <w:color w:val="000000" w:themeColor="text1"/>
          <w:sz w:val="30"/>
          <w:szCs w:val="30"/>
          <w:lang w:val="en"/>
          <w14:textFill>
            <w14:solidFill>
              <w14:schemeClr w14:val="tx1"/>
            </w14:solidFill>
          </w14:textFill>
        </w:rPr>
        <w:t>。</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3.</w:t>
      </w:r>
      <w:r>
        <w:rPr>
          <w:rFonts w:hint="eastAsia" w:cs="Times New Roman"/>
          <w:color w:val="000000" w:themeColor="text1"/>
          <w:sz w:val="30"/>
          <w:szCs w:val="30"/>
          <w:lang w:val="en"/>
          <w14:textFill>
            <w14:solidFill>
              <w14:schemeClr w14:val="tx1"/>
            </w14:solidFill>
          </w14:textFill>
        </w:rPr>
        <w:t>验证深证通通信系统能够正确转发申报数据和交易支持平台的回报、行情数据。</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4.验证证券公司、基金公司技术系统支持退市可转债业务，能够进行退市可转债转让、回售、转股申报，处理确认回报，正确揭示行情，正常完成日终清算。</w:t>
      </w:r>
      <w:r>
        <w:rPr>
          <w:rFonts w:cs="Times New Roman"/>
          <w:color w:val="000000" w:themeColor="text1"/>
          <w:sz w:val="30"/>
          <w:szCs w:val="30"/>
          <w:lang w:val="en"/>
          <w14:textFill>
            <w14:solidFill>
              <w14:schemeClr w14:val="tx1"/>
            </w14:solidFill>
          </w14:textFill>
        </w:rPr>
        <w:t>证券公司</w:t>
      </w:r>
      <w:r>
        <w:rPr>
          <w:rFonts w:hint="eastAsia" w:cs="Times New Roman"/>
          <w:color w:val="000000" w:themeColor="text1"/>
          <w:sz w:val="30"/>
          <w:szCs w:val="30"/>
          <w:lang w:val="en"/>
          <w14:textFill>
            <w14:solidFill>
              <w14:schemeClr w14:val="tx1"/>
            </w14:solidFill>
          </w14:textFill>
        </w:rPr>
        <w:t>能够进行适当性控制，</w:t>
      </w:r>
      <w:r>
        <w:rPr>
          <w:rFonts w:cs="Times New Roman"/>
          <w:color w:val="000000" w:themeColor="text1"/>
          <w:sz w:val="30"/>
          <w:szCs w:val="30"/>
          <w:lang w:val="en"/>
          <w14:textFill>
            <w14:solidFill>
              <w14:schemeClr w14:val="tx1"/>
            </w14:solidFill>
          </w14:textFill>
        </w:rPr>
        <w:t>周边系统</w:t>
      </w:r>
      <w:r>
        <w:rPr>
          <w:rFonts w:hint="eastAsia" w:cs="Times New Roman"/>
          <w:color w:val="000000" w:themeColor="text1"/>
          <w:sz w:val="30"/>
          <w:szCs w:val="30"/>
          <w:lang w:val="en"/>
          <w14:textFill>
            <w14:solidFill>
              <w14:schemeClr w14:val="tx1"/>
            </w14:solidFill>
          </w14:textFill>
        </w:rPr>
        <w:t>能够</w:t>
      </w:r>
      <w:r>
        <w:rPr>
          <w:rFonts w:cs="Times New Roman"/>
          <w:color w:val="000000" w:themeColor="text1"/>
          <w:sz w:val="30"/>
          <w:szCs w:val="30"/>
          <w:lang w:val="en"/>
          <w14:textFill>
            <w14:solidFill>
              <w14:schemeClr w14:val="tx1"/>
            </w14:solidFill>
          </w14:textFill>
        </w:rPr>
        <w:t>满足</w:t>
      </w:r>
      <w:r>
        <w:rPr>
          <w:rFonts w:hint="eastAsia" w:cs="Times New Roman"/>
          <w:color w:val="000000" w:themeColor="text1"/>
          <w:sz w:val="30"/>
          <w:szCs w:val="30"/>
          <w:lang w:val="en"/>
          <w14:textFill>
            <w14:solidFill>
              <w14:schemeClr w14:val="tx1"/>
            </w14:solidFill>
          </w14:textFill>
        </w:rPr>
        <w:t>相关</w:t>
      </w:r>
      <w:r>
        <w:rPr>
          <w:rFonts w:cs="Times New Roman"/>
          <w:color w:val="000000" w:themeColor="text1"/>
          <w:sz w:val="30"/>
          <w:szCs w:val="30"/>
          <w:lang w:val="en"/>
          <w14:textFill>
            <w14:solidFill>
              <w14:schemeClr w14:val="tx1"/>
            </w14:solidFill>
          </w14:textFill>
        </w:rPr>
        <w:t>技术文档要求</w:t>
      </w:r>
      <w:r>
        <w:rPr>
          <w:rFonts w:hint="eastAsia" w:cs="Times New Roman"/>
          <w:color w:val="000000" w:themeColor="text1"/>
          <w:sz w:val="30"/>
          <w:szCs w:val="30"/>
          <w:lang w:val="en"/>
          <w14:textFill>
            <w14:solidFill>
              <w14:schemeClr w14:val="tx1"/>
            </w14:solidFill>
          </w14:textFill>
        </w:rPr>
        <w:t>。</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5.验证信息商能够根据交易支持平台下发的证券信息和证券行情正确揭示退市可转债初始化证券信息和收盘行情。</w:t>
      </w:r>
    </w:p>
    <w:p>
      <w:pPr>
        <w:pStyle w:val="100"/>
        <w:numPr>
          <w:ilvl w:val="0"/>
          <w:numId w:val="4"/>
        </w:numPr>
        <w:spacing w:line="240" w:lineRule="auto"/>
        <w:ind w:firstLineChars="0"/>
        <w:jc w:val="both"/>
        <w:rPr>
          <w:rFonts w:cs="Times New Roman"/>
          <w:color w:val="000000" w:themeColor="text1"/>
          <w:sz w:val="30"/>
          <w:szCs w:val="30"/>
          <w14:textFill>
            <w14:solidFill>
              <w14:schemeClr w14:val="tx1"/>
            </w14:solidFill>
          </w14:textFill>
        </w:rPr>
        <w:sectPr>
          <w:footerReference r:id="rId11" w:type="default"/>
          <w:pgSz w:w="11906" w:h="16838"/>
          <w:pgMar w:top="1588" w:right="1701" w:bottom="1588" w:left="1701" w:header="907" w:footer="907" w:gutter="0"/>
          <w:pgNumType w:fmt="numberInDash" w:start="1"/>
          <w:cols w:space="720" w:num="1"/>
          <w:docGrid w:type="linesAndChars" w:linePitch="326" w:charSpace="0"/>
        </w:sectPr>
      </w:pPr>
    </w:p>
    <w:p>
      <w:pPr>
        <w:pStyle w:val="72"/>
        <w:numPr>
          <w:ilvl w:val="0"/>
          <w:numId w:val="4"/>
        </w:numPr>
        <w:spacing w:before="163" w:after="163"/>
        <w:ind w:firstLine="600"/>
      </w:pPr>
      <w:bookmarkStart w:id="44" w:name="_Toc145352482"/>
      <w:r>
        <w:t>测试场景</w:t>
      </w:r>
      <w:bookmarkEnd w:id="43"/>
      <w:bookmarkEnd w:id="44"/>
    </w:p>
    <w:p>
      <w:pPr>
        <w:pStyle w:val="73"/>
        <w:numPr>
          <w:ilvl w:val="0"/>
          <w:numId w:val="5"/>
        </w:numPr>
        <w:spacing w:before="163" w:after="163"/>
        <w:ind w:firstLine="602"/>
        <w:rPr>
          <w:sz w:val="30"/>
          <w:szCs w:val="30"/>
        </w:rPr>
      </w:pPr>
      <w:bookmarkStart w:id="45" w:name="_Toc145352483"/>
      <w:bookmarkStart w:id="46" w:name="_Toc139622121"/>
      <w:bookmarkStart w:id="47" w:name="_Toc119341903"/>
      <w:bookmarkStart w:id="48" w:name="_Toc119341905"/>
      <w:r>
        <w:rPr>
          <w:rFonts w:hint="eastAsia"/>
          <w:sz w:val="30"/>
          <w:szCs w:val="30"/>
        </w:rPr>
        <w:t>测试场景</w:t>
      </w:r>
      <w:bookmarkEnd w:id="45"/>
      <w:bookmarkEnd w:id="46"/>
      <w:bookmarkEnd w:id="47"/>
    </w:p>
    <w:tbl>
      <w:tblPr>
        <w:tblStyle w:val="37"/>
        <w:tblW w:w="5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3"/>
        <w:gridCol w:w="1021"/>
        <w:gridCol w:w="1019"/>
        <w:gridCol w:w="1269"/>
        <w:gridCol w:w="1116"/>
        <w:gridCol w:w="1166"/>
        <w:gridCol w:w="116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67"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退市可转债代码</w:t>
            </w:r>
          </w:p>
        </w:tc>
        <w:tc>
          <w:tcPr>
            <w:tcW w:w="568"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退市可转债简称</w:t>
            </w:r>
          </w:p>
        </w:tc>
        <w:tc>
          <w:tcPr>
            <w:tcW w:w="499"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w:t>
            </w:r>
          </w:p>
        </w:tc>
        <w:tc>
          <w:tcPr>
            <w:tcW w:w="498"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基础代码名称</w:t>
            </w:r>
          </w:p>
        </w:tc>
        <w:tc>
          <w:tcPr>
            <w:tcW w:w="2868" w:type="pct"/>
            <w:gridSpan w:val="5"/>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T日交易参数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7"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568"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499"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498"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620"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挂牌</w:t>
            </w:r>
            <w:r>
              <w:rPr>
                <w:rFonts w:eastAsia="楷体" w:cs="Times New Roman"/>
                <w:b/>
                <w:color w:val="000000" w:themeColor="text1"/>
                <w:sz w:val="21"/>
                <w:szCs w:val="21"/>
                <w14:textFill>
                  <w14:solidFill>
                    <w14:schemeClr w14:val="tx1"/>
                  </w14:solidFill>
                </w14:textFill>
              </w:rPr>
              <w:t>日</w:t>
            </w:r>
          </w:p>
        </w:tc>
        <w:tc>
          <w:tcPr>
            <w:tcW w:w="545"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允许回售</w:t>
            </w:r>
          </w:p>
        </w:tc>
        <w:tc>
          <w:tcPr>
            <w:tcW w:w="570"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允许转股</w:t>
            </w:r>
          </w:p>
        </w:tc>
        <w:tc>
          <w:tcPr>
            <w:tcW w:w="568"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暂停</w:t>
            </w:r>
            <w:r>
              <w:rPr>
                <w:rFonts w:eastAsia="楷体" w:cs="Times New Roman"/>
                <w:b/>
                <w:color w:val="000000" w:themeColor="text1"/>
                <w:sz w:val="21"/>
                <w:szCs w:val="21"/>
                <w14:textFill>
                  <w14:solidFill>
                    <w14:schemeClr w14:val="tx1"/>
                  </w14:solidFill>
                </w14:textFill>
              </w:rPr>
              <w:t>转让</w:t>
            </w:r>
          </w:p>
        </w:tc>
        <w:tc>
          <w:tcPr>
            <w:tcW w:w="565"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67" w:type="pct"/>
            <w:vAlign w:val="center"/>
          </w:tcPr>
          <w:p>
            <w:pPr>
              <w:ind w:firstLine="0" w:firstLineChars="0"/>
              <w:rPr>
                <w:sz w:val="21"/>
                <w:szCs w:val="21"/>
              </w:rPr>
            </w:pPr>
            <w:r>
              <w:rPr>
                <w:sz w:val="21"/>
                <w:szCs w:val="21"/>
              </w:rPr>
              <w:t>404001</w:t>
            </w:r>
          </w:p>
        </w:tc>
        <w:tc>
          <w:tcPr>
            <w:tcW w:w="568" w:type="pct"/>
            <w:vAlign w:val="center"/>
          </w:tcPr>
          <w:p>
            <w:pPr>
              <w:ind w:firstLine="0" w:firstLineChars="0"/>
              <w:rPr>
                <w:sz w:val="21"/>
                <w:szCs w:val="21"/>
              </w:rPr>
            </w:pPr>
            <w:r>
              <w:rPr>
                <w:rFonts w:hint="eastAsia"/>
                <w:sz w:val="21"/>
                <w:szCs w:val="21"/>
              </w:rPr>
              <w:t>蓝盾退债</w:t>
            </w:r>
          </w:p>
        </w:tc>
        <w:tc>
          <w:tcPr>
            <w:tcW w:w="499" w:type="pct"/>
            <w:vAlign w:val="center"/>
          </w:tcPr>
          <w:p>
            <w:pPr>
              <w:ind w:firstLine="0" w:firstLineChars="0"/>
              <w:rPr>
                <w:sz w:val="21"/>
                <w:szCs w:val="21"/>
              </w:rPr>
            </w:pPr>
            <w:r>
              <w:rPr>
                <w:rFonts w:hint="eastAsia"/>
                <w:sz w:val="21"/>
                <w:szCs w:val="21"/>
              </w:rPr>
              <w:t>400194</w:t>
            </w:r>
          </w:p>
        </w:tc>
        <w:tc>
          <w:tcPr>
            <w:tcW w:w="498" w:type="pct"/>
            <w:vAlign w:val="center"/>
          </w:tcPr>
          <w:p>
            <w:pPr>
              <w:ind w:firstLine="0" w:firstLineChars="0"/>
              <w:rPr>
                <w:sz w:val="21"/>
                <w:szCs w:val="21"/>
              </w:rPr>
            </w:pPr>
            <w:r>
              <w:rPr>
                <w:rFonts w:hint="eastAsia"/>
                <w:sz w:val="21"/>
                <w:szCs w:val="21"/>
              </w:rPr>
              <w:t>R蓝盾</w:t>
            </w:r>
            <w:r>
              <w:rPr>
                <w:sz w:val="21"/>
                <w:szCs w:val="21"/>
              </w:rPr>
              <w:t>1</w:t>
            </w:r>
          </w:p>
        </w:tc>
        <w:tc>
          <w:tcPr>
            <w:tcW w:w="620" w:type="pct"/>
            <w:vAlign w:val="center"/>
          </w:tcPr>
          <w:p>
            <w:pPr>
              <w:ind w:firstLine="0" w:firstLineChars="0"/>
              <w:jc w:val="center"/>
              <w:rPr>
                <w:sz w:val="21"/>
                <w:szCs w:val="21"/>
              </w:rPr>
            </w:pPr>
            <w:r>
              <w:rPr>
                <w:rFonts w:hint="eastAsia"/>
                <w:sz w:val="21"/>
                <w:szCs w:val="21"/>
              </w:rPr>
              <w:t>是</w:t>
            </w:r>
          </w:p>
        </w:tc>
        <w:tc>
          <w:tcPr>
            <w:tcW w:w="545" w:type="pct"/>
            <w:vAlign w:val="center"/>
          </w:tcPr>
          <w:p>
            <w:pPr>
              <w:ind w:firstLine="0" w:firstLineChars="0"/>
              <w:jc w:val="center"/>
              <w:rPr>
                <w:sz w:val="21"/>
                <w:szCs w:val="21"/>
              </w:rPr>
            </w:pPr>
            <w:r>
              <w:rPr>
                <w:rFonts w:hint="eastAsia"/>
                <w:sz w:val="21"/>
                <w:szCs w:val="21"/>
              </w:rPr>
              <w:t>否</w:t>
            </w:r>
          </w:p>
        </w:tc>
        <w:tc>
          <w:tcPr>
            <w:tcW w:w="570" w:type="pct"/>
            <w:vAlign w:val="center"/>
          </w:tcPr>
          <w:p>
            <w:pPr>
              <w:ind w:firstLine="0" w:firstLineChars="0"/>
              <w:jc w:val="center"/>
              <w:rPr>
                <w:sz w:val="21"/>
                <w:szCs w:val="21"/>
              </w:rPr>
            </w:pPr>
            <w:r>
              <w:rPr>
                <w:rFonts w:hint="eastAsia"/>
                <w:sz w:val="21"/>
                <w:szCs w:val="21"/>
              </w:rPr>
              <w:t>是</w:t>
            </w:r>
          </w:p>
        </w:tc>
        <w:tc>
          <w:tcPr>
            <w:tcW w:w="568" w:type="pct"/>
            <w:vAlign w:val="center"/>
          </w:tcPr>
          <w:p>
            <w:pPr>
              <w:ind w:firstLine="0" w:firstLineChars="0"/>
              <w:jc w:val="center"/>
              <w:rPr>
                <w:sz w:val="21"/>
                <w:szCs w:val="21"/>
              </w:rPr>
            </w:pPr>
            <w:r>
              <w:rPr>
                <w:rFonts w:hint="eastAsia"/>
                <w:sz w:val="21"/>
                <w:szCs w:val="21"/>
              </w:rPr>
              <w:t>是</w:t>
            </w:r>
          </w:p>
        </w:tc>
        <w:tc>
          <w:tcPr>
            <w:tcW w:w="565" w:type="pct"/>
            <w:vAlign w:val="center"/>
          </w:tcPr>
          <w:p>
            <w:pPr>
              <w:ind w:firstLine="0" w:firstLineChars="0"/>
              <w:rPr>
                <w:szCs w:val="24"/>
              </w:rPr>
            </w:pPr>
          </w:p>
        </w:tc>
      </w:tr>
    </w:tbl>
    <w:p>
      <w:pPr>
        <w:ind w:firstLine="480"/>
      </w:pPr>
    </w:p>
    <w:tbl>
      <w:tblPr>
        <w:tblStyle w:val="37"/>
        <w:tblW w:w="6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163"/>
        <w:gridCol w:w="1021"/>
        <w:gridCol w:w="1024"/>
        <w:gridCol w:w="1455"/>
        <w:gridCol w:w="1308"/>
        <w:gridCol w:w="1166"/>
        <w:gridCol w:w="1163"/>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43"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退市可转债代码</w:t>
            </w:r>
          </w:p>
        </w:tc>
        <w:tc>
          <w:tcPr>
            <w:tcW w:w="548"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退市可转债简称</w:t>
            </w:r>
          </w:p>
        </w:tc>
        <w:tc>
          <w:tcPr>
            <w:tcW w:w="481"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w:t>
            </w:r>
          </w:p>
        </w:tc>
        <w:tc>
          <w:tcPr>
            <w:tcW w:w="482" w:type="pct"/>
            <w:vMerge w:val="restar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基础代码名称</w:t>
            </w:r>
          </w:p>
        </w:tc>
        <w:tc>
          <w:tcPr>
            <w:tcW w:w="2946" w:type="pct"/>
            <w:gridSpan w:val="5"/>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T+</w:t>
            </w:r>
            <w:r>
              <w:rPr>
                <w:rFonts w:eastAsia="楷体" w:cs="Times New Roman"/>
                <w:b/>
                <w:color w:val="000000" w:themeColor="text1"/>
                <w:sz w:val="21"/>
                <w:szCs w:val="21"/>
                <w14:textFill>
                  <w14:solidFill>
                    <w14:schemeClr w14:val="tx1"/>
                  </w14:solidFill>
                </w14:textFill>
              </w:rPr>
              <w:t>1</w:t>
            </w:r>
            <w:r>
              <w:rPr>
                <w:rFonts w:hint="eastAsia" w:eastAsia="楷体" w:cs="Times New Roman"/>
                <w:b/>
                <w:color w:val="000000" w:themeColor="text1"/>
                <w:sz w:val="21"/>
                <w:szCs w:val="21"/>
                <w14:textFill>
                  <w14:solidFill>
                    <w14:schemeClr w14:val="tx1"/>
                  </w14:solidFill>
                </w14:textFill>
              </w:rPr>
              <w:t>日交易参数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43"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548"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481"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482" w:type="pct"/>
            <w:vMerge w:val="continue"/>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p>
        </w:tc>
        <w:tc>
          <w:tcPr>
            <w:tcW w:w="685"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挂牌</w:t>
            </w:r>
            <w:r>
              <w:rPr>
                <w:rFonts w:eastAsia="楷体" w:cs="Times New Roman"/>
                <w:b/>
                <w:color w:val="000000" w:themeColor="text1"/>
                <w:sz w:val="21"/>
                <w:szCs w:val="21"/>
                <w14:textFill>
                  <w14:solidFill>
                    <w14:schemeClr w14:val="tx1"/>
                  </w14:solidFill>
                </w14:textFill>
              </w:rPr>
              <w:t>日</w:t>
            </w:r>
          </w:p>
        </w:tc>
        <w:tc>
          <w:tcPr>
            <w:tcW w:w="616"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允许回售</w:t>
            </w:r>
          </w:p>
        </w:tc>
        <w:tc>
          <w:tcPr>
            <w:tcW w:w="549"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允许转股</w:t>
            </w:r>
          </w:p>
        </w:tc>
        <w:tc>
          <w:tcPr>
            <w:tcW w:w="548"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暂停</w:t>
            </w:r>
            <w:r>
              <w:rPr>
                <w:rFonts w:eastAsia="楷体" w:cs="Times New Roman"/>
                <w:b/>
                <w:color w:val="000000" w:themeColor="text1"/>
                <w:sz w:val="21"/>
                <w:szCs w:val="21"/>
                <w14:textFill>
                  <w14:solidFill>
                    <w14:schemeClr w14:val="tx1"/>
                  </w14:solidFill>
                </w14:textFill>
              </w:rPr>
              <w:t>转让</w:t>
            </w:r>
          </w:p>
        </w:tc>
        <w:tc>
          <w:tcPr>
            <w:tcW w:w="548" w:type="pct"/>
            <w:shd w:val="clear" w:color="auto" w:fill="D8D8D8" w:themeFill="background1" w:themeFillShade="D9"/>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543" w:type="pct"/>
            <w:vAlign w:val="center"/>
          </w:tcPr>
          <w:p>
            <w:pPr>
              <w:ind w:firstLine="0" w:firstLineChars="0"/>
              <w:rPr>
                <w:sz w:val="21"/>
                <w:szCs w:val="21"/>
              </w:rPr>
            </w:pPr>
            <w:r>
              <w:rPr>
                <w:sz w:val="21"/>
                <w:szCs w:val="21"/>
              </w:rPr>
              <w:t>404001</w:t>
            </w:r>
          </w:p>
        </w:tc>
        <w:tc>
          <w:tcPr>
            <w:tcW w:w="548" w:type="pct"/>
            <w:vAlign w:val="center"/>
          </w:tcPr>
          <w:p>
            <w:pPr>
              <w:ind w:firstLine="0" w:firstLineChars="0"/>
              <w:rPr>
                <w:sz w:val="21"/>
                <w:szCs w:val="21"/>
              </w:rPr>
            </w:pPr>
            <w:r>
              <w:rPr>
                <w:rFonts w:hint="eastAsia"/>
                <w:sz w:val="21"/>
                <w:szCs w:val="21"/>
              </w:rPr>
              <w:t>蓝盾退债</w:t>
            </w:r>
          </w:p>
        </w:tc>
        <w:tc>
          <w:tcPr>
            <w:tcW w:w="481" w:type="pct"/>
            <w:vAlign w:val="center"/>
          </w:tcPr>
          <w:p>
            <w:pPr>
              <w:ind w:firstLine="0" w:firstLineChars="0"/>
              <w:rPr>
                <w:sz w:val="21"/>
                <w:szCs w:val="21"/>
              </w:rPr>
            </w:pPr>
            <w:r>
              <w:rPr>
                <w:rFonts w:hint="eastAsia"/>
                <w:sz w:val="21"/>
                <w:szCs w:val="21"/>
              </w:rPr>
              <w:t>400194</w:t>
            </w:r>
          </w:p>
        </w:tc>
        <w:tc>
          <w:tcPr>
            <w:tcW w:w="482" w:type="pct"/>
            <w:vAlign w:val="center"/>
          </w:tcPr>
          <w:p>
            <w:pPr>
              <w:ind w:firstLine="0" w:firstLineChars="0"/>
              <w:rPr>
                <w:sz w:val="21"/>
                <w:szCs w:val="21"/>
              </w:rPr>
            </w:pPr>
            <w:r>
              <w:rPr>
                <w:rFonts w:hint="eastAsia"/>
                <w:sz w:val="21"/>
                <w:szCs w:val="21"/>
              </w:rPr>
              <w:t>R蓝盾</w:t>
            </w:r>
            <w:r>
              <w:rPr>
                <w:sz w:val="21"/>
                <w:szCs w:val="21"/>
              </w:rPr>
              <w:t>1</w:t>
            </w:r>
          </w:p>
        </w:tc>
        <w:tc>
          <w:tcPr>
            <w:tcW w:w="685" w:type="pct"/>
            <w:vAlign w:val="center"/>
          </w:tcPr>
          <w:p>
            <w:pPr>
              <w:ind w:firstLine="0" w:firstLineChars="0"/>
              <w:jc w:val="center"/>
              <w:rPr>
                <w:sz w:val="21"/>
                <w:szCs w:val="21"/>
              </w:rPr>
            </w:pPr>
            <w:r>
              <w:rPr>
                <w:rFonts w:hint="eastAsia"/>
                <w:sz w:val="21"/>
                <w:szCs w:val="21"/>
              </w:rPr>
              <w:t>否</w:t>
            </w:r>
          </w:p>
        </w:tc>
        <w:tc>
          <w:tcPr>
            <w:tcW w:w="616" w:type="pct"/>
            <w:vAlign w:val="center"/>
          </w:tcPr>
          <w:p>
            <w:pPr>
              <w:ind w:firstLine="0" w:firstLineChars="0"/>
              <w:jc w:val="center"/>
              <w:rPr>
                <w:sz w:val="21"/>
                <w:szCs w:val="21"/>
              </w:rPr>
            </w:pPr>
            <w:r>
              <w:rPr>
                <w:rFonts w:hint="eastAsia"/>
                <w:sz w:val="21"/>
                <w:szCs w:val="21"/>
              </w:rPr>
              <w:t>否</w:t>
            </w:r>
          </w:p>
        </w:tc>
        <w:tc>
          <w:tcPr>
            <w:tcW w:w="549" w:type="pct"/>
            <w:vAlign w:val="center"/>
          </w:tcPr>
          <w:p>
            <w:pPr>
              <w:ind w:firstLine="0" w:firstLineChars="0"/>
              <w:jc w:val="center"/>
              <w:rPr>
                <w:sz w:val="21"/>
                <w:szCs w:val="21"/>
              </w:rPr>
            </w:pPr>
            <w:r>
              <w:rPr>
                <w:rFonts w:hint="eastAsia"/>
                <w:sz w:val="21"/>
                <w:szCs w:val="21"/>
              </w:rPr>
              <w:t>是</w:t>
            </w:r>
          </w:p>
        </w:tc>
        <w:tc>
          <w:tcPr>
            <w:tcW w:w="548" w:type="pct"/>
            <w:vAlign w:val="center"/>
          </w:tcPr>
          <w:p>
            <w:pPr>
              <w:ind w:firstLine="0" w:firstLineChars="0"/>
              <w:jc w:val="center"/>
              <w:rPr>
                <w:sz w:val="21"/>
                <w:szCs w:val="21"/>
              </w:rPr>
            </w:pPr>
            <w:r>
              <w:rPr>
                <w:rFonts w:hint="eastAsia"/>
                <w:sz w:val="21"/>
                <w:szCs w:val="21"/>
              </w:rPr>
              <w:t>否</w:t>
            </w:r>
          </w:p>
        </w:tc>
        <w:tc>
          <w:tcPr>
            <w:tcW w:w="548" w:type="pct"/>
            <w:vAlign w:val="center"/>
          </w:tcPr>
          <w:p>
            <w:pPr>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43" w:type="pct"/>
            <w:vAlign w:val="center"/>
          </w:tcPr>
          <w:p>
            <w:pPr>
              <w:ind w:firstLine="0" w:firstLineChars="0"/>
              <w:rPr>
                <w:sz w:val="21"/>
                <w:szCs w:val="21"/>
              </w:rPr>
            </w:pPr>
            <w:r>
              <w:rPr>
                <w:sz w:val="21"/>
                <w:szCs w:val="21"/>
              </w:rPr>
              <w:t>404002</w:t>
            </w:r>
          </w:p>
        </w:tc>
        <w:tc>
          <w:tcPr>
            <w:tcW w:w="548" w:type="pct"/>
            <w:vAlign w:val="center"/>
          </w:tcPr>
          <w:p>
            <w:pPr>
              <w:ind w:firstLine="0" w:firstLineChars="0"/>
              <w:rPr>
                <w:sz w:val="21"/>
                <w:szCs w:val="21"/>
              </w:rPr>
            </w:pPr>
            <w:r>
              <w:rPr>
                <w:rFonts w:hint="eastAsia"/>
                <w:sz w:val="21"/>
                <w:szCs w:val="21"/>
              </w:rPr>
              <w:t>搜特退债</w:t>
            </w:r>
          </w:p>
        </w:tc>
        <w:tc>
          <w:tcPr>
            <w:tcW w:w="481" w:type="pct"/>
            <w:vAlign w:val="center"/>
          </w:tcPr>
          <w:p>
            <w:pPr>
              <w:ind w:firstLine="0" w:firstLineChars="0"/>
              <w:rPr>
                <w:sz w:val="21"/>
                <w:szCs w:val="21"/>
              </w:rPr>
            </w:pPr>
            <w:r>
              <w:rPr>
                <w:rFonts w:hint="eastAsia"/>
                <w:sz w:val="21"/>
                <w:szCs w:val="21"/>
              </w:rPr>
              <w:t>400198</w:t>
            </w:r>
          </w:p>
        </w:tc>
        <w:tc>
          <w:tcPr>
            <w:tcW w:w="482" w:type="pct"/>
            <w:vAlign w:val="center"/>
          </w:tcPr>
          <w:p>
            <w:pPr>
              <w:ind w:firstLine="0" w:firstLineChars="0"/>
              <w:rPr>
                <w:sz w:val="21"/>
                <w:szCs w:val="21"/>
              </w:rPr>
            </w:pPr>
            <w:r>
              <w:rPr>
                <w:rFonts w:hint="eastAsia"/>
                <w:sz w:val="21"/>
                <w:szCs w:val="21"/>
              </w:rPr>
              <w:t>搜特</w:t>
            </w:r>
            <w:r>
              <w:rPr>
                <w:sz w:val="21"/>
                <w:szCs w:val="21"/>
              </w:rPr>
              <w:t>5</w:t>
            </w:r>
          </w:p>
        </w:tc>
        <w:tc>
          <w:tcPr>
            <w:tcW w:w="685" w:type="pct"/>
            <w:vAlign w:val="center"/>
          </w:tcPr>
          <w:p>
            <w:pPr>
              <w:ind w:firstLine="0" w:firstLineChars="0"/>
              <w:jc w:val="center"/>
              <w:rPr>
                <w:sz w:val="21"/>
                <w:szCs w:val="21"/>
              </w:rPr>
            </w:pPr>
            <w:r>
              <w:rPr>
                <w:rFonts w:hint="eastAsia"/>
                <w:sz w:val="21"/>
                <w:szCs w:val="21"/>
              </w:rPr>
              <w:t>是</w:t>
            </w:r>
          </w:p>
        </w:tc>
        <w:tc>
          <w:tcPr>
            <w:tcW w:w="616" w:type="pct"/>
            <w:vAlign w:val="center"/>
          </w:tcPr>
          <w:p>
            <w:pPr>
              <w:ind w:firstLine="0" w:firstLineChars="0"/>
              <w:jc w:val="center"/>
              <w:rPr>
                <w:sz w:val="21"/>
                <w:szCs w:val="21"/>
              </w:rPr>
            </w:pPr>
            <w:r>
              <w:rPr>
                <w:rFonts w:hint="eastAsia"/>
                <w:sz w:val="21"/>
                <w:szCs w:val="21"/>
              </w:rPr>
              <w:t>是</w:t>
            </w:r>
          </w:p>
        </w:tc>
        <w:tc>
          <w:tcPr>
            <w:tcW w:w="549" w:type="pct"/>
            <w:vAlign w:val="center"/>
          </w:tcPr>
          <w:p>
            <w:pPr>
              <w:ind w:firstLine="0" w:firstLineChars="0"/>
              <w:jc w:val="center"/>
              <w:rPr>
                <w:sz w:val="21"/>
                <w:szCs w:val="21"/>
              </w:rPr>
            </w:pPr>
            <w:r>
              <w:rPr>
                <w:rFonts w:hint="eastAsia"/>
                <w:sz w:val="21"/>
                <w:szCs w:val="21"/>
              </w:rPr>
              <w:t>否</w:t>
            </w:r>
          </w:p>
        </w:tc>
        <w:tc>
          <w:tcPr>
            <w:tcW w:w="548" w:type="pct"/>
            <w:vAlign w:val="center"/>
          </w:tcPr>
          <w:p>
            <w:pPr>
              <w:ind w:firstLine="0" w:firstLineChars="0"/>
              <w:jc w:val="center"/>
              <w:rPr>
                <w:sz w:val="21"/>
                <w:szCs w:val="21"/>
              </w:rPr>
            </w:pPr>
            <w:r>
              <w:rPr>
                <w:rFonts w:hint="eastAsia"/>
                <w:sz w:val="21"/>
                <w:szCs w:val="21"/>
              </w:rPr>
              <w:t>否</w:t>
            </w:r>
          </w:p>
        </w:tc>
        <w:tc>
          <w:tcPr>
            <w:tcW w:w="548" w:type="pct"/>
            <w:vAlign w:val="center"/>
          </w:tcPr>
          <w:p>
            <w:pPr>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543" w:type="pct"/>
            <w:vAlign w:val="center"/>
          </w:tcPr>
          <w:p>
            <w:pPr>
              <w:ind w:firstLine="0" w:firstLineChars="0"/>
              <w:rPr>
                <w:sz w:val="21"/>
                <w:szCs w:val="21"/>
              </w:rPr>
            </w:pPr>
            <w:r>
              <w:rPr>
                <w:sz w:val="21"/>
                <w:szCs w:val="21"/>
              </w:rPr>
              <w:t>404003</w:t>
            </w:r>
          </w:p>
        </w:tc>
        <w:tc>
          <w:tcPr>
            <w:tcW w:w="548" w:type="pct"/>
            <w:vAlign w:val="center"/>
          </w:tcPr>
          <w:p>
            <w:pPr>
              <w:ind w:firstLine="0" w:firstLineChars="0"/>
              <w:rPr>
                <w:sz w:val="21"/>
                <w:szCs w:val="21"/>
              </w:rPr>
            </w:pPr>
            <w:r>
              <w:rPr>
                <w:rFonts w:hint="eastAsia"/>
                <w:sz w:val="21"/>
                <w:szCs w:val="21"/>
              </w:rPr>
              <w:t>退三退债</w:t>
            </w:r>
          </w:p>
        </w:tc>
        <w:tc>
          <w:tcPr>
            <w:tcW w:w="481" w:type="pct"/>
            <w:vAlign w:val="center"/>
          </w:tcPr>
          <w:p>
            <w:pPr>
              <w:ind w:firstLine="0" w:firstLineChars="0"/>
              <w:rPr>
                <w:sz w:val="21"/>
                <w:szCs w:val="21"/>
              </w:rPr>
            </w:pPr>
            <w:r>
              <w:rPr>
                <w:rFonts w:hint="eastAsia"/>
                <w:sz w:val="21"/>
                <w:szCs w:val="21"/>
              </w:rPr>
              <w:t>400203</w:t>
            </w:r>
          </w:p>
        </w:tc>
        <w:tc>
          <w:tcPr>
            <w:tcW w:w="482" w:type="pct"/>
            <w:vAlign w:val="center"/>
          </w:tcPr>
          <w:p>
            <w:pPr>
              <w:ind w:firstLine="0" w:firstLineChars="0"/>
              <w:rPr>
                <w:sz w:val="21"/>
                <w:szCs w:val="21"/>
              </w:rPr>
            </w:pPr>
            <w:r>
              <w:rPr>
                <w:rFonts w:hint="eastAsia"/>
                <w:sz w:val="21"/>
                <w:szCs w:val="21"/>
              </w:rPr>
              <w:t>退三5</w:t>
            </w:r>
          </w:p>
        </w:tc>
        <w:tc>
          <w:tcPr>
            <w:tcW w:w="685" w:type="pct"/>
            <w:vAlign w:val="center"/>
          </w:tcPr>
          <w:p>
            <w:pPr>
              <w:ind w:firstLine="0" w:firstLineChars="0"/>
              <w:jc w:val="center"/>
              <w:rPr>
                <w:sz w:val="21"/>
                <w:szCs w:val="21"/>
              </w:rPr>
            </w:pPr>
            <w:r>
              <w:rPr>
                <w:rFonts w:hint="eastAsia"/>
                <w:sz w:val="21"/>
                <w:szCs w:val="21"/>
              </w:rPr>
              <w:t>是</w:t>
            </w:r>
          </w:p>
        </w:tc>
        <w:tc>
          <w:tcPr>
            <w:tcW w:w="616" w:type="pct"/>
            <w:vAlign w:val="center"/>
          </w:tcPr>
          <w:p>
            <w:pPr>
              <w:ind w:firstLine="0" w:firstLineChars="0"/>
              <w:jc w:val="center"/>
              <w:rPr>
                <w:sz w:val="21"/>
                <w:szCs w:val="21"/>
              </w:rPr>
            </w:pPr>
            <w:r>
              <w:rPr>
                <w:rFonts w:hint="eastAsia"/>
                <w:sz w:val="21"/>
                <w:szCs w:val="21"/>
              </w:rPr>
              <w:t>否</w:t>
            </w:r>
          </w:p>
        </w:tc>
        <w:tc>
          <w:tcPr>
            <w:tcW w:w="549" w:type="pct"/>
            <w:vAlign w:val="center"/>
          </w:tcPr>
          <w:p>
            <w:pPr>
              <w:ind w:firstLine="0" w:firstLineChars="0"/>
              <w:jc w:val="center"/>
              <w:rPr>
                <w:sz w:val="21"/>
                <w:szCs w:val="21"/>
              </w:rPr>
            </w:pPr>
            <w:r>
              <w:rPr>
                <w:rFonts w:hint="eastAsia"/>
                <w:sz w:val="21"/>
                <w:szCs w:val="21"/>
              </w:rPr>
              <w:t>是</w:t>
            </w:r>
          </w:p>
        </w:tc>
        <w:tc>
          <w:tcPr>
            <w:tcW w:w="548" w:type="pct"/>
            <w:vAlign w:val="center"/>
          </w:tcPr>
          <w:p>
            <w:pPr>
              <w:ind w:firstLine="0" w:firstLineChars="0"/>
              <w:jc w:val="center"/>
              <w:rPr>
                <w:sz w:val="21"/>
                <w:szCs w:val="21"/>
              </w:rPr>
            </w:pPr>
            <w:r>
              <w:rPr>
                <w:rFonts w:hint="eastAsia"/>
                <w:sz w:val="21"/>
                <w:szCs w:val="21"/>
              </w:rPr>
              <w:t>否</w:t>
            </w:r>
          </w:p>
        </w:tc>
        <w:tc>
          <w:tcPr>
            <w:tcW w:w="548" w:type="pct"/>
            <w:vAlign w:val="center"/>
          </w:tcPr>
          <w:p>
            <w:pPr>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43" w:type="pct"/>
            <w:vAlign w:val="center"/>
          </w:tcPr>
          <w:p>
            <w:pPr>
              <w:ind w:firstLine="0" w:firstLineChars="0"/>
              <w:rPr>
                <w:sz w:val="21"/>
                <w:szCs w:val="21"/>
              </w:rPr>
            </w:pPr>
            <w:r>
              <w:rPr>
                <w:sz w:val="21"/>
                <w:szCs w:val="21"/>
              </w:rPr>
              <w:t>404004</w:t>
            </w:r>
          </w:p>
        </w:tc>
        <w:tc>
          <w:tcPr>
            <w:tcW w:w="548" w:type="pct"/>
            <w:vAlign w:val="center"/>
          </w:tcPr>
          <w:p>
            <w:pPr>
              <w:ind w:firstLine="0" w:firstLineChars="0"/>
              <w:rPr>
                <w:sz w:val="21"/>
                <w:szCs w:val="21"/>
              </w:rPr>
            </w:pPr>
            <w:r>
              <w:rPr>
                <w:rFonts w:hint="eastAsia"/>
                <w:sz w:val="21"/>
                <w:szCs w:val="21"/>
              </w:rPr>
              <w:t>退四退债</w:t>
            </w:r>
          </w:p>
        </w:tc>
        <w:tc>
          <w:tcPr>
            <w:tcW w:w="481" w:type="pct"/>
            <w:vAlign w:val="center"/>
          </w:tcPr>
          <w:p>
            <w:pPr>
              <w:ind w:firstLine="0" w:firstLineChars="0"/>
              <w:rPr>
                <w:sz w:val="21"/>
                <w:szCs w:val="21"/>
              </w:rPr>
            </w:pPr>
            <w:r>
              <w:rPr>
                <w:rFonts w:hint="eastAsia"/>
                <w:sz w:val="21"/>
                <w:szCs w:val="21"/>
              </w:rPr>
              <w:t>400</w:t>
            </w:r>
            <w:r>
              <w:rPr>
                <w:sz w:val="21"/>
                <w:szCs w:val="21"/>
              </w:rPr>
              <w:t>204</w:t>
            </w:r>
          </w:p>
        </w:tc>
        <w:tc>
          <w:tcPr>
            <w:tcW w:w="482" w:type="pct"/>
            <w:vAlign w:val="center"/>
          </w:tcPr>
          <w:p>
            <w:pPr>
              <w:ind w:firstLine="0" w:firstLineChars="0"/>
              <w:rPr>
                <w:sz w:val="21"/>
                <w:szCs w:val="21"/>
              </w:rPr>
            </w:pPr>
            <w:r>
              <w:rPr>
                <w:rFonts w:hint="eastAsia"/>
                <w:sz w:val="21"/>
                <w:szCs w:val="21"/>
              </w:rPr>
              <w:t>退四</w:t>
            </w:r>
            <w:r>
              <w:rPr>
                <w:sz w:val="21"/>
                <w:szCs w:val="21"/>
              </w:rPr>
              <w:t>5</w:t>
            </w:r>
          </w:p>
        </w:tc>
        <w:tc>
          <w:tcPr>
            <w:tcW w:w="685" w:type="pct"/>
            <w:vAlign w:val="center"/>
          </w:tcPr>
          <w:p>
            <w:pPr>
              <w:ind w:firstLine="0" w:firstLineChars="0"/>
              <w:jc w:val="center"/>
              <w:rPr>
                <w:sz w:val="21"/>
                <w:szCs w:val="21"/>
              </w:rPr>
            </w:pPr>
            <w:r>
              <w:rPr>
                <w:rFonts w:hint="eastAsia"/>
                <w:sz w:val="21"/>
                <w:szCs w:val="21"/>
              </w:rPr>
              <w:t>是</w:t>
            </w:r>
          </w:p>
        </w:tc>
        <w:tc>
          <w:tcPr>
            <w:tcW w:w="616" w:type="pct"/>
            <w:vAlign w:val="center"/>
          </w:tcPr>
          <w:p>
            <w:pPr>
              <w:ind w:firstLine="0" w:firstLineChars="0"/>
              <w:jc w:val="center"/>
              <w:rPr>
                <w:sz w:val="21"/>
                <w:szCs w:val="21"/>
              </w:rPr>
            </w:pPr>
            <w:r>
              <w:rPr>
                <w:rFonts w:hint="eastAsia"/>
                <w:sz w:val="21"/>
                <w:szCs w:val="21"/>
              </w:rPr>
              <w:t>是</w:t>
            </w:r>
          </w:p>
        </w:tc>
        <w:tc>
          <w:tcPr>
            <w:tcW w:w="549" w:type="pct"/>
            <w:vAlign w:val="center"/>
          </w:tcPr>
          <w:p>
            <w:pPr>
              <w:ind w:firstLine="0" w:firstLineChars="0"/>
              <w:jc w:val="center"/>
              <w:rPr>
                <w:sz w:val="21"/>
                <w:szCs w:val="21"/>
              </w:rPr>
            </w:pPr>
            <w:r>
              <w:rPr>
                <w:rFonts w:hint="eastAsia"/>
                <w:sz w:val="21"/>
                <w:szCs w:val="21"/>
              </w:rPr>
              <w:t>否</w:t>
            </w:r>
          </w:p>
        </w:tc>
        <w:tc>
          <w:tcPr>
            <w:tcW w:w="548" w:type="pct"/>
            <w:vAlign w:val="center"/>
          </w:tcPr>
          <w:p>
            <w:pPr>
              <w:ind w:firstLine="0" w:firstLineChars="0"/>
              <w:jc w:val="center"/>
              <w:rPr>
                <w:sz w:val="21"/>
                <w:szCs w:val="21"/>
              </w:rPr>
            </w:pPr>
            <w:r>
              <w:rPr>
                <w:rFonts w:hint="eastAsia"/>
                <w:sz w:val="21"/>
                <w:szCs w:val="21"/>
              </w:rPr>
              <w:t>否</w:t>
            </w:r>
          </w:p>
        </w:tc>
        <w:tc>
          <w:tcPr>
            <w:tcW w:w="548" w:type="pct"/>
            <w:vAlign w:val="center"/>
          </w:tcPr>
          <w:p>
            <w:pPr>
              <w:ind w:firstLine="0" w:firstLineChars="0"/>
              <w:rPr>
                <w:szCs w:val="24"/>
              </w:rPr>
            </w:pPr>
          </w:p>
        </w:tc>
      </w:tr>
    </w:tbl>
    <w:p>
      <w:pPr>
        <w:ind w:firstLine="480"/>
      </w:pPr>
    </w:p>
    <w:p>
      <w:pPr>
        <w:pStyle w:val="73"/>
        <w:numPr>
          <w:ilvl w:val="0"/>
          <w:numId w:val="6"/>
        </w:numPr>
        <w:spacing w:before="163" w:after="163"/>
        <w:ind w:firstLine="602"/>
        <w:rPr>
          <w:sz w:val="30"/>
          <w:szCs w:val="30"/>
        </w:rPr>
      </w:pPr>
      <w:bookmarkStart w:id="49" w:name="_Toc145352484"/>
      <w:bookmarkStart w:id="50" w:name="_Toc142991153"/>
      <w:r>
        <w:rPr>
          <w:rFonts w:hint="eastAsia"/>
          <w:sz w:val="30"/>
          <w:szCs w:val="30"/>
        </w:rPr>
        <w:t>证券</w:t>
      </w:r>
      <w:r>
        <w:rPr>
          <w:sz w:val="30"/>
          <w:szCs w:val="30"/>
        </w:rPr>
        <w:t>信息</w:t>
      </w:r>
      <w:bookmarkEnd w:id="49"/>
      <w:bookmarkEnd w:id="50"/>
    </w:p>
    <w:tbl>
      <w:tblPr>
        <w:tblStyle w:val="101"/>
        <w:tblW w:w="61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4075"/>
        <w:gridCol w:w="872"/>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退市可转债代码</w:t>
            </w:r>
          </w:p>
        </w:tc>
        <w:tc>
          <w:tcPr>
            <w:tcW w:w="1893" w:type="pct"/>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退市可转债信息</w:t>
            </w:r>
          </w:p>
        </w:tc>
        <w:tc>
          <w:tcPr>
            <w:tcW w:w="405" w:type="pct"/>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w:t>
            </w:r>
          </w:p>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代码</w:t>
            </w:r>
          </w:p>
        </w:tc>
        <w:tc>
          <w:tcPr>
            <w:tcW w:w="2163" w:type="pct"/>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404001</w:t>
            </w:r>
          </w:p>
        </w:tc>
        <w:tc>
          <w:tcPr>
            <w:tcW w:w="1893" w:type="pct"/>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退市可转债简称：蓝盾退债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票面利率（%）：</w:t>
            </w:r>
            <w:r>
              <w:rPr>
                <w:rFonts w:cs="Times New Roman"/>
                <w:color w:val="000000" w:themeColor="text1"/>
                <w:sz w:val="21"/>
                <w:szCs w:val="21"/>
                <w14:textFill>
                  <w14:solidFill>
                    <w14:schemeClr w14:val="tx1"/>
                  </w14:solidFill>
                </w14:textFill>
              </w:rPr>
              <w:t>2</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0</w:t>
            </w:r>
            <w:r>
              <w:rPr>
                <w:rFonts w:hint="eastAsia"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起息日：20</w:t>
            </w:r>
            <w:r>
              <w:rPr>
                <w:rFonts w:cs="Times New Roman"/>
                <w:color w:val="000000" w:themeColor="text1"/>
                <w:sz w:val="21"/>
                <w:szCs w:val="21"/>
                <w14:textFill>
                  <w14:solidFill>
                    <w14:schemeClr w14:val="tx1"/>
                  </w14:solidFill>
                </w14:textFill>
              </w:rPr>
              <w:t>18</w:t>
            </w:r>
            <w:r>
              <w:rPr>
                <w:rFonts w:hint="eastAsia" w:cs="Times New Roman"/>
                <w:color w:val="000000" w:themeColor="text1"/>
                <w:sz w:val="21"/>
                <w:szCs w:val="21"/>
                <w14:textFill>
                  <w14:solidFill>
                    <w14:schemeClr w14:val="tx1"/>
                  </w14:solidFill>
                </w14:textFill>
              </w:rPr>
              <w:t>年</w:t>
            </w:r>
            <w:r>
              <w:rPr>
                <w:rFonts w:cs="Times New Roman"/>
                <w:color w:val="000000" w:themeColor="text1"/>
                <w:sz w:val="21"/>
                <w:szCs w:val="21"/>
                <w14:textFill>
                  <w14:solidFill>
                    <w14:schemeClr w14:val="tx1"/>
                  </w14:solidFill>
                </w14:textFill>
              </w:rPr>
              <w:t>8</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13</w:t>
            </w:r>
            <w:r>
              <w:rPr>
                <w:rFonts w:hint="eastAsia" w:cs="Times New Roman"/>
                <w:color w:val="000000" w:themeColor="text1"/>
                <w:sz w:val="21"/>
                <w:szCs w:val="21"/>
                <w14:textFill>
                  <w14:solidFill>
                    <w14:schemeClr w14:val="tx1"/>
                  </w14:solidFill>
                </w14:textFill>
              </w:rPr>
              <w:t>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回售价格：0   转股价格：</w:t>
            </w:r>
            <w:r>
              <w:rPr>
                <w:rFonts w:cs="Times New Roman"/>
                <w:color w:val="000000" w:themeColor="text1"/>
                <w:sz w:val="21"/>
                <w:szCs w:val="21"/>
                <w14:textFill>
                  <w14:solidFill>
                    <w14:schemeClr w14:val="tx1"/>
                  </w14:solidFill>
                </w14:textFill>
              </w:rPr>
              <w:t>0.84</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w:t>
            </w:r>
            <w:r>
              <w:rPr>
                <w:rFonts w:cs="Times New Roman"/>
                <w:color w:val="000000" w:themeColor="text1"/>
                <w:sz w:val="21"/>
                <w:szCs w:val="21"/>
                <w14:textFill>
                  <w14:solidFill>
                    <w14:schemeClr w14:val="tx1"/>
                  </w14:solidFill>
                </w14:textFill>
              </w:rPr>
              <w:t>16</w:t>
            </w:r>
            <w:r>
              <w:rPr>
                <w:rFonts w:hint="eastAsia" w:cs="Times New Roman"/>
                <w:color w:val="000000" w:themeColor="text1"/>
                <w:sz w:val="21"/>
                <w:szCs w:val="21"/>
                <w14:textFill>
                  <w14:solidFill>
                    <w14:schemeClr w14:val="tx1"/>
                  </w14:solidFill>
                </w14:textFill>
              </w:rPr>
              <w:t>日（T日）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债券到期日期：20</w:t>
            </w:r>
            <w:r>
              <w:rPr>
                <w:rFonts w:cs="Times New Roman"/>
                <w:color w:val="000000" w:themeColor="text1"/>
                <w:sz w:val="21"/>
                <w:szCs w:val="21"/>
                <w14:textFill>
                  <w14:solidFill>
                    <w14:schemeClr w14:val="tx1"/>
                  </w14:solidFill>
                </w14:textFill>
              </w:rPr>
              <w:t>24</w:t>
            </w:r>
            <w:r>
              <w:rPr>
                <w:rFonts w:hint="eastAsia" w:cs="Times New Roman"/>
                <w:color w:val="000000" w:themeColor="text1"/>
                <w:sz w:val="21"/>
                <w:szCs w:val="21"/>
                <w14:textFill>
                  <w14:solidFill>
                    <w14:schemeClr w14:val="tx1"/>
                  </w14:solidFill>
                </w14:textFill>
              </w:rPr>
              <w:t>年</w:t>
            </w:r>
            <w:r>
              <w:rPr>
                <w:rFonts w:cs="Times New Roman"/>
                <w:color w:val="000000" w:themeColor="text1"/>
                <w:sz w:val="21"/>
                <w:szCs w:val="21"/>
                <w14:textFill>
                  <w14:solidFill>
                    <w14:schemeClr w14:val="tx1"/>
                  </w14:solidFill>
                </w14:textFill>
              </w:rPr>
              <w:t>8</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13</w:t>
            </w:r>
            <w:r>
              <w:rPr>
                <w:rFonts w:hint="eastAsia" w:cs="Times New Roman"/>
                <w:color w:val="000000" w:themeColor="text1"/>
                <w:sz w:val="21"/>
                <w:szCs w:val="21"/>
                <w14:textFill>
                  <w14:solidFill>
                    <w14:schemeClr w14:val="tx1"/>
                  </w14:solidFill>
                </w14:textFill>
              </w:rPr>
              <w:t>日</w:t>
            </w:r>
          </w:p>
        </w:tc>
        <w:tc>
          <w:tcPr>
            <w:tcW w:w="405" w:type="pct"/>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400194</w:t>
            </w:r>
          </w:p>
        </w:tc>
        <w:tc>
          <w:tcPr>
            <w:tcW w:w="2163" w:type="pct"/>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证券简称：R蓝盾</w:t>
            </w:r>
            <w:r>
              <w:rPr>
                <w:rFonts w:cs="Times New Roman"/>
                <w:color w:val="000000" w:themeColor="text1"/>
                <w:sz w:val="21"/>
                <w:szCs w:val="21"/>
                <w14:textFill>
                  <w14:solidFill>
                    <w14:schemeClr w14:val="tx1"/>
                  </w14:solidFill>
                </w14:textFill>
              </w:rPr>
              <w:t>1</w:t>
            </w:r>
            <w:r>
              <w:rPr>
                <w:rFonts w:hint="eastAsia"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行业种类：I</w:t>
            </w:r>
            <w:r>
              <w:rPr>
                <w:rFonts w:cs="Times New Roman"/>
                <w:color w:val="000000" w:themeColor="text1"/>
                <w:sz w:val="21"/>
                <w:szCs w:val="21"/>
                <w14:textFill>
                  <w14:solidFill>
                    <w14:schemeClr w14:val="tx1"/>
                  </w14:solidFill>
                </w14:textFill>
              </w:rPr>
              <w:t>65软件和信息技术服务业</w:t>
            </w:r>
            <w:r>
              <w:rPr>
                <w:rFonts w:hint="eastAsia" w:cs="Times New Roman"/>
                <w:color w:val="000000" w:themeColor="text1"/>
                <w:sz w:val="21"/>
                <w:szCs w:val="21"/>
                <w14:textFill>
                  <w14:solidFill>
                    <w14:schemeClr w14:val="tx1"/>
                  </w14:solidFill>
                </w14:textFill>
              </w:rPr>
              <w:t xml:space="preserve"> 货币种类：人民币 每股面值：1元  总股本：1</w:t>
            </w:r>
            <w:r>
              <w:rPr>
                <w:rFonts w:cs="Times New Roman"/>
                <w:color w:val="000000" w:themeColor="text1"/>
                <w:sz w:val="21"/>
                <w:szCs w:val="21"/>
                <w14:textFill>
                  <w14:solidFill>
                    <w14:schemeClr w14:val="tx1"/>
                  </w14:solidFill>
                </w14:textFill>
              </w:rPr>
              <w:t>,253,010,026</w:t>
            </w:r>
            <w:r>
              <w:rPr>
                <w:rFonts w:hint="eastAsia" w:cs="Times New Roman"/>
                <w:color w:val="000000" w:themeColor="text1"/>
                <w:sz w:val="21"/>
                <w:szCs w:val="21"/>
                <w14:textFill>
                  <w14:solidFill>
                    <w14:schemeClr w14:val="tx1"/>
                  </w14:solidFill>
                </w14:textFill>
              </w:rPr>
              <w:t>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w:t>
            </w:r>
            <w:r>
              <w:rPr>
                <w:rFonts w:cs="Times New Roman"/>
                <w:color w:val="000000" w:themeColor="text1"/>
                <w:sz w:val="21"/>
                <w:szCs w:val="21"/>
                <w14:textFill>
                  <w14:solidFill>
                    <w14:schemeClr w14:val="tx1"/>
                  </w14:solidFill>
                </w14:textFill>
              </w:rPr>
              <w:t>,010,210,810</w:t>
            </w:r>
            <w:r>
              <w:rPr>
                <w:rFonts w:hint="eastAsia" w:cs="Times New Roman"/>
                <w:color w:val="000000" w:themeColor="text1"/>
                <w:sz w:val="21"/>
                <w:szCs w:val="21"/>
                <w14:textFill>
                  <w14:solidFill>
                    <w14:schemeClr w14:val="tx1"/>
                  </w14:solidFill>
                </w14:textFill>
              </w:rPr>
              <w:t>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16</w:t>
            </w:r>
            <w:r>
              <w:rPr>
                <w:rFonts w:hint="eastAsia" w:cs="Times New Roman"/>
                <w:color w:val="000000" w:themeColor="text1"/>
                <w:sz w:val="21"/>
                <w:szCs w:val="21"/>
                <w14:textFill>
                  <w14:solidFill>
                    <w14:schemeClr w14:val="tx1"/>
                  </w14:solidFill>
                </w14:textFill>
              </w:rPr>
              <w:t>日 （T日）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转让分类：每周交易</w:t>
            </w:r>
            <w:r>
              <w:rPr>
                <w:rFonts w:cs="Times New Roman"/>
                <w:color w:val="000000" w:themeColor="text1"/>
                <w:sz w:val="21"/>
                <w:szCs w:val="21"/>
                <w14:textFill>
                  <w14:solidFill>
                    <w14:schemeClr w14:val="tx1"/>
                  </w14:solidFill>
                </w14:textFill>
              </w:rPr>
              <w:t>1</w:t>
            </w:r>
            <w:r>
              <w:rPr>
                <w:rFonts w:hint="eastAsia" w:cs="Times New Roman"/>
                <w:color w:val="000000" w:themeColor="text1"/>
                <w:sz w:val="21"/>
                <w:szCs w:val="2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404002</w:t>
            </w:r>
          </w:p>
        </w:tc>
        <w:tc>
          <w:tcPr>
            <w:tcW w:w="1893" w:type="pct"/>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退市可转债简称：搜特退债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每张面值：100 </w:t>
            </w:r>
            <w:r>
              <w:rPr>
                <w:rFonts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票面利率（%）：0.9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起息日：2023年9月</w:t>
            </w:r>
            <w:r>
              <w:rPr>
                <w:rFonts w:cs="Times New Roman"/>
                <w:color w:val="000000" w:themeColor="text1"/>
                <w:sz w:val="21"/>
                <w:szCs w:val="21"/>
                <w14:textFill>
                  <w14:solidFill>
                    <w14:schemeClr w14:val="tx1"/>
                  </w14:solidFill>
                </w14:textFill>
              </w:rPr>
              <w:t>16</w:t>
            </w:r>
            <w:r>
              <w:rPr>
                <w:rFonts w:hint="eastAsia" w:cs="Times New Roman"/>
                <w:color w:val="000000" w:themeColor="text1"/>
                <w:sz w:val="21"/>
                <w:szCs w:val="21"/>
                <w14:textFill>
                  <w14:solidFill>
                    <w14:schemeClr w14:val="tx1"/>
                  </w14:solidFill>
                </w14:textFill>
              </w:rPr>
              <w:t xml:space="preserve">日 </w:t>
            </w:r>
            <w:r>
              <w:rPr>
                <w:rFonts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   转股价格：101.1</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w:t>
            </w:r>
            <w:r>
              <w:rPr>
                <w:rFonts w:cs="Times New Roman"/>
                <w:color w:val="000000" w:themeColor="text1"/>
                <w:sz w:val="21"/>
                <w:szCs w:val="21"/>
                <w14:textFill>
                  <w14:solidFill>
                    <w14:schemeClr w14:val="tx1"/>
                  </w14:solidFill>
                </w14:textFill>
              </w:rPr>
              <w:t>16</w:t>
            </w:r>
            <w:r>
              <w:rPr>
                <w:rFonts w:hint="eastAsia" w:cs="Times New Roman"/>
                <w:color w:val="000000" w:themeColor="text1"/>
                <w:sz w:val="21"/>
                <w:szCs w:val="21"/>
                <w14:textFill>
                  <w14:solidFill>
                    <w14:schemeClr w14:val="tx1"/>
                  </w14:solidFill>
                </w14:textFill>
              </w:rPr>
              <w:t>日（T+1日）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w:t>
            </w:r>
            <w:r>
              <w:rPr>
                <w:rFonts w:cs="Times New Roman"/>
                <w:color w:val="000000" w:themeColor="text1"/>
                <w:sz w:val="21"/>
                <w:szCs w:val="21"/>
                <w14:textFill>
                  <w14:solidFill>
                    <w14:schemeClr w14:val="tx1"/>
                  </w14:solidFill>
                </w14:textFill>
              </w:rPr>
              <w:t>15</w:t>
            </w:r>
            <w:r>
              <w:rPr>
                <w:rFonts w:hint="eastAsia" w:cs="Times New Roman"/>
                <w:color w:val="000000" w:themeColor="text1"/>
                <w:sz w:val="21"/>
                <w:szCs w:val="21"/>
                <w14:textFill>
                  <w14:solidFill>
                    <w14:schemeClr w14:val="tx1"/>
                  </w14:solidFill>
                </w14:textFill>
              </w:rPr>
              <w:t>日</w:t>
            </w:r>
          </w:p>
        </w:tc>
        <w:tc>
          <w:tcPr>
            <w:tcW w:w="405" w:type="pct"/>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400198</w:t>
            </w:r>
          </w:p>
        </w:tc>
        <w:tc>
          <w:tcPr>
            <w:tcW w:w="2163" w:type="pct"/>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证券简称：搜特</w:t>
            </w:r>
            <w:r>
              <w:rPr>
                <w:rFonts w:cs="Times New Roman"/>
                <w:color w:val="000000" w:themeColor="text1"/>
                <w:sz w:val="21"/>
                <w:szCs w:val="21"/>
                <w14:textFill>
                  <w14:solidFill>
                    <w14:schemeClr w14:val="tx1"/>
                  </w14:solidFill>
                </w14:textFill>
              </w:rPr>
              <w:t>5</w:t>
            </w:r>
            <w:r>
              <w:rPr>
                <w:rFonts w:hint="eastAsia"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交易单位：1 行业种类：A01-农业 货币种类：人民币 每股面值：1元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16</w:t>
            </w:r>
            <w:r>
              <w:rPr>
                <w:rFonts w:hint="eastAsia" w:cs="Times New Roman"/>
                <w:color w:val="000000" w:themeColor="text1"/>
                <w:sz w:val="21"/>
                <w:szCs w:val="21"/>
                <w14:textFill>
                  <w14:solidFill>
                    <w14:schemeClr w14:val="tx1"/>
                  </w14:solidFill>
                </w14:textFill>
              </w:rPr>
              <w:t xml:space="preserve">日（T+1日）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转让分类：每周交易</w:t>
            </w:r>
            <w:r>
              <w:rPr>
                <w:rFonts w:cs="Times New Roman"/>
                <w:color w:val="000000" w:themeColor="text1"/>
                <w:sz w:val="21"/>
                <w:szCs w:val="21"/>
                <w14:textFill>
                  <w14:solidFill>
                    <w14:schemeClr w14:val="tx1"/>
                  </w14:solidFill>
                </w14:textFill>
              </w:rPr>
              <w:t>5</w:t>
            </w:r>
            <w:r>
              <w:rPr>
                <w:rFonts w:hint="eastAsia" w:cs="Times New Roman"/>
                <w:color w:val="000000" w:themeColor="text1"/>
                <w:sz w:val="21"/>
                <w:szCs w:val="21"/>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404003</w:t>
            </w:r>
          </w:p>
        </w:tc>
        <w:tc>
          <w:tcPr>
            <w:tcW w:w="1893" w:type="pct"/>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退市可转债简称：退三退债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每张面值：100</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票面利率（%）：1.0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起息日：2023年9月4日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     转股价格：101</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w:t>
            </w:r>
            <w:r>
              <w:rPr>
                <w:rFonts w:cs="Times New Roman"/>
                <w:color w:val="000000" w:themeColor="text1"/>
                <w:sz w:val="21"/>
                <w:szCs w:val="21"/>
                <w14:textFill>
                  <w14:solidFill>
                    <w14:schemeClr w14:val="tx1"/>
                  </w14:solidFill>
                </w14:textFill>
              </w:rPr>
              <w:t>16</w:t>
            </w:r>
            <w:r>
              <w:rPr>
                <w:rFonts w:hint="eastAsia" w:cs="Times New Roman"/>
                <w:color w:val="000000" w:themeColor="text1"/>
                <w:sz w:val="21"/>
                <w:szCs w:val="21"/>
                <w14:textFill>
                  <w14:solidFill>
                    <w14:schemeClr w14:val="tx1"/>
                  </w14:solidFill>
                </w14:textFill>
              </w:rPr>
              <w:t>日（T+1日）债券到期日期：2029年9月</w:t>
            </w:r>
            <w:r>
              <w:rPr>
                <w:rFonts w:cs="Times New Roman"/>
                <w:color w:val="000000" w:themeColor="text1"/>
                <w:sz w:val="21"/>
                <w:szCs w:val="21"/>
                <w14:textFill>
                  <w14:solidFill>
                    <w14:schemeClr w14:val="tx1"/>
                  </w14:solidFill>
                </w14:textFill>
              </w:rPr>
              <w:t>15</w:t>
            </w:r>
            <w:r>
              <w:rPr>
                <w:rFonts w:hint="eastAsia" w:cs="Times New Roman"/>
                <w:color w:val="000000" w:themeColor="text1"/>
                <w:sz w:val="21"/>
                <w:szCs w:val="21"/>
                <w14:textFill>
                  <w14:solidFill>
                    <w14:schemeClr w14:val="tx1"/>
                  </w14:solidFill>
                </w14:textFill>
              </w:rPr>
              <w:t>日</w:t>
            </w:r>
          </w:p>
        </w:tc>
        <w:tc>
          <w:tcPr>
            <w:tcW w:w="405" w:type="pct"/>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400203</w:t>
            </w:r>
          </w:p>
        </w:tc>
        <w:tc>
          <w:tcPr>
            <w:tcW w:w="2163" w:type="pct"/>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证券简称：退三5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交易单位：1 行业种类：A01-农业 货币种类：人民币 每股面值：1元  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w:t>
            </w:r>
            <w:r>
              <w:rPr>
                <w:rFonts w:cs="Times New Roman"/>
                <w:color w:val="000000" w:themeColor="text1"/>
                <w:sz w:val="21"/>
                <w:szCs w:val="21"/>
                <w14:textFill>
                  <w14:solidFill>
                    <w14:schemeClr w14:val="tx1"/>
                  </w14:solidFill>
                </w14:textFill>
              </w:rPr>
              <w:t>16</w:t>
            </w:r>
            <w:r>
              <w:rPr>
                <w:rFonts w:hint="eastAsia" w:cs="Times New Roman"/>
                <w:color w:val="000000" w:themeColor="text1"/>
                <w:sz w:val="21"/>
                <w:szCs w:val="21"/>
                <w14:textFill>
                  <w14:solidFill>
                    <w14:schemeClr w14:val="tx1"/>
                  </w14:solidFill>
                </w14:textFill>
              </w:rPr>
              <w:t>日（T+1日）</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404004</w:t>
            </w:r>
          </w:p>
        </w:tc>
        <w:tc>
          <w:tcPr>
            <w:tcW w:w="1893" w:type="pct"/>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退市可转债简称：退四退债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每张面值：100 </w:t>
            </w:r>
            <w:r>
              <w:rPr>
                <w:rFonts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票面利率（%）：0.9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起息日：2023年9月</w:t>
            </w:r>
            <w:r>
              <w:rPr>
                <w:rFonts w:cs="Times New Roman"/>
                <w:color w:val="000000" w:themeColor="text1"/>
                <w:sz w:val="21"/>
                <w:szCs w:val="21"/>
                <w14:textFill>
                  <w14:solidFill>
                    <w14:schemeClr w14:val="tx1"/>
                  </w14:solidFill>
                </w14:textFill>
              </w:rPr>
              <w:t>16</w:t>
            </w:r>
            <w:r>
              <w:rPr>
                <w:rFonts w:hint="eastAsia" w:cs="Times New Roman"/>
                <w:color w:val="000000" w:themeColor="text1"/>
                <w:sz w:val="21"/>
                <w:szCs w:val="21"/>
                <w14:textFill>
                  <w14:solidFill>
                    <w14:schemeClr w14:val="tx1"/>
                  </w14:solidFill>
                </w14:textFill>
              </w:rPr>
              <w:t xml:space="preserve">日 </w:t>
            </w:r>
            <w:r>
              <w:rPr>
                <w:rFonts w:cs="Times New Roman"/>
                <w:color w:val="000000" w:themeColor="text1"/>
                <w:sz w:val="21"/>
                <w:szCs w:val="21"/>
                <w14:textFill>
                  <w14:solidFill>
                    <w14:schemeClr w14:val="tx1"/>
                  </w14:solidFill>
                </w14:textFill>
              </w:rPr>
              <w:t xml:space="preserve">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回售价格：103   转股价格：101.1</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挂牌日期：2023年9月</w:t>
            </w:r>
            <w:r>
              <w:rPr>
                <w:rFonts w:cs="Times New Roman"/>
                <w:color w:val="000000" w:themeColor="text1"/>
                <w:sz w:val="21"/>
                <w:szCs w:val="21"/>
                <w14:textFill>
                  <w14:solidFill>
                    <w14:schemeClr w14:val="tx1"/>
                  </w14:solidFill>
                </w14:textFill>
              </w:rPr>
              <w:t>16</w:t>
            </w:r>
            <w:r>
              <w:rPr>
                <w:rFonts w:hint="eastAsia" w:cs="Times New Roman"/>
                <w:color w:val="000000" w:themeColor="text1"/>
                <w:sz w:val="21"/>
                <w:szCs w:val="21"/>
                <w14:textFill>
                  <w14:solidFill>
                    <w14:schemeClr w14:val="tx1"/>
                  </w14:solidFill>
                </w14:textFill>
              </w:rPr>
              <w:t>日（T+1日）</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债券到期日期：2029年9月</w:t>
            </w:r>
            <w:r>
              <w:rPr>
                <w:rFonts w:cs="Times New Roman"/>
                <w:color w:val="000000" w:themeColor="text1"/>
                <w:sz w:val="21"/>
                <w:szCs w:val="21"/>
                <w14:textFill>
                  <w14:solidFill>
                    <w14:schemeClr w14:val="tx1"/>
                  </w14:solidFill>
                </w14:textFill>
              </w:rPr>
              <w:t>15</w:t>
            </w:r>
            <w:r>
              <w:rPr>
                <w:rFonts w:hint="eastAsia" w:cs="Times New Roman"/>
                <w:color w:val="000000" w:themeColor="text1"/>
                <w:sz w:val="21"/>
                <w:szCs w:val="21"/>
                <w14:textFill>
                  <w14:solidFill>
                    <w14:schemeClr w14:val="tx1"/>
                  </w14:solidFill>
                </w14:textFill>
              </w:rPr>
              <w:t>日</w:t>
            </w:r>
          </w:p>
        </w:tc>
        <w:tc>
          <w:tcPr>
            <w:tcW w:w="405" w:type="pct"/>
            <w:vAlign w:val="center"/>
          </w:tcPr>
          <w:p>
            <w:pPr>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400204</w:t>
            </w:r>
          </w:p>
        </w:tc>
        <w:tc>
          <w:tcPr>
            <w:tcW w:w="2163" w:type="pct"/>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证券简称：退四5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证券级别：两网及退市公司股票</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证券类别：两网及退市公司A类股票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交易单位：1 行业种类：A01-农业 货币种类：人民币 每股面值：1元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总股本：100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r>
              <w:rPr>
                <w:rFonts w:cs="Times New Roman"/>
                <w:color w:val="000000" w:themeColor="text1"/>
                <w:sz w:val="21"/>
                <w:szCs w:val="21"/>
                <w14:textFill>
                  <w14:solidFill>
                    <w14:schemeClr w14:val="tx1"/>
                  </w14:solidFill>
                </w14:textFill>
              </w:rPr>
              <w:t xml:space="preserve">  </w:t>
            </w:r>
            <w:r>
              <w:rPr>
                <w:rFonts w:hint="eastAsia" w:cs="Times New Roman"/>
                <w:color w:val="000000" w:themeColor="text1"/>
                <w:sz w:val="21"/>
                <w:szCs w:val="21"/>
                <w14:textFill>
                  <w14:solidFill>
                    <w14:schemeClr w14:val="tx1"/>
                  </w14:solidFill>
                </w14:textFill>
              </w:rPr>
              <w:t>非限售股本：100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w:t>
            </w:r>
            <w:r>
              <w:rPr>
                <w:rFonts w:cs="Times New Roman"/>
                <w:color w:val="000000" w:themeColor="text1"/>
                <w:sz w:val="21"/>
                <w:szCs w:val="21"/>
                <w14:textFill>
                  <w14:solidFill>
                    <w14:schemeClr w14:val="tx1"/>
                  </w14:solidFill>
                </w14:textFill>
              </w:rPr>
              <w:t>,</w:t>
            </w:r>
            <w:r>
              <w:rPr>
                <w:rFonts w:hint="eastAsia" w:cs="Times New Roman"/>
                <w:color w:val="000000" w:themeColor="text1"/>
                <w:sz w:val="21"/>
                <w:szCs w:val="21"/>
                <w14:textFill>
                  <w14:solidFill>
                    <w14:schemeClr w14:val="tx1"/>
                  </w14:solidFill>
                </w14:textFill>
              </w:rPr>
              <w:t>000股</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挂牌日期：2023年</w:t>
            </w:r>
            <w:r>
              <w:rPr>
                <w:rFonts w:cs="Times New Roman"/>
                <w:color w:val="000000" w:themeColor="text1"/>
                <w:sz w:val="21"/>
                <w:szCs w:val="21"/>
                <w14:textFill>
                  <w14:solidFill>
                    <w14:schemeClr w14:val="tx1"/>
                  </w14:solidFill>
                </w14:textFill>
              </w:rPr>
              <w:t>9</w:t>
            </w:r>
            <w:r>
              <w:rPr>
                <w:rFonts w:hint="eastAsia" w:cs="Times New Roman"/>
                <w:color w:val="000000" w:themeColor="text1"/>
                <w:sz w:val="21"/>
                <w:szCs w:val="21"/>
                <w14:textFill>
                  <w14:solidFill>
                    <w14:schemeClr w14:val="tx1"/>
                  </w14:solidFill>
                </w14:textFill>
              </w:rPr>
              <w:t>月</w:t>
            </w:r>
            <w:r>
              <w:rPr>
                <w:rFonts w:cs="Times New Roman"/>
                <w:color w:val="000000" w:themeColor="text1"/>
                <w:sz w:val="21"/>
                <w:szCs w:val="21"/>
                <w14:textFill>
                  <w14:solidFill>
                    <w14:schemeClr w14:val="tx1"/>
                  </w14:solidFill>
                </w14:textFill>
              </w:rPr>
              <w:t>16</w:t>
            </w:r>
            <w:r>
              <w:rPr>
                <w:rFonts w:hint="eastAsia" w:cs="Times New Roman"/>
                <w:color w:val="000000" w:themeColor="text1"/>
                <w:sz w:val="21"/>
                <w:szCs w:val="21"/>
                <w14:textFill>
                  <w14:solidFill>
                    <w14:schemeClr w14:val="tx1"/>
                  </w14:solidFill>
                </w14:textFill>
              </w:rPr>
              <w:t xml:space="preserve">日（T+1日）  </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转让分类：每周交易</w:t>
            </w:r>
            <w:r>
              <w:rPr>
                <w:rFonts w:cs="Times New Roman"/>
                <w:color w:val="000000" w:themeColor="text1"/>
                <w:sz w:val="21"/>
                <w:szCs w:val="21"/>
                <w14:textFill>
                  <w14:solidFill>
                    <w14:schemeClr w14:val="tx1"/>
                  </w14:solidFill>
                </w14:textFill>
              </w:rPr>
              <w:t>5</w:t>
            </w:r>
            <w:r>
              <w:rPr>
                <w:rFonts w:hint="eastAsia" w:cs="Times New Roman"/>
                <w:color w:val="000000" w:themeColor="text1"/>
                <w:sz w:val="21"/>
                <w:szCs w:val="21"/>
                <w14:textFill>
                  <w14:solidFill>
                    <w14:schemeClr w14:val="tx1"/>
                  </w14:solidFill>
                </w14:textFill>
              </w:rPr>
              <w:t>次</w:t>
            </w:r>
          </w:p>
        </w:tc>
      </w:tr>
    </w:tbl>
    <w:p>
      <w:pPr>
        <w:ind w:left="480" w:leftChars="200" w:firstLine="0" w:firstLineChars="0"/>
      </w:pPr>
    </w:p>
    <w:p>
      <w:pPr>
        <w:ind w:firstLine="0" w:firstLineChars="0"/>
        <w:jc w:val="center"/>
      </w:pPr>
    </w:p>
    <w:p>
      <w:pPr>
        <w:pStyle w:val="72"/>
        <w:numPr>
          <w:ilvl w:val="0"/>
          <w:numId w:val="4"/>
        </w:numPr>
        <w:spacing w:before="163" w:after="163"/>
        <w:ind w:firstLine="600"/>
      </w:pPr>
      <w:bookmarkStart w:id="51" w:name="_Toc145352485"/>
      <w:r>
        <w:t>测试数据准备</w:t>
      </w:r>
      <w:bookmarkEnd w:id="48"/>
      <w:bookmarkEnd w:id="51"/>
    </w:p>
    <w:p>
      <w:pPr>
        <w:pStyle w:val="73"/>
        <w:spacing w:before="163" w:after="163"/>
        <w:ind w:firstLine="562"/>
      </w:pPr>
      <w:bookmarkStart w:id="52" w:name="_Toc502216522"/>
      <w:bookmarkStart w:id="53" w:name="_Toc145352486"/>
      <w:bookmarkStart w:id="54" w:name="_Toc502217616"/>
      <w:bookmarkStart w:id="55" w:name="_Toc119341906"/>
      <w:r>
        <w:rPr>
          <w:rFonts w:hint="eastAsia"/>
        </w:rPr>
        <w:t>（一）</w:t>
      </w:r>
      <w:r>
        <w:rPr>
          <w:sz w:val="30"/>
          <w:szCs w:val="30"/>
        </w:rPr>
        <w:t>证券行情和证券信息</w:t>
      </w:r>
      <w:bookmarkEnd w:id="52"/>
      <w:bookmarkEnd w:id="53"/>
      <w:bookmarkEnd w:id="54"/>
      <w:bookmarkEnd w:id="55"/>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初始证券行情和初始证券信息以</w:t>
      </w:r>
      <w:r>
        <w:rPr>
          <w:rFonts w:hint="eastAsia" w:cs="Times New Roman"/>
          <w:color w:val="000000" w:themeColor="text1"/>
          <w:sz w:val="30"/>
          <w:szCs w:val="30"/>
          <w14:textFill>
            <w14:solidFill>
              <w14:schemeClr w14:val="tx1"/>
            </w14:solidFill>
          </w14:textFill>
        </w:rPr>
        <w:t>2023年</w:t>
      </w:r>
      <w:r>
        <w:rPr>
          <w:rFonts w:cs="Times New Roman"/>
          <w:color w:val="000000" w:themeColor="text1"/>
          <w:sz w:val="30"/>
          <w:szCs w:val="30"/>
          <w14:textFill>
            <w14:solidFill>
              <w14:schemeClr w14:val="tx1"/>
            </w14:solidFill>
          </w14:textFill>
        </w:rPr>
        <w:t>9</w:t>
      </w:r>
      <w:r>
        <w:rPr>
          <w:rFonts w:hint="eastAsia" w:cs="Times New Roman"/>
          <w:color w:val="000000" w:themeColor="text1"/>
          <w:sz w:val="30"/>
          <w:szCs w:val="30"/>
          <w14:textFill>
            <w14:solidFill>
              <w14:schemeClr w14:val="tx1"/>
            </w14:solidFill>
          </w14:textFill>
        </w:rPr>
        <w:t>月1</w:t>
      </w: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环境收盘证券行情（NQHQ.DBF）和证券信息（NQXX.DBF）为准。</w:t>
      </w:r>
      <w:r>
        <w:rPr>
          <w:rFonts w:hint="eastAsia" w:cs="Times New Roman"/>
          <w:color w:val="000000" w:themeColor="text1"/>
          <w:sz w:val="30"/>
          <w:szCs w:val="30"/>
          <w14:textFill>
            <w14:solidFill>
              <w14:schemeClr w14:val="tx1"/>
            </w14:solidFill>
          </w14:textFill>
        </w:rPr>
        <w:t>T</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增加</w:t>
      </w:r>
      <w:r>
        <w:rPr>
          <w:rFonts w:cs="Times New Roman"/>
          <w:color w:val="000000" w:themeColor="text1"/>
          <w:sz w:val="30"/>
          <w:szCs w:val="30"/>
          <w14:textFill>
            <w14:solidFill>
              <w14:schemeClr w14:val="tx1"/>
            </w14:solidFill>
          </w14:textFill>
        </w:rPr>
        <w:t>退市可转债</w:t>
      </w: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04001及对应基础证券</w:t>
      </w:r>
      <w:r>
        <w:rPr>
          <w:rFonts w:hint="eastAsia" w:cs="Times New Roman"/>
          <w:color w:val="000000" w:themeColor="text1"/>
          <w:sz w:val="30"/>
          <w:szCs w:val="30"/>
          <w14:textFill>
            <w14:solidFill>
              <w14:schemeClr w14:val="tx1"/>
            </w14:solidFill>
          </w14:textFill>
        </w:rPr>
        <w:t>400194</w:t>
      </w:r>
      <w:r>
        <w:rPr>
          <w:rFonts w:hint="eastAsia" w:cs="Times New Roman"/>
          <w:color w:val="000000" w:themeColor="text1"/>
          <w:sz w:val="21"/>
          <w:szCs w:val="21"/>
          <w14:textFill>
            <w14:solidFill>
              <w14:schemeClr w14:val="tx1"/>
            </w14:solidFill>
          </w14:textFill>
        </w:rPr>
        <w:t>，</w:t>
      </w:r>
      <w:r>
        <w:rPr>
          <w:rFonts w:cs="Times New Roman"/>
          <w:color w:val="000000" w:themeColor="text1"/>
          <w:sz w:val="30"/>
          <w:szCs w:val="30"/>
          <w14:textFill>
            <w14:solidFill>
              <w14:schemeClr w14:val="tx1"/>
            </w14:solidFill>
          </w14:textFill>
        </w:rPr>
        <w:t>T+1日增加退市可转债404002</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404003</w:t>
      </w: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04004</w:t>
      </w:r>
      <w:r>
        <w:rPr>
          <w:rFonts w:hint="eastAsia" w:cs="Times New Roman"/>
          <w:color w:val="000000" w:themeColor="text1"/>
          <w:sz w:val="30"/>
          <w:szCs w:val="30"/>
          <w14:textFill>
            <w14:solidFill>
              <w14:schemeClr w14:val="tx1"/>
            </w14:solidFill>
          </w14:textFill>
        </w:rPr>
        <w:t>及对应基础证券400198、400203、4</w:t>
      </w:r>
      <w:r>
        <w:rPr>
          <w:rFonts w:cs="Times New Roman"/>
          <w:color w:val="000000" w:themeColor="text1"/>
          <w:sz w:val="30"/>
          <w:szCs w:val="30"/>
          <w14:textFill>
            <w14:solidFill>
              <w14:schemeClr w14:val="tx1"/>
            </w14:solidFill>
          </w14:textFill>
        </w:rPr>
        <w:t>00204</w:t>
      </w:r>
      <w:r>
        <w:rPr>
          <w:rFonts w:hint="eastAsia" w:cs="Times New Roman"/>
          <w:color w:val="000000" w:themeColor="text1"/>
          <w:sz w:val="30"/>
          <w:szCs w:val="30"/>
          <w14:textFill>
            <w14:solidFill>
              <w14:schemeClr w14:val="tx1"/>
            </w14:solidFill>
          </w14:textFill>
        </w:rPr>
        <w:t>。</w:t>
      </w:r>
    </w:p>
    <w:p>
      <w:pPr>
        <w:pStyle w:val="73"/>
        <w:spacing w:before="163" w:after="163"/>
        <w:ind w:firstLine="562"/>
      </w:pPr>
      <w:bookmarkStart w:id="56" w:name="_Toc502217617"/>
      <w:bookmarkStart w:id="57" w:name="_Toc119341907"/>
      <w:bookmarkStart w:id="58" w:name="_Toc145352487"/>
      <w:bookmarkStart w:id="59" w:name="_Toc502216523"/>
      <w:r>
        <w:rPr>
          <w:rFonts w:hint="eastAsia"/>
        </w:rPr>
        <w:t>（二）</w:t>
      </w:r>
      <w:r>
        <w:rPr>
          <w:sz w:val="30"/>
          <w:szCs w:val="30"/>
        </w:rPr>
        <w:t>证券账户、交易单元、托管单元及持仓</w:t>
      </w:r>
      <w:bookmarkEnd w:id="56"/>
      <w:bookmarkEnd w:id="57"/>
      <w:bookmarkEnd w:id="58"/>
      <w:bookmarkEnd w:id="59"/>
    </w:p>
    <w:p>
      <w:pPr>
        <w:spacing w:line="240" w:lineRule="auto"/>
        <w:ind w:firstLine="600"/>
        <w:jc w:val="both"/>
        <w:rPr>
          <w:rFonts w:cs="Times New Roman"/>
          <w:color w:val="000000" w:themeColor="text1"/>
          <w14:textFill>
            <w14:solidFill>
              <w14:schemeClr w14:val="tx1"/>
            </w14:solidFill>
          </w14:textFill>
        </w:rPr>
      </w:pPr>
      <w:r>
        <w:rPr>
          <w:rFonts w:cs="Times New Roman"/>
          <w:color w:val="000000" w:themeColor="text1"/>
          <w:sz w:val="30"/>
          <w:szCs w:val="30"/>
          <w14:textFill>
            <w14:solidFill>
              <w14:schemeClr w14:val="tx1"/>
            </w14:solidFill>
          </w14:textFill>
        </w:rPr>
        <w:t>证券账户及持仓的初始信息以</w:t>
      </w:r>
      <w:r>
        <w:rPr>
          <w:rFonts w:hint="eastAsia" w:cs="Times New Roman"/>
          <w:color w:val="000000" w:themeColor="text1"/>
          <w:sz w:val="30"/>
          <w:szCs w:val="30"/>
          <w14:textFill>
            <w14:solidFill>
              <w14:schemeClr w14:val="tx1"/>
            </w14:solidFill>
          </w14:textFill>
        </w:rPr>
        <w:t>2023年</w:t>
      </w:r>
      <w:r>
        <w:rPr>
          <w:rFonts w:cs="Times New Roman"/>
          <w:color w:val="000000" w:themeColor="text1"/>
          <w:sz w:val="30"/>
          <w:szCs w:val="30"/>
          <w14:textFill>
            <w14:solidFill>
              <w14:schemeClr w14:val="tx1"/>
            </w14:solidFill>
          </w14:textFill>
        </w:rPr>
        <w:t>9</w:t>
      </w:r>
      <w:r>
        <w:rPr>
          <w:rFonts w:hint="eastAsia" w:cs="Times New Roman"/>
          <w:color w:val="000000" w:themeColor="text1"/>
          <w:sz w:val="30"/>
          <w:szCs w:val="30"/>
          <w14:textFill>
            <w14:solidFill>
              <w14:schemeClr w14:val="tx1"/>
            </w14:solidFill>
          </w14:textFill>
        </w:rPr>
        <w:t>月1</w:t>
      </w: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）生产环境日终数据为准。退市可转债</w:t>
      </w: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04001</w:t>
      </w:r>
      <w:r>
        <w:rPr>
          <w:rFonts w:hint="eastAsia" w:cs="Times New Roman"/>
          <w:color w:val="000000" w:themeColor="text1"/>
          <w:sz w:val="30"/>
          <w:szCs w:val="30"/>
          <w14:textFill>
            <w14:solidFill>
              <w14:schemeClr w14:val="tx1"/>
            </w14:solidFill>
          </w14:textFill>
        </w:rPr>
        <w:t>、404002</w:t>
      </w:r>
      <w:r>
        <w:rPr>
          <w:rFonts w:cs="Times New Roman"/>
          <w:color w:val="000000" w:themeColor="text1"/>
          <w:sz w:val="30"/>
          <w:szCs w:val="30"/>
          <w14:textFill>
            <w14:solidFill>
              <w14:schemeClr w14:val="tx1"/>
            </w14:solidFill>
          </w14:textFill>
        </w:rPr>
        <w:t>使用生产</w:t>
      </w:r>
      <w:r>
        <w:rPr>
          <w:rFonts w:hint="eastAsia" w:cs="Times New Roman"/>
          <w:color w:val="000000" w:themeColor="text1"/>
          <w:sz w:val="30"/>
          <w:szCs w:val="30"/>
          <w14:textFill>
            <w14:solidFill>
              <w14:schemeClr w14:val="tx1"/>
            </w14:solidFill>
          </w14:textFill>
        </w:rPr>
        <w:t>环境</w:t>
      </w:r>
      <w:r>
        <w:rPr>
          <w:rFonts w:cs="Times New Roman"/>
          <w:color w:val="000000" w:themeColor="text1"/>
          <w:sz w:val="30"/>
          <w:szCs w:val="30"/>
          <w14:textFill>
            <w14:solidFill>
              <w14:schemeClr w14:val="tx1"/>
            </w14:solidFill>
          </w14:textFill>
        </w:rPr>
        <w:t>实际持仓</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T日日终为每家证券公司增加退市可转债404003</w:t>
      </w: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04004</w:t>
      </w:r>
      <w:r>
        <w:rPr>
          <w:rFonts w:hint="eastAsia" w:cs="Times New Roman"/>
          <w:color w:val="000000" w:themeColor="text1"/>
          <w:sz w:val="30"/>
          <w:szCs w:val="30"/>
          <w14:textFill>
            <w14:solidFill>
              <w14:schemeClr w14:val="tx1"/>
            </w14:solidFill>
          </w14:textFill>
        </w:rPr>
        <w:t>初始持仓2</w:t>
      </w:r>
      <w:r>
        <w:rPr>
          <w:rFonts w:cs="Times New Roman"/>
          <w:color w:val="000000" w:themeColor="text1"/>
          <w:sz w:val="30"/>
          <w:szCs w:val="30"/>
          <w14:textFill>
            <w14:solidFill>
              <w14:schemeClr w14:val="tx1"/>
            </w14:solidFill>
          </w14:textFill>
        </w:rPr>
        <w:t>0</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000张</w:t>
      </w:r>
      <w:r>
        <w:rPr>
          <w:rFonts w:hint="eastAsia" w:cs="Times New Roman"/>
          <w:color w:val="000000" w:themeColor="text1"/>
          <w:sz w:val="30"/>
          <w:szCs w:val="30"/>
          <w14:textFill>
            <w14:solidFill>
              <w14:schemeClr w14:val="tx1"/>
            </w14:solidFill>
          </w14:textFill>
        </w:rPr>
        <w:t>。</w:t>
      </w:r>
    </w:p>
    <w:p>
      <w:pPr>
        <w:pStyle w:val="73"/>
        <w:spacing w:before="163" w:after="163"/>
        <w:ind w:firstLine="562"/>
      </w:pPr>
      <w:bookmarkStart w:id="60" w:name="_Toc1851485795"/>
      <w:bookmarkStart w:id="61" w:name="_Toc502217619"/>
      <w:bookmarkStart w:id="62" w:name="_Toc1230028077"/>
      <w:bookmarkStart w:id="63" w:name="_Toc145352488"/>
      <w:bookmarkStart w:id="64" w:name="_Toc502216525"/>
      <w:r>
        <w:rPr>
          <w:rFonts w:hint="eastAsia"/>
        </w:rPr>
        <w:t>（三）</w:t>
      </w:r>
      <w:r>
        <w:t>挂牌公司分层信息</w:t>
      </w:r>
      <w:bookmarkEnd w:id="60"/>
      <w:bookmarkEnd w:id="61"/>
      <w:bookmarkEnd w:id="62"/>
      <w:bookmarkEnd w:id="63"/>
      <w:bookmarkEnd w:id="64"/>
    </w:p>
    <w:p>
      <w:pPr>
        <w:spacing w:line="240" w:lineRule="auto"/>
        <w:ind w:firstLine="600"/>
        <w:jc w:val="both"/>
        <w:rPr>
          <w:rStyle w:val="104"/>
        </w:rPr>
      </w:pPr>
      <w:r>
        <w:rPr>
          <w:rFonts w:cs="Times New Roman"/>
          <w:color w:val="000000" w:themeColor="text1"/>
          <w:sz w:val="30"/>
          <w:szCs w:val="30"/>
          <w14:textFill>
            <w14:solidFill>
              <w14:schemeClr w14:val="tx1"/>
            </w14:solidFill>
          </w14:textFill>
        </w:rPr>
        <w:t>挂牌公司股票分层信息以</w:t>
      </w:r>
      <w:r>
        <w:rPr>
          <w:rFonts w:hint="eastAsia" w:cs="Times New Roman"/>
          <w:color w:val="000000" w:themeColor="text1"/>
          <w:sz w:val="30"/>
          <w:szCs w:val="30"/>
          <w14:textFill>
            <w14:solidFill>
              <w14:schemeClr w14:val="tx1"/>
            </w14:solidFill>
          </w14:textFill>
        </w:rPr>
        <w:t>2023年</w:t>
      </w:r>
      <w:r>
        <w:rPr>
          <w:rFonts w:cs="Times New Roman"/>
          <w:color w:val="000000" w:themeColor="text1"/>
          <w:sz w:val="30"/>
          <w:szCs w:val="30"/>
          <w14:textFill>
            <w14:solidFill>
              <w14:schemeClr w14:val="tx1"/>
            </w14:solidFill>
          </w14:textFill>
        </w:rPr>
        <w:t>9</w:t>
      </w:r>
      <w:r>
        <w:rPr>
          <w:rFonts w:hint="eastAsia" w:cs="Times New Roman"/>
          <w:color w:val="000000" w:themeColor="text1"/>
          <w:sz w:val="30"/>
          <w:szCs w:val="30"/>
          <w14:textFill>
            <w14:solidFill>
              <w14:schemeClr w14:val="tx1"/>
            </w14:solidFill>
          </w14:textFill>
        </w:rPr>
        <w:t>月1</w:t>
      </w: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环境日终数据为准</w:t>
      </w:r>
      <w:r>
        <w:rPr>
          <w:rFonts w:hint="eastAsia" w:cs="Times New Roman"/>
          <w:color w:val="000000" w:themeColor="text1"/>
          <w:sz w:val="30"/>
          <w:szCs w:val="30"/>
          <w14:textFill>
            <w14:solidFill>
              <w14:schemeClr w14:val="tx1"/>
            </w14:solidFill>
          </w14:textFill>
        </w:rPr>
        <w:t>。</w:t>
      </w:r>
    </w:p>
    <w:p>
      <w:pPr>
        <w:pStyle w:val="73"/>
        <w:spacing w:before="163" w:after="163"/>
        <w:ind w:firstLine="562"/>
      </w:pPr>
      <w:bookmarkStart w:id="65" w:name="_Toc502217622"/>
      <w:bookmarkStart w:id="66" w:name="_Toc502216528"/>
      <w:bookmarkStart w:id="67" w:name="_Toc145352489"/>
      <w:bookmarkStart w:id="68" w:name="_Toc119341908"/>
      <w:r>
        <w:rPr>
          <w:rFonts w:hint="eastAsia"/>
        </w:rPr>
        <w:t>（四）</w:t>
      </w:r>
      <w:r>
        <w:rPr>
          <w:sz w:val="30"/>
          <w:szCs w:val="30"/>
        </w:rPr>
        <w:t>交易网关、行情网关和结算网关</w:t>
      </w:r>
      <w:bookmarkEnd w:id="65"/>
      <w:bookmarkEnd w:id="66"/>
      <w:bookmarkEnd w:id="67"/>
      <w:bookmarkEnd w:id="68"/>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交易网关、行情网关、结算网关的初始用户</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密码以</w:t>
      </w:r>
      <w:r>
        <w:rPr>
          <w:rFonts w:hint="eastAsia" w:cs="Times New Roman"/>
          <w:color w:val="000000" w:themeColor="text1"/>
          <w:sz w:val="30"/>
          <w:szCs w:val="30"/>
          <w14:textFill>
            <w14:solidFill>
              <w14:schemeClr w14:val="tx1"/>
            </w14:solidFill>
          </w14:textFill>
        </w:rPr>
        <w:t>2023年2023年</w:t>
      </w:r>
      <w:r>
        <w:rPr>
          <w:rFonts w:cs="Times New Roman"/>
          <w:color w:val="000000" w:themeColor="text1"/>
          <w:sz w:val="30"/>
          <w:szCs w:val="30"/>
          <w14:textFill>
            <w14:solidFill>
              <w14:schemeClr w14:val="tx1"/>
            </w14:solidFill>
          </w14:textFill>
        </w:rPr>
        <w:t>9</w:t>
      </w:r>
      <w:r>
        <w:rPr>
          <w:rFonts w:hint="eastAsia" w:cs="Times New Roman"/>
          <w:color w:val="000000" w:themeColor="text1"/>
          <w:sz w:val="30"/>
          <w:szCs w:val="30"/>
          <w14:textFill>
            <w14:solidFill>
              <w14:schemeClr w14:val="tx1"/>
            </w14:solidFill>
          </w14:textFill>
        </w:rPr>
        <w:t>月1</w:t>
      </w: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环境闭市时数据为准。</w:t>
      </w:r>
      <w:bookmarkStart w:id="69" w:name="_Toc376597526"/>
      <w:bookmarkStart w:id="70" w:name="_Toc374957920"/>
      <w:bookmarkStart w:id="71" w:name="_Toc374381862"/>
      <w:bookmarkStart w:id="72" w:name="_Toc375070738"/>
      <w:bookmarkStart w:id="73" w:name="_Toc375557974"/>
      <w:bookmarkStart w:id="74" w:name="_Toc374381928"/>
      <w:bookmarkStart w:id="75" w:name="_Toc376285233"/>
    </w:p>
    <w:p>
      <w:pPr>
        <w:pStyle w:val="73"/>
        <w:spacing w:before="163" w:after="163"/>
        <w:ind w:firstLine="562"/>
      </w:pPr>
      <w:bookmarkStart w:id="76" w:name="_Toc1913828385"/>
      <w:bookmarkStart w:id="77" w:name="_Toc145352490"/>
      <w:bookmarkStart w:id="78" w:name="_Toc194669963"/>
      <w:r>
        <w:rPr>
          <w:rFonts w:hint="eastAsia"/>
        </w:rPr>
        <w:t>（五）</w:t>
      </w:r>
      <w:r>
        <w:t>FDEP小站</w:t>
      </w:r>
      <w:bookmarkEnd w:id="76"/>
      <w:bookmarkEnd w:id="77"/>
      <w:bookmarkEnd w:id="78"/>
    </w:p>
    <w:p>
      <w:pPr>
        <w:spacing w:line="240" w:lineRule="auto"/>
        <w:ind w:firstLine="600"/>
        <w:jc w:val="both"/>
        <w:rPr>
          <w:rFonts w:cs="Times New Roman"/>
          <w:b/>
          <w:bCs/>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证券公司用于接收适当性信息的FDEP小站号</w:t>
      </w:r>
      <w:r>
        <w:rPr>
          <w:rFonts w:cs="Times New Roman"/>
          <w:color w:val="000000" w:themeColor="text1"/>
          <w:sz w:val="30"/>
          <w:szCs w:val="30"/>
          <w14:textFill>
            <w14:solidFill>
              <w14:schemeClr w14:val="tx1"/>
            </w14:solidFill>
          </w14:textFill>
        </w:rPr>
        <w:t>以</w:t>
      </w:r>
      <w:r>
        <w:rPr>
          <w:rFonts w:hint="eastAsia" w:cs="Times New Roman"/>
          <w:color w:val="000000" w:themeColor="text1"/>
          <w:sz w:val="30"/>
          <w:szCs w:val="30"/>
          <w14:textFill>
            <w14:solidFill>
              <w14:schemeClr w14:val="tx1"/>
            </w14:solidFill>
          </w14:textFill>
        </w:rPr>
        <w:t>2023年</w:t>
      </w:r>
      <w:r>
        <w:rPr>
          <w:rFonts w:cs="Times New Roman"/>
          <w:color w:val="000000" w:themeColor="text1"/>
          <w:sz w:val="30"/>
          <w:szCs w:val="30"/>
          <w14:textFill>
            <w14:solidFill>
              <w14:schemeClr w14:val="tx1"/>
            </w14:solidFill>
          </w14:textFill>
        </w:rPr>
        <w:t>9</w:t>
      </w:r>
      <w:r>
        <w:rPr>
          <w:rFonts w:hint="eastAsia" w:cs="Times New Roman"/>
          <w:color w:val="000000" w:themeColor="text1"/>
          <w:sz w:val="30"/>
          <w:szCs w:val="30"/>
          <w14:textFill>
            <w14:solidFill>
              <w14:schemeClr w14:val="tx1"/>
            </w14:solidFill>
          </w14:textFill>
        </w:rPr>
        <w:t>月1</w:t>
      </w: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日</w:t>
      </w:r>
      <w:r>
        <w:rPr>
          <w:rFonts w:cs="Times New Roman"/>
          <w:color w:val="000000" w:themeColor="text1"/>
          <w:sz w:val="30"/>
          <w:szCs w:val="30"/>
          <w14:textFill>
            <w14:solidFill>
              <w14:schemeClr w14:val="tx1"/>
            </w14:solidFill>
          </w14:textFill>
        </w:rPr>
        <w:t>（周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环境闭市时数据为准</w:t>
      </w:r>
      <w:r>
        <w:rPr>
          <w:rFonts w:hint="eastAsia" w:cs="Times New Roman"/>
          <w:color w:val="000000" w:themeColor="text1"/>
          <w:sz w:val="30"/>
          <w:szCs w:val="30"/>
          <w14:textFill>
            <w14:solidFill>
              <w14:schemeClr w14:val="tx1"/>
            </w14:solidFill>
          </w14:textFill>
        </w:rPr>
        <w:t>。</w:t>
      </w:r>
    </w:p>
    <w:p>
      <w:pPr>
        <w:pStyle w:val="72"/>
        <w:numPr>
          <w:ilvl w:val="0"/>
          <w:numId w:val="4"/>
        </w:numPr>
        <w:spacing w:before="163" w:after="163"/>
        <w:ind w:firstLine="600"/>
      </w:pPr>
      <w:bookmarkStart w:id="79" w:name="_Toc145352491"/>
      <w:bookmarkStart w:id="80" w:name="_Toc119341909"/>
      <w:r>
        <w:t>测试系统接入方式</w:t>
      </w:r>
      <w:bookmarkEnd w:id="69"/>
      <w:bookmarkEnd w:id="70"/>
      <w:bookmarkEnd w:id="71"/>
      <w:bookmarkEnd w:id="72"/>
      <w:bookmarkEnd w:id="73"/>
      <w:bookmarkEnd w:id="74"/>
      <w:bookmarkEnd w:id="75"/>
      <w:bookmarkEnd w:id="79"/>
      <w:bookmarkEnd w:id="80"/>
    </w:p>
    <w:p>
      <w:pPr>
        <w:pStyle w:val="73"/>
        <w:spacing w:before="163" w:after="163"/>
        <w:ind w:firstLine="562"/>
      </w:pPr>
      <w:bookmarkStart w:id="81" w:name="_Toc145352492"/>
      <w:bookmarkStart w:id="82" w:name="_Toc119341910"/>
      <w:bookmarkStart w:id="83" w:name="_Toc416422123"/>
      <w:bookmarkStart w:id="84" w:name="_Toc376285235"/>
      <w:bookmarkStart w:id="85" w:name="_Toc376597528"/>
      <w:bookmarkStart w:id="86" w:name="_Toc374381864"/>
      <w:bookmarkStart w:id="87" w:name="_Toc375557976"/>
      <w:bookmarkStart w:id="88" w:name="_Toc374381930"/>
      <w:bookmarkStart w:id="89" w:name="_Toc375070740"/>
      <w:bookmarkStart w:id="90" w:name="_Toc374957922"/>
      <w:r>
        <w:rPr>
          <w:rFonts w:hint="eastAsia"/>
        </w:rPr>
        <w:t>（一）</w:t>
      </w:r>
      <w:r>
        <w:rPr>
          <w:sz w:val="30"/>
          <w:szCs w:val="30"/>
        </w:rPr>
        <w:t>参测</w:t>
      </w:r>
      <w:r>
        <w:rPr>
          <w:rFonts w:hint="eastAsia"/>
          <w:sz w:val="30"/>
          <w:szCs w:val="30"/>
        </w:rPr>
        <w:t>机构</w:t>
      </w:r>
      <w:r>
        <w:rPr>
          <w:sz w:val="30"/>
          <w:szCs w:val="30"/>
        </w:rPr>
        <w:t>接入深证通</w:t>
      </w:r>
      <w:bookmarkEnd w:id="81"/>
      <w:bookmarkEnd w:id="82"/>
      <w:bookmarkEnd w:id="83"/>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环境线路接入深证通提供的通关测试环境，如有问题，及时联系深证通。</w:t>
      </w:r>
    </w:p>
    <w:p>
      <w:pPr>
        <w:pStyle w:val="73"/>
        <w:widowControl w:val="0"/>
        <w:spacing w:before="163" w:after="163"/>
        <w:ind w:firstLine="562"/>
      </w:pPr>
      <w:bookmarkStart w:id="91" w:name="_Toc119341911"/>
      <w:bookmarkStart w:id="92" w:name="_Toc145352493"/>
      <w:bookmarkStart w:id="93" w:name="_Toc416422124"/>
      <w:bookmarkStart w:id="94" w:name="_Toc386964499"/>
      <w:r>
        <w:rPr>
          <w:rFonts w:hint="eastAsia"/>
        </w:rPr>
        <w:t>（二）</w:t>
      </w:r>
      <w:r>
        <w:rPr>
          <w:sz w:val="30"/>
          <w:szCs w:val="30"/>
        </w:rPr>
        <w:t>参测</w:t>
      </w:r>
      <w:r>
        <w:rPr>
          <w:rFonts w:hint="eastAsia"/>
          <w:sz w:val="30"/>
          <w:szCs w:val="30"/>
        </w:rPr>
        <w:t>机构</w:t>
      </w:r>
      <w:r>
        <w:rPr>
          <w:sz w:val="30"/>
          <w:szCs w:val="30"/>
        </w:rPr>
        <w:t>接入</w:t>
      </w:r>
      <w:r>
        <w:rPr>
          <w:rFonts w:hint="eastAsia"/>
          <w:sz w:val="30"/>
          <w:szCs w:val="30"/>
        </w:rPr>
        <w:t>中国结算</w:t>
      </w:r>
      <w:bookmarkEnd w:id="91"/>
      <w:bookmarkEnd w:id="92"/>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w:t>
      </w:r>
      <w:r>
        <w:rPr>
          <w:rFonts w:cs="Times New Roman"/>
          <w:color w:val="000000" w:themeColor="text1"/>
          <w:sz w:val="30"/>
          <w:szCs w:val="30"/>
          <w14:textFill>
            <w14:solidFill>
              <w14:schemeClr w14:val="tx1"/>
            </w14:solidFill>
          </w14:textFill>
        </w:rPr>
        <w:t>结算测试方案</w:t>
      </w:r>
      <w:r>
        <w:rPr>
          <w:rFonts w:hint="eastAsia" w:cs="Times New Roman"/>
          <w:color w:val="000000" w:themeColor="text1"/>
          <w:sz w:val="30"/>
          <w:szCs w:val="30"/>
          <w14:textFill>
            <w14:solidFill>
              <w14:schemeClr w14:val="tx1"/>
            </w14:solidFill>
          </w14:textFill>
        </w:rPr>
        <w:t>。</w:t>
      </w:r>
    </w:p>
    <w:p>
      <w:pPr>
        <w:pStyle w:val="73"/>
        <w:spacing w:before="163" w:after="163"/>
        <w:ind w:firstLine="562"/>
      </w:pPr>
      <w:bookmarkStart w:id="95" w:name="_Toc145352494"/>
      <w:bookmarkStart w:id="96" w:name="_Toc716568656"/>
      <w:bookmarkStart w:id="97" w:name="_Toc529814339"/>
      <w:r>
        <w:rPr>
          <w:rFonts w:hint="eastAsia"/>
        </w:rPr>
        <w:t>（三）</w:t>
      </w:r>
      <w:r>
        <w:t>测试相关软件下载</w:t>
      </w:r>
      <w:bookmarkEnd w:id="95"/>
      <w:bookmarkEnd w:id="96"/>
      <w:bookmarkEnd w:id="97"/>
    </w:p>
    <w:p>
      <w:pPr>
        <w:spacing w:line="240" w:lineRule="auto"/>
        <w:ind w:firstLine="600"/>
        <w:jc w:val="both"/>
        <w:rPr>
          <w:rFonts w:ascii="仿宋" w:hAnsi="仿宋" w:cs="仿宋"/>
          <w:color w:val="000000"/>
          <w:kern w:val="0"/>
          <w:sz w:val="30"/>
          <w:szCs w:val="30"/>
          <w:shd w:val="clear" w:color="auto" w:fill="FFFFFF"/>
          <w:lang w:bidi="ar"/>
        </w:rPr>
      </w:pPr>
      <w:r>
        <w:rPr>
          <w:rFonts w:ascii="仿宋" w:hAnsi="仿宋" w:cs="仿宋"/>
          <w:color w:val="000000"/>
          <w:kern w:val="0"/>
          <w:sz w:val="30"/>
          <w:szCs w:val="30"/>
          <w:shd w:val="clear" w:color="auto" w:fill="FFFFFF"/>
          <w:lang w:bidi="ar"/>
        </w:rPr>
        <w:t>本次测试所需</w:t>
      </w:r>
      <w:r>
        <w:rPr>
          <w:rFonts w:hint="eastAsia" w:ascii="仿宋" w:hAnsi="仿宋" w:cs="仿宋"/>
          <w:color w:val="000000"/>
          <w:kern w:val="0"/>
          <w:sz w:val="30"/>
          <w:szCs w:val="30"/>
          <w:shd w:val="clear" w:color="auto" w:fill="FFFFFF"/>
          <w:lang w:bidi="ar"/>
        </w:rPr>
        <w:t>的交易网关和行情网关均为现有生产版本</w:t>
      </w:r>
      <w:r>
        <w:rPr>
          <w:rFonts w:hint="eastAsia" w:ascii="仿宋" w:hAnsi="仿宋" w:cs="仿宋"/>
          <w:kern w:val="0"/>
          <w:sz w:val="30"/>
          <w:szCs w:val="30"/>
          <w:shd w:val="clear" w:color="auto" w:fill="FFFFFF"/>
          <w:lang w:bidi="ar"/>
        </w:rPr>
        <w:t>，无需更新，</w:t>
      </w:r>
      <w:r>
        <w:rPr>
          <w:rFonts w:hint="eastAsia" w:ascii="仿宋" w:hAnsi="仿宋" w:cs="仿宋"/>
          <w:color w:val="000000"/>
          <w:kern w:val="0"/>
          <w:sz w:val="30"/>
          <w:szCs w:val="30"/>
          <w:shd w:val="clear" w:color="auto" w:fill="FFFFFF"/>
          <w:lang w:bidi="ar"/>
        </w:rPr>
        <w:t>可在深证通官网下载。</w:t>
      </w:r>
    </w:p>
    <w:bookmarkEnd w:id="84"/>
    <w:bookmarkEnd w:id="85"/>
    <w:bookmarkEnd w:id="86"/>
    <w:bookmarkEnd w:id="87"/>
    <w:bookmarkEnd w:id="88"/>
    <w:bookmarkEnd w:id="89"/>
    <w:bookmarkEnd w:id="90"/>
    <w:bookmarkEnd w:id="93"/>
    <w:bookmarkEnd w:id="94"/>
    <w:p>
      <w:pPr>
        <w:pStyle w:val="72"/>
        <w:numPr>
          <w:ilvl w:val="0"/>
          <w:numId w:val="4"/>
        </w:numPr>
        <w:spacing w:before="163" w:after="163"/>
        <w:ind w:firstLine="600"/>
      </w:pPr>
      <w:bookmarkStart w:id="98" w:name="_Toc375070742"/>
      <w:bookmarkStart w:id="99" w:name="_Toc376597530"/>
      <w:bookmarkStart w:id="100" w:name="_Toc376285237"/>
      <w:bookmarkStart w:id="101" w:name="_Toc374381932"/>
      <w:bookmarkStart w:id="102" w:name="_Toc119341912"/>
      <w:bookmarkStart w:id="103" w:name="_Toc375557978"/>
      <w:bookmarkStart w:id="104" w:name="_Toc374957924"/>
      <w:bookmarkStart w:id="105" w:name="_Toc145352495"/>
      <w:bookmarkStart w:id="106" w:name="_Toc374381866"/>
      <w:r>
        <w:t>测试要求及注意事项</w:t>
      </w:r>
      <w:bookmarkEnd w:id="98"/>
      <w:bookmarkEnd w:id="99"/>
      <w:bookmarkEnd w:id="100"/>
      <w:bookmarkEnd w:id="101"/>
      <w:bookmarkEnd w:id="102"/>
      <w:bookmarkEnd w:id="103"/>
      <w:bookmarkEnd w:id="104"/>
      <w:bookmarkEnd w:id="105"/>
      <w:bookmarkEnd w:id="106"/>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1.</w:t>
      </w:r>
      <w:r>
        <w:rPr>
          <w:rFonts w:cs="Times New Roman"/>
          <w:color w:val="000000" w:themeColor="text1"/>
          <w:sz w:val="30"/>
          <w:szCs w:val="30"/>
          <w:lang w:val="en"/>
          <w14:textFill>
            <w14:solidFill>
              <w14:schemeClr w14:val="tx1"/>
            </w14:solidFill>
          </w14:textFill>
        </w:rPr>
        <w:t>各参测机构应根据</w:t>
      </w:r>
      <w:r>
        <w:rPr>
          <w:rFonts w:hint="eastAsia" w:cs="Times New Roman"/>
          <w:color w:val="000000" w:themeColor="text1"/>
          <w:sz w:val="30"/>
          <w:szCs w:val="30"/>
          <w:lang w:val="en"/>
          <w14:textFill>
            <w14:solidFill>
              <w14:schemeClr w14:val="tx1"/>
            </w14:solidFill>
          </w14:textFill>
        </w:rPr>
        <w:t>《交易支持平台数据接口规范（V2.3）》《全国中小企业股份转让系统市场参与者技术系统变更指南之退市公司可转换公司债券业务》等</w:t>
      </w:r>
      <w:r>
        <w:rPr>
          <w:rFonts w:cs="Times New Roman"/>
          <w:color w:val="000000" w:themeColor="text1"/>
          <w:sz w:val="30"/>
          <w:szCs w:val="30"/>
          <w:lang w:val="en"/>
          <w14:textFill>
            <w14:solidFill>
              <w14:schemeClr w14:val="tx1"/>
            </w14:solidFill>
          </w14:textFill>
        </w:rPr>
        <w:t>技术</w:t>
      </w:r>
      <w:r>
        <w:rPr>
          <w:rFonts w:hint="eastAsia" w:cs="Times New Roman"/>
          <w:color w:val="000000" w:themeColor="text1"/>
          <w:sz w:val="30"/>
          <w:szCs w:val="30"/>
          <w:lang w:val="en"/>
          <w14:textFill>
            <w14:solidFill>
              <w14:schemeClr w14:val="tx1"/>
            </w14:solidFill>
          </w14:textFill>
        </w:rPr>
        <w:t>规范</w:t>
      </w:r>
      <w:r>
        <w:rPr>
          <w:rFonts w:cs="Times New Roman"/>
          <w:color w:val="000000" w:themeColor="text1"/>
          <w:sz w:val="30"/>
          <w:szCs w:val="30"/>
          <w:lang w:val="en"/>
          <w14:textFill>
            <w14:solidFill>
              <w14:schemeClr w14:val="tx1"/>
            </w14:solidFill>
          </w14:textFill>
        </w:rPr>
        <w:t>和测试方案，认真做好技术准备和测试环境</w:t>
      </w:r>
      <w:r>
        <w:rPr>
          <w:rFonts w:hint="eastAsia" w:cs="Times New Roman"/>
          <w:color w:val="000000" w:themeColor="text1"/>
          <w:sz w:val="30"/>
          <w:szCs w:val="30"/>
          <w:lang w:val="en"/>
          <w14:textFill>
            <w14:solidFill>
              <w14:schemeClr w14:val="tx1"/>
            </w14:solidFill>
          </w14:textFill>
        </w:rPr>
        <w:t>准备工作</w:t>
      </w:r>
      <w:r>
        <w:rPr>
          <w:rFonts w:cs="Times New Roman"/>
          <w:color w:val="000000" w:themeColor="text1"/>
          <w:sz w:val="30"/>
          <w:szCs w:val="30"/>
          <w:lang w:val="en"/>
          <w14:textFill>
            <w14:solidFill>
              <w14:schemeClr w14:val="tx1"/>
            </w14:solidFill>
          </w14:textFill>
        </w:rPr>
        <w:t>，</w:t>
      </w:r>
      <w:r>
        <w:rPr>
          <w:rFonts w:hint="eastAsia" w:cs="Times New Roman"/>
          <w:color w:val="000000" w:themeColor="text1"/>
          <w:sz w:val="30"/>
          <w:szCs w:val="30"/>
          <w:lang w:val="en"/>
          <w14:textFill>
            <w14:solidFill>
              <w14:schemeClr w14:val="tx1"/>
            </w14:solidFill>
          </w14:textFill>
        </w:rPr>
        <w:t>制定</w:t>
      </w:r>
      <w:r>
        <w:rPr>
          <w:rFonts w:cs="Times New Roman"/>
          <w:color w:val="000000" w:themeColor="text1"/>
          <w:sz w:val="30"/>
          <w:szCs w:val="30"/>
          <w:lang w:val="en"/>
          <w14:textFill>
            <w14:solidFill>
              <w14:schemeClr w14:val="tx1"/>
            </w14:solidFill>
          </w14:textFill>
        </w:rPr>
        <w:t>详尽的测试计划，并指定专人负责本次</w:t>
      </w:r>
      <w:r>
        <w:rPr>
          <w:rFonts w:hint="eastAsia" w:cs="Times New Roman"/>
          <w:color w:val="000000" w:themeColor="text1"/>
          <w:sz w:val="30"/>
          <w:szCs w:val="30"/>
          <w:lang w:val="en"/>
          <w14:textFill>
            <w14:solidFill>
              <w14:schemeClr w14:val="tx1"/>
            </w14:solidFill>
          </w14:textFill>
        </w:rPr>
        <w:t>通关</w:t>
      </w:r>
      <w:r>
        <w:rPr>
          <w:rFonts w:cs="Times New Roman"/>
          <w:color w:val="000000" w:themeColor="text1"/>
          <w:sz w:val="30"/>
          <w:szCs w:val="30"/>
          <w:lang w:val="en"/>
          <w14:textFill>
            <w14:solidFill>
              <w14:schemeClr w14:val="tx1"/>
            </w14:solidFill>
          </w14:textFill>
        </w:rPr>
        <w:t>测试工作。</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2</w:t>
      </w:r>
      <w:r>
        <w:rPr>
          <w:rFonts w:hint="eastAsia" w:cs="Times New Roman"/>
          <w:color w:val="000000" w:themeColor="text1"/>
          <w:sz w:val="30"/>
          <w:szCs w:val="30"/>
          <w:lang w:val="en"/>
          <w14:textFill>
            <w14:solidFill>
              <w14:schemeClr w14:val="tx1"/>
            </w14:solidFill>
          </w14:textFill>
        </w:rPr>
        <w:t>.各证券公司</w:t>
      </w:r>
      <w:r>
        <w:rPr>
          <w:rFonts w:hint="eastAsia" w:cs="Times New Roman"/>
          <w:color w:val="000000" w:themeColor="text1"/>
          <w:sz w:val="30"/>
          <w:szCs w:val="30"/>
          <w14:textFill>
            <w14:solidFill>
              <w14:schemeClr w14:val="tx1"/>
            </w14:solidFill>
          </w14:textFill>
        </w:rPr>
        <w:t>经纪</w:t>
      </w:r>
      <w:r>
        <w:rPr>
          <w:rFonts w:cs="Times New Roman"/>
          <w:color w:val="000000" w:themeColor="text1"/>
          <w:sz w:val="30"/>
          <w:szCs w:val="30"/>
          <w:lang w:val="en"/>
          <w14:textFill>
            <w14:solidFill>
              <w14:schemeClr w14:val="tx1"/>
            </w14:solidFill>
          </w14:textFill>
        </w:rPr>
        <w:t>系统应</w:t>
      </w:r>
      <w:r>
        <w:rPr>
          <w:rFonts w:hint="eastAsia" w:cs="Times New Roman"/>
          <w:color w:val="000000" w:themeColor="text1"/>
          <w:sz w:val="30"/>
          <w:szCs w:val="30"/>
          <w:lang w:val="en"/>
          <w14:textFill>
            <w14:solidFill>
              <w14:schemeClr w14:val="tx1"/>
            </w14:solidFill>
          </w14:textFill>
        </w:rPr>
        <w:t>确保至少有两种交易终端（其中至少一种为非现场方式）和两种行情终端（其中至少一种为非现场方式）满足业务要求。</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lang w:val="en"/>
          <w14:textFill>
            <w14:solidFill>
              <w14:schemeClr w14:val="tx1"/>
            </w14:solidFill>
          </w14:textFill>
        </w:rPr>
        <w:t>3.</w:t>
      </w:r>
      <w:r>
        <w:rPr>
          <w:rFonts w:hint="eastAsia" w:cs="Times New Roman"/>
          <w:color w:val="000000" w:themeColor="text1"/>
          <w:sz w:val="30"/>
          <w:szCs w:val="30"/>
          <w14:textFill>
            <w14:solidFill>
              <w14:schemeClr w14:val="tx1"/>
            </w14:solidFill>
          </w14:textFill>
        </w:rPr>
        <w:t>开展全国股转系统交易业务</w:t>
      </w:r>
      <w:r>
        <w:rPr>
          <w:rFonts w:cs="Times New Roman"/>
          <w:color w:val="000000" w:themeColor="text1"/>
          <w:sz w:val="30"/>
          <w:szCs w:val="30"/>
          <w14:textFill>
            <w14:solidFill>
              <w14:schemeClr w14:val="tx1"/>
            </w14:solidFill>
          </w14:textFill>
        </w:rPr>
        <w:t>的</w:t>
      </w:r>
      <w:r>
        <w:rPr>
          <w:rFonts w:hint="eastAsia" w:cs="Times New Roman"/>
          <w:color w:val="000000" w:themeColor="text1"/>
          <w:sz w:val="30"/>
          <w:szCs w:val="30"/>
          <w14:textFill>
            <w14:solidFill>
              <w14:schemeClr w14:val="tx1"/>
            </w14:solidFill>
          </w14:textFill>
        </w:rPr>
        <w:t>各证券</w:t>
      </w:r>
      <w:r>
        <w:rPr>
          <w:rFonts w:cs="Times New Roman"/>
          <w:color w:val="000000" w:themeColor="text1"/>
          <w:sz w:val="30"/>
          <w:szCs w:val="30"/>
          <w14:textFill>
            <w14:solidFill>
              <w14:schemeClr w14:val="tx1"/>
            </w14:solidFill>
          </w14:textFill>
        </w:rPr>
        <w:t>公司</w:t>
      </w:r>
      <w:r>
        <w:rPr>
          <w:rFonts w:hint="eastAsia" w:cs="Times New Roman"/>
          <w:color w:val="000000" w:themeColor="text1"/>
          <w:sz w:val="30"/>
          <w:szCs w:val="30"/>
          <w14:textFill>
            <w14:solidFill>
              <w14:schemeClr w14:val="tx1"/>
            </w14:solidFill>
          </w14:textFill>
        </w:rPr>
        <w:t>、有清理退市可转债需求的基金公司、QFII、RQFII及其托管机构均应参加本次测试；提供全国股转系统行情服务的信息商应参加本次测试。</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4</w:t>
      </w:r>
      <w:r>
        <w:rPr>
          <w:rFonts w:hint="eastAsia" w:cs="Times New Roman"/>
          <w:color w:val="000000" w:themeColor="text1"/>
          <w:sz w:val="30"/>
          <w:szCs w:val="30"/>
          <w:lang w:val="en"/>
          <w14:textFill>
            <w14:solidFill>
              <w14:schemeClr w14:val="tx1"/>
            </w14:solidFill>
          </w14:textFill>
        </w:rPr>
        <w:t>.</w:t>
      </w:r>
      <w:r>
        <w:rPr>
          <w:rFonts w:hint="eastAsia" w:cs="Times New Roman"/>
          <w:color w:val="000000" w:themeColor="text1"/>
          <w:sz w:val="30"/>
          <w:szCs w:val="30"/>
          <w14:textFill>
            <w14:solidFill>
              <w14:schemeClr w14:val="tx1"/>
            </w14:solidFill>
          </w14:textFill>
        </w:rPr>
        <w:t>测试过程中，请各市场机构验证现有的定向可转债、两网及退市股票、优先股、要约、融资融券及普通股票等业务正常。</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lang w:val="en"/>
          <w14:textFill>
            <w14:solidFill>
              <w14:schemeClr w14:val="tx1"/>
            </w14:solidFill>
          </w14:textFill>
        </w:rPr>
        <w:t>5</w:t>
      </w:r>
      <w:r>
        <w:rPr>
          <w:rFonts w:hint="eastAsia" w:cs="Times New Roman"/>
          <w:color w:val="000000" w:themeColor="text1"/>
          <w:sz w:val="30"/>
          <w:szCs w:val="30"/>
          <w:lang w:val="en"/>
          <w14:textFill>
            <w14:solidFill>
              <w14:schemeClr w14:val="tx1"/>
            </w14:solidFill>
          </w14:textFill>
        </w:rPr>
        <w:t>.</w:t>
      </w:r>
      <w:r>
        <w:rPr>
          <w:rFonts w:cs="Times New Roman"/>
          <w:color w:val="000000" w:themeColor="text1"/>
          <w:sz w:val="30"/>
          <w:szCs w:val="30"/>
          <w14:textFill>
            <w14:solidFill>
              <w14:schemeClr w14:val="tx1"/>
            </w14:solidFill>
          </w14:textFill>
        </w:rPr>
        <w:t>测试过程中，</w:t>
      </w:r>
      <w:r>
        <w:rPr>
          <w:rFonts w:hint="eastAsia" w:cs="Times New Roman"/>
          <w:color w:val="000000" w:themeColor="text1"/>
          <w:sz w:val="30"/>
          <w:szCs w:val="30"/>
          <w14:textFill>
            <w14:solidFill>
              <w14:schemeClr w14:val="tx1"/>
            </w14:solidFill>
          </w14:textFill>
        </w:rPr>
        <w:t>各参测市场</w:t>
      </w:r>
      <w:r>
        <w:rPr>
          <w:rFonts w:cs="Times New Roman"/>
          <w:color w:val="000000" w:themeColor="text1"/>
          <w:sz w:val="30"/>
          <w:szCs w:val="30"/>
          <w14:textFill>
            <w14:solidFill>
              <w14:schemeClr w14:val="tx1"/>
            </w14:solidFill>
          </w14:textFill>
        </w:rPr>
        <w:t>机构应</w:t>
      </w:r>
      <w:r>
        <w:rPr>
          <w:rFonts w:hint="eastAsia" w:cs="Times New Roman"/>
          <w:color w:val="000000" w:themeColor="text1"/>
          <w:sz w:val="30"/>
          <w:szCs w:val="30"/>
          <w14:textFill>
            <w14:solidFill>
              <w14:schemeClr w14:val="tx1"/>
            </w14:solidFill>
          </w14:textFill>
        </w:rPr>
        <w:t>按要求覆盖相应测试场景，</w:t>
      </w:r>
      <w:r>
        <w:rPr>
          <w:rFonts w:cs="Times New Roman"/>
          <w:color w:val="000000" w:themeColor="text1"/>
          <w:sz w:val="30"/>
          <w:szCs w:val="30"/>
          <w14:textFill>
            <w14:solidFill>
              <w14:schemeClr w14:val="tx1"/>
            </w14:solidFill>
          </w14:textFill>
        </w:rPr>
        <w:t>详细记载测试现象与结果，检查其正确性。如发现异常，请及时通过电话或QQ群</w:t>
      </w:r>
      <w:r>
        <w:rPr>
          <w:rFonts w:hint="eastAsia" w:cs="Times New Roman"/>
          <w:color w:val="000000" w:themeColor="text1"/>
          <w:sz w:val="30"/>
          <w:szCs w:val="30"/>
          <w14:textFill>
            <w14:solidFill>
              <w14:schemeClr w14:val="tx1"/>
            </w14:solidFill>
          </w14:textFill>
        </w:rPr>
        <w:t>联系</w:t>
      </w:r>
      <w:r>
        <w:rPr>
          <w:rFonts w:cs="Times New Roman"/>
          <w:color w:val="000000" w:themeColor="text1"/>
          <w:sz w:val="30"/>
          <w:szCs w:val="30"/>
          <w14:textFill>
            <w14:solidFill>
              <w14:schemeClr w14:val="tx1"/>
            </w14:solidFill>
          </w14:textFill>
        </w:rPr>
        <w:t>全国股转</w:t>
      </w:r>
      <w:r>
        <w:rPr>
          <w:rFonts w:hint="eastAsia" w:cs="Times New Roman"/>
          <w:color w:val="000000" w:themeColor="text1"/>
          <w:sz w:val="30"/>
          <w:szCs w:val="30"/>
          <w14:textFill>
            <w14:solidFill>
              <w14:schemeClr w14:val="tx1"/>
            </w14:solidFill>
          </w14:textFill>
        </w:rPr>
        <w:t>公司</w:t>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14:textFill>
            <w14:solidFill>
              <w14:schemeClr w14:val="tx1"/>
            </w14:solidFill>
          </w14:textFill>
        </w:rPr>
        <w:t>6.</w:t>
      </w:r>
      <w:r>
        <w:rPr>
          <w:rFonts w:hint="eastAsia" w:cs="Times New Roman"/>
          <w:color w:val="000000" w:themeColor="text1"/>
          <w:sz w:val="30"/>
          <w:szCs w:val="30"/>
          <w:lang w:val="en"/>
          <w14:textFill>
            <w14:solidFill>
              <w14:schemeClr w14:val="tx1"/>
            </w14:solidFill>
          </w14:textFill>
        </w:rPr>
        <w:t>各参测证券公司应收集各自技术系统的测试情况，</w:t>
      </w:r>
      <w:r>
        <w:rPr>
          <w:rFonts w:hint="eastAsia" w:cs="Times New Roman"/>
          <w:color w:val="000000" w:themeColor="text1"/>
          <w:sz w:val="30"/>
          <w:szCs w:val="30"/>
          <w14:textFill>
            <w14:solidFill>
              <w14:schemeClr w14:val="tx1"/>
            </w14:solidFill>
          </w14:textFill>
        </w:rPr>
        <w:t>并于2023年</w:t>
      </w:r>
      <w:r>
        <w:rPr>
          <w:rFonts w:cs="Times New Roman"/>
          <w:color w:val="000000" w:themeColor="text1"/>
          <w:sz w:val="30"/>
          <w:szCs w:val="30"/>
          <w14:textFill>
            <w14:solidFill>
              <w14:schemeClr w14:val="tx1"/>
            </w14:solidFill>
          </w14:textFill>
        </w:rPr>
        <w:t>9</w:t>
      </w:r>
      <w:r>
        <w:rPr>
          <w:rFonts w:hint="eastAsia" w:cs="Times New Roman"/>
          <w:color w:val="000000" w:themeColor="text1"/>
          <w:sz w:val="30"/>
          <w:szCs w:val="30"/>
          <w14:textFill>
            <w14:solidFill>
              <w14:schemeClr w14:val="tx1"/>
            </w14:solidFill>
          </w14:textFill>
        </w:rPr>
        <w:t>月1</w:t>
      </w:r>
      <w:r>
        <w:rPr>
          <w:rFonts w:cs="Times New Roman"/>
          <w:color w:val="000000" w:themeColor="text1"/>
          <w:sz w:val="30"/>
          <w:szCs w:val="30"/>
          <w14:textFill>
            <w14:solidFill>
              <w14:schemeClr w14:val="tx1"/>
            </w14:solidFill>
          </w14:textFill>
        </w:rPr>
        <w:t>6</w:t>
      </w:r>
      <w:r>
        <w:rPr>
          <w:rFonts w:hint="eastAsia" w:cs="Times New Roman"/>
          <w:color w:val="000000" w:themeColor="text1"/>
          <w:sz w:val="30"/>
          <w:szCs w:val="30"/>
          <w14:textFill>
            <w14:solidFill>
              <w14:schemeClr w14:val="tx1"/>
            </w14:solidFill>
          </w14:textFill>
        </w:rPr>
        <w:t>日21:</w:t>
      </w:r>
      <w:r>
        <w:rPr>
          <w:rFonts w:cs="Times New Roman"/>
          <w:color w:val="000000" w:themeColor="text1"/>
          <w:sz w:val="30"/>
          <w:szCs w:val="30"/>
          <w14:textFill>
            <w14:solidFill>
              <w14:schemeClr w14:val="tx1"/>
            </w14:solidFill>
          </w14:textFill>
        </w:rPr>
        <w:t>00</w:t>
      </w:r>
      <w:r>
        <w:rPr>
          <w:rFonts w:hint="eastAsia" w:cs="Times New Roman"/>
          <w:color w:val="000000" w:themeColor="text1"/>
          <w:sz w:val="30"/>
          <w:szCs w:val="30"/>
          <w14:textFill>
            <w14:solidFill>
              <w14:schemeClr w14:val="tx1"/>
            </w14:solidFill>
          </w14:textFill>
        </w:rPr>
        <w:t>之前</w:t>
      </w:r>
      <w:r>
        <w:rPr>
          <w:rFonts w:cs="Times New Roman"/>
          <w:color w:val="000000" w:themeColor="text1"/>
          <w:sz w:val="30"/>
          <w:szCs w:val="30"/>
          <w14:textFill>
            <w14:solidFill>
              <w14:schemeClr w14:val="tx1"/>
            </w14:solidFill>
          </w14:textFill>
        </w:rPr>
        <w:t>通过BPM提交测试报告（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。参测</w:t>
      </w:r>
      <w:r>
        <w:rPr>
          <w:rFonts w:hint="eastAsia" w:cs="Times New Roman"/>
          <w:color w:val="000000" w:themeColor="text1"/>
          <w:sz w:val="30"/>
          <w:szCs w:val="30"/>
          <w:lang w:val="en"/>
          <w14:textFill>
            <w14:solidFill>
              <w14:schemeClr w14:val="tx1"/>
            </w14:solidFill>
          </w14:textFill>
        </w:rPr>
        <w:t>信息商和</w:t>
      </w:r>
      <w:r>
        <w:rPr>
          <w:rFonts w:hint="eastAsia" w:cs="Times New Roman"/>
          <w:color w:val="000000" w:themeColor="text1"/>
          <w:sz w:val="30"/>
          <w:szCs w:val="30"/>
          <w14:textFill>
            <w14:solidFill>
              <w14:schemeClr w14:val="tx1"/>
            </w14:solidFill>
          </w14:textFill>
        </w:rPr>
        <w:t>基金公司应按</w:t>
      </w:r>
      <w:r>
        <w:rPr>
          <w:rFonts w:cs="Times New Roman"/>
          <w:color w:val="000000" w:themeColor="text1"/>
          <w:sz w:val="30"/>
          <w:szCs w:val="30"/>
          <w14:textFill>
            <w14:solidFill>
              <w14:schemeClr w14:val="tx1"/>
            </w14:solidFill>
          </w14:textFill>
        </w:rPr>
        <w:t>上述时间要求通过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w:t>
      </w:r>
      <w:r>
        <w:rPr>
          <w:rFonts w:ascii="仿宋" w:hAnsi="仿宋" w:cs="Times New Roman"/>
          <w:color w:val="000000" w:themeColor="text1"/>
          <w:sz w:val="30"/>
          <w:szCs w:val="30"/>
          <w14:textFill>
            <w14:solidFill>
              <w14:schemeClr w14:val="tx1"/>
            </w14:solidFill>
          </w14:textFill>
        </w:rPr>
        <w:t>告（</w:t>
      </w:r>
      <w:r>
        <w:rPr>
          <w:rFonts w:hint="eastAsia" w:ascii="仿宋" w:hAnsi="仿宋" w:cs="Times New Roman"/>
          <w:color w:val="000000" w:themeColor="text1"/>
          <w:sz w:val="30"/>
          <w:szCs w:val="30"/>
          <w14:textFill>
            <w14:solidFill>
              <w14:schemeClr w14:val="tx1"/>
            </w14:solidFill>
          </w14:textFill>
        </w:rPr>
        <w:t>无需盖章</w:t>
      </w:r>
      <w:r>
        <w:rPr>
          <w:rFonts w:ascii="仿宋" w:hAnsi="仿宋" w:cs="Times New Roman"/>
          <w:color w:val="000000" w:themeColor="text1"/>
          <w:sz w:val="30"/>
          <w:szCs w:val="30"/>
          <w14:textFill>
            <w14:solidFill>
              <w14:schemeClr w14:val="tx1"/>
            </w14:solidFill>
          </w14:textFill>
        </w:rPr>
        <w:t>）</w:t>
      </w:r>
      <w:r>
        <w:rPr>
          <w:rFonts w:hint="eastAsia" w:ascii="仿宋" w:hAnsi="仿宋" w:cs="Times New Roman"/>
          <w:color w:val="000000" w:themeColor="text1"/>
          <w:sz w:val="30"/>
          <w:szCs w:val="30"/>
          <w14:textFill>
            <w14:solidFill>
              <w14:schemeClr w14:val="tx1"/>
            </w14:solidFill>
          </w14:textFill>
        </w:rPr>
        <w:t>。</w:t>
      </w:r>
      <w:r>
        <w:rPr>
          <w:rFonts w:ascii="仿宋" w:hAnsi="仿宋" w:cs="Times New Roman"/>
          <w:color w:val="000000" w:themeColor="text1"/>
          <w:sz w:val="30"/>
          <w:szCs w:val="30"/>
          <w14:textFill>
            <w14:solidFill>
              <w14:schemeClr w14:val="tx1"/>
            </w14:solidFill>
          </w14:textFill>
        </w:rPr>
        <w:t>邮件主题</w:t>
      </w:r>
      <w:r>
        <w:rPr>
          <w:rFonts w:hint="eastAsia" w:ascii="仿宋" w:hAnsi="仿宋" w:cs="Times New Roman"/>
          <w:color w:val="000000" w:themeColor="text1"/>
          <w:sz w:val="30"/>
          <w:szCs w:val="30"/>
          <w14:textFill>
            <w14:solidFill>
              <w14:schemeClr w14:val="tx1"/>
            </w14:solidFill>
          </w14:textFill>
        </w:rPr>
        <w:t>和附件名称</w:t>
      </w:r>
      <w:r>
        <w:rPr>
          <w:rFonts w:ascii="仿宋" w:hAnsi="仿宋"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lang w:val="en"/>
          <w14:textFill>
            <w14:solidFill>
              <w14:schemeClr w14:val="tx1"/>
            </w14:solidFill>
          </w14:textFill>
        </w:rPr>
        <w:t>机构名称+退市可转债业务通关测试报告，收件邮箱为：techservice@neeq.com.cn。</w:t>
      </w:r>
    </w:p>
    <w:p>
      <w:pPr>
        <w:widowControl w:val="0"/>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7.通关测试数据仅为模拟测试使用，不能作为生产环境任何交易、非交易及开户等业务的依据，请各参测机构做好生产环境数据保护。</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8.各参测机构应在测试完毕后，做好环境恢复和验证工作，确保下一交易日生产系统正常。</w:t>
      </w:r>
    </w:p>
    <w:p>
      <w:pPr>
        <w:spacing w:line="240" w:lineRule="auto"/>
        <w:ind w:firstLine="600"/>
        <w:jc w:val="both"/>
        <w:rPr>
          <w:rFonts w:cs="Times New Roman"/>
          <w:color w:val="000000" w:themeColor="text1"/>
          <w:sz w:val="30"/>
          <w:szCs w:val="30"/>
          <w14:textFill>
            <w14:solidFill>
              <w14:schemeClr w14:val="tx1"/>
            </w14:solidFill>
          </w14:textFill>
        </w:rPr>
      </w:pPr>
    </w:p>
    <w:p>
      <w:pPr>
        <w:pStyle w:val="72"/>
        <w:numPr>
          <w:ilvl w:val="0"/>
          <w:numId w:val="4"/>
        </w:numPr>
        <w:spacing w:before="163" w:after="163"/>
        <w:ind w:firstLine="600"/>
      </w:pPr>
      <w:bookmarkStart w:id="107" w:name="_Toc376597533"/>
      <w:bookmarkStart w:id="108" w:name="_Toc119341913"/>
      <w:bookmarkStart w:id="109" w:name="_Toc375070745"/>
      <w:bookmarkStart w:id="110" w:name="_Toc374381935"/>
      <w:bookmarkStart w:id="111" w:name="_Toc374957927"/>
      <w:bookmarkStart w:id="112" w:name="_Toc374381869"/>
      <w:bookmarkStart w:id="113" w:name="_Toc376285240"/>
      <w:bookmarkStart w:id="114" w:name="_Toc145352496"/>
      <w:bookmarkStart w:id="115" w:name="_Toc375557981"/>
      <w:r>
        <w:t>联系方式</w:t>
      </w:r>
      <w:bookmarkEnd w:id="107"/>
      <w:bookmarkEnd w:id="108"/>
      <w:bookmarkEnd w:id="109"/>
      <w:bookmarkEnd w:id="110"/>
      <w:bookmarkEnd w:id="111"/>
      <w:bookmarkEnd w:id="112"/>
      <w:bookmarkEnd w:id="113"/>
      <w:bookmarkEnd w:id="114"/>
      <w:bookmarkEnd w:id="11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3"/>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测试联系单位</w:t>
            </w:r>
          </w:p>
        </w:tc>
        <w:tc>
          <w:tcPr>
            <w:tcW w:w="291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w:t>
            </w:r>
            <w:r>
              <w:rPr>
                <w:rFonts w:cs="Times New Roman"/>
                <w:color w:val="000000" w:themeColor="text1"/>
                <w:szCs w:val="24"/>
                <w14:textFill>
                  <w14:solidFill>
                    <w14:schemeClr w14:val="tx1"/>
                  </w14:solidFill>
                </w14:textFill>
              </w:rPr>
              <w:t>运行控制中心</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Cs w:val="24"/>
                <w14:textFill>
                  <w14:solidFill>
                    <w14:schemeClr w14:val="tx1"/>
                  </w14:solidFill>
                </w14:textFill>
              </w:rPr>
            </w:pPr>
            <w:r>
              <w:rPr>
                <w:rFonts w:cs="Times New Roman"/>
                <w:color w:val="000000" w:themeColor="text1"/>
                <w:sz w:val="21"/>
                <w:szCs w:val="21"/>
                <w14:textFill>
                  <w14:solidFill>
                    <w14:schemeClr w14:val="tx1"/>
                  </w14:solidFill>
                </w14:textFill>
              </w:rPr>
              <w:t>010-63889800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0755-83182222（运行咨询）</w:t>
            </w:r>
          </w:p>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0755-88666462（专线、VPN接入）</w:t>
            </w:r>
          </w:p>
          <w:p>
            <w:pPr>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0755-88666464（交易、行情）</w:t>
            </w:r>
          </w:p>
          <w:p>
            <w:pPr>
              <w:ind w:firstLine="0" w:firstLineChars="0"/>
              <w:rPr>
                <w:rFonts w:cs="Times New Roman"/>
                <w:color w:val="000000" w:themeColor="text1"/>
                <w:szCs w:val="24"/>
                <w14:textFill>
                  <w14:solidFill>
                    <w14:schemeClr w14:val="tx1"/>
                  </w14:solidFill>
                </w14:textFill>
              </w:rPr>
            </w:pPr>
            <w:r>
              <w:rPr>
                <w:rFonts w:cs="Times New Roman"/>
                <w:color w:val="000000" w:themeColor="text1"/>
                <w:sz w:val="21"/>
                <w:szCs w:val="21"/>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8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2917" w:type="pct"/>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全国股转公司交易运行维护群：</w:t>
            </w:r>
            <w:r>
              <w:rPr>
                <w:rFonts w:cs="Times New Roman"/>
                <w:color w:val="000000" w:themeColor="text1"/>
                <w:sz w:val="21"/>
                <w:szCs w:val="21"/>
                <w14:textFill>
                  <w14:solidFill>
                    <w14:schemeClr w14:val="tx1"/>
                  </w14:solidFill>
                </w14:textFill>
              </w:rPr>
              <w:t>338167838</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全国股转北交所交易运行维护一群：6</w:t>
            </w:r>
            <w:r>
              <w:rPr>
                <w:rFonts w:cs="Times New Roman"/>
                <w:color w:val="000000" w:themeColor="text1"/>
                <w:sz w:val="21"/>
                <w:szCs w:val="21"/>
                <w14:textFill>
                  <w14:solidFill>
                    <w14:schemeClr w14:val="tx1"/>
                  </w14:solidFill>
                </w14:textFill>
              </w:rPr>
              <w:t>82283623</w:t>
            </w:r>
          </w:p>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 w:val="21"/>
                <w:szCs w:val="21"/>
                <w14:textFill>
                  <w14:solidFill>
                    <w14:schemeClr w14:val="tx1"/>
                  </w14:solidFill>
                </w14:textFill>
              </w:rPr>
              <w:t>全国股转北交所交易运行维护二群：362089063</w:t>
            </w:r>
          </w:p>
        </w:tc>
      </w:tr>
    </w:tbl>
    <w:p>
      <w:pPr>
        <w:spacing w:line="240" w:lineRule="auto"/>
        <w:ind w:firstLine="600"/>
        <w:jc w:val="right"/>
        <w:rPr>
          <w:rFonts w:ascii="仿宋" w:hAnsi="仿宋" w:cs="Times New Roman"/>
          <w:color w:val="000000" w:themeColor="text1"/>
          <w:sz w:val="30"/>
          <w:szCs w:val="30"/>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bookmarkEnd w:id="10"/>
      <w:r>
        <w:rPr>
          <w:rFonts w:hint="eastAsia" w:ascii="仿宋" w:hAnsi="仿宋" w:cs="Times New Roman"/>
          <w:color w:val="000000" w:themeColor="text1"/>
          <w:sz w:val="30"/>
          <w:szCs w:val="30"/>
          <w14:textFill>
            <w14:solidFill>
              <w14:schemeClr w14:val="tx1"/>
            </w14:solidFill>
          </w14:textFill>
        </w:rPr>
        <w:t>三</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九</w:t>
      </w:r>
      <w:r>
        <w:rPr>
          <w:rFonts w:ascii="仿宋" w:hAnsi="仿宋" w:cs="Times New Roman"/>
          <w:color w:val="000000" w:themeColor="text1"/>
          <w:sz w:val="30"/>
          <w:szCs w:val="30"/>
          <w14:textFill>
            <w14:solidFill>
              <w14:schemeClr w14:val="tx1"/>
            </w14:solidFill>
          </w14:textFill>
        </w:rPr>
        <w:t>月</w:t>
      </w:r>
    </w:p>
    <w:sectPr>
      <w:footerReference r:id="rId12" w:type="default"/>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FangSong">
    <w:panose1 w:val="02010609060101010101"/>
    <w:charset w:val="86"/>
    <w:family w:val="roma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638083"/>
    </w:sdtPr>
    <w:sdtContent>
      <w:p>
        <w:pPr>
          <w:pStyle w:val="24"/>
          <w:ind w:left="2400" w:right="360" w:firstLine="360"/>
          <w:jc w:val="right"/>
        </w:pPr>
      </w:p>
    </w:sdtContent>
  </w:sdt>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9803840"/>
    </w:sdtPr>
    <w:sdtEndPr>
      <w:rPr>
        <w:rFonts w:asciiTheme="minorEastAsia" w:hAnsiTheme="minorEastAsia" w:eastAsiaTheme="minorEastAsia"/>
        <w:sz w:val="28"/>
        <w:szCs w:val="28"/>
      </w:rPr>
    </w:sdtEndPr>
    <w:sdtContent>
      <w:p>
        <w:pPr>
          <w:pStyle w:val="24"/>
          <w:spacing w:after="0"/>
          <w:ind w:firstLine="36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pPr>
      <w:pStyle w:val="24"/>
      <w:spacing w:after="0"/>
      <w:ind w:left="2398" w:firstLine="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714632"/>
    </w:sdtPr>
    <w:sdtEndPr>
      <w:rPr>
        <w:rFonts w:asciiTheme="minorEastAsia" w:hAnsiTheme="minorEastAsia" w:eastAsiaTheme="minorEastAsia"/>
        <w:sz w:val="28"/>
        <w:szCs w:val="28"/>
      </w:rPr>
    </w:sdtEndPr>
    <w:sdtContent>
      <w:p>
        <w:pPr>
          <w:pStyle w:val="24"/>
          <w:spacing w:after="0"/>
          <w:ind w:firstLine="36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11 -</w:t>
        </w:r>
        <w:r>
          <w:rPr>
            <w:rFonts w:asciiTheme="minorEastAsia" w:hAnsiTheme="minorEastAsia" w:eastAsiaTheme="minorEastAsia"/>
            <w:sz w:val="28"/>
            <w:szCs w:val="28"/>
          </w:rPr>
          <w:fldChar w:fldCharType="end"/>
        </w:r>
      </w:p>
    </w:sdtContent>
  </w:sdt>
  <w:p>
    <w:pPr>
      <w:pStyle w:val="24"/>
      <w:spacing w:after="0"/>
      <w:ind w:left="2398"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B68"/>
    <w:multiLevelType w:val="singleLevel"/>
    <w:tmpl w:val="8906DB68"/>
    <w:lvl w:ilvl="0" w:tentative="0">
      <w:start w:val="6"/>
      <w:numFmt w:val="chineseCounting"/>
      <w:suff w:val="nothing"/>
      <w:lvlText w:val="%1、"/>
      <w:lvlJc w:val="left"/>
      <w:rPr>
        <w:rFonts w:hint="eastAsia"/>
        <w:lang w:val="en-US"/>
      </w:rPr>
    </w:lvl>
  </w:abstractNum>
  <w:abstractNum w:abstractNumId="1">
    <w:nsid w:val="EEE0F737"/>
    <w:multiLevelType w:val="singleLevel"/>
    <w:tmpl w:val="EEE0F737"/>
    <w:lvl w:ilvl="0" w:tentative="0">
      <w:start w:val="2"/>
      <w:numFmt w:val="chineseCounting"/>
      <w:suff w:val="nothing"/>
      <w:lvlText w:val="（%1）"/>
      <w:lvlJc w:val="left"/>
      <w:rPr>
        <w:rFonts w:hint="eastAsia"/>
      </w:rPr>
    </w:lvl>
  </w:abstractNum>
  <w:abstractNum w:abstractNumId="2">
    <w:nsid w:val="FFB306AF"/>
    <w:multiLevelType w:val="singleLevel"/>
    <w:tmpl w:val="FFB306AF"/>
    <w:lvl w:ilvl="0" w:tentative="0">
      <w:start w:val="1"/>
      <w:numFmt w:val="chineseCounting"/>
      <w:suff w:val="nothing"/>
      <w:lvlText w:val="（%1）"/>
      <w:lvlJc w:val="left"/>
      <w:rPr>
        <w:rFonts w:hint="eastAsia"/>
      </w:rPr>
    </w:lvl>
  </w:abstractNum>
  <w:abstractNum w:abstractNumId="3">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8"/>
      <w:lvlText w:val="（%3）"/>
      <w:lvlJc w:val="left"/>
      <w:pPr>
        <w:ind w:left="1200" w:hanging="1200"/>
      </w:pPr>
      <w:rPr>
        <w:rFonts w:hint="default"/>
      </w:rPr>
    </w:lvl>
    <w:lvl w:ilvl="3" w:tentative="0">
      <w:start w:val="1"/>
      <w:numFmt w:val="decimal"/>
      <w:pStyle w:val="69"/>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58184730"/>
    <w:multiLevelType w:val="multilevel"/>
    <w:tmpl w:val="58184730"/>
    <w:lvl w:ilvl="0" w:tentative="0">
      <w:start w:val="1"/>
      <w:numFmt w:val="chineseCountingThousand"/>
      <w:pStyle w:val="76"/>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7BC86D68"/>
    <w:multiLevelType w:val="multilevel"/>
    <w:tmpl w:val="7BC86D68"/>
    <w:lvl w:ilvl="0" w:tentative="0">
      <w:start w:val="1"/>
      <w:numFmt w:val="chineseCountingThousand"/>
      <w:pStyle w:val="87"/>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05F6"/>
    <w:rsid w:val="0000226A"/>
    <w:rsid w:val="0000289F"/>
    <w:rsid w:val="00012061"/>
    <w:rsid w:val="00013043"/>
    <w:rsid w:val="00013CEC"/>
    <w:rsid w:val="000142C3"/>
    <w:rsid w:val="0001604C"/>
    <w:rsid w:val="00016D1A"/>
    <w:rsid w:val="0002204E"/>
    <w:rsid w:val="000250AA"/>
    <w:rsid w:val="00025609"/>
    <w:rsid w:val="000260BF"/>
    <w:rsid w:val="000269C3"/>
    <w:rsid w:val="00026CF9"/>
    <w:rsid w:val="000306D5"/>
    <w:rsid w:val="00031A23"/>
    <w:rsid w:val="00031C01"/>
    <w:rsid w:val="0003224B"/>
    <w:rsid w:val="000327EA"/>
    <w:rsid w:val="0003465B"/>
    <w:rsid w:val="00034A81"/>
    <w:rsid w:val="0003534D"/>
    <w:rsid w:val="000356E8"/>
    <w:rsid w:val="000365F2"/>
    <w:rsid w:val="000368C1"/>
    <w:rsid w:val="000376C8"/>
    <w:rsid w:val="0004105A"/>
    <w:rsid w:val="00041075"/>
    <w:rsid w:val="0004235A"/>
    <w:rsid w:val="00042933"/>
    <w:rsid w:val="00044595"/>
    <w:rsid w:val="000445AB"/>
    <w:rsid w:val="00044E9E"/>
    <w:rsid w:val="00046076"/>
    <w:rsid w:val="00046C0A"/>
    <w:rsid w:val="000511C0"/>
    <w:rsid w:val="00051A53"/>
    <w:rsid w:val="00052298"/>
    <w:rsid w:val="0005338B"/>
    <w:rsid w:val="000541B6"/>
    <w:rsid w:val="000549C2"/>
    <w:rsid w:val="00057E67"/>
    <w:rsid w:val="0006145E"/>
    <w:rsid w:val="00063F01"/>
    <w:rsid w:val="000646DE"/>
    <w:rsid w:val="00071169"/>
    <w:rsid w:val="000721E7"/>
    <w:rsid w:val="00074A7E"/>
    <w:rsid w:val="000804B5"/>
    <w:rsid w:val="00080B96"/>
    <w:rsid w:val="00081010"/>
    <w:rsid w:val="00083B49"/>
    <w:rsid w:val="0008466B"/>
    <w:rsid w:val="00084979"/>
    <w:rsid w:val="00085154"/>
    <w:rsid w:val="0008783F"/>
    <w:rsid w:val="00090EB6"/>
    <w:rsid w:val="0009277D"/>
    <w:rsid w:val="00092B73"/>
    <w:rsid w:val="000939FC"/>
    <w:rsid w:val="000959F0"/>
    <w:rsid w:val="0009731D"/>
    <w:rsid w:val="000A2740"/>
    <w:rsid w:val="000A2AE2"/>
    <w:rsid w:val="000A4D6D"/>
    <w:rsid w:val="000A5B22"/>
    <w:rsid w:val="000A5B60"/>
    <w:rsid w:val="000A5FB5"/>
    <w:rsid w:val="000A666E"/>
    <w:rsid w:val="000A681A"/>
    <w:rsid w:val="000A6A93"/>
    <w:rsid w:val="000A708D"/>
    <w:rsid w:val="000A786B"/>
    <w:rsid w:val="000B0048"/>
    <w:rsid w:val="000B0C3E"/>
    <w:rsid w:val="000B15D6"/>
    <w:rsid w:val="000B1743"/>
    <w:rsid w:val="000B1945"/>
    <w:rsid w:val="000B3A0A"/>
    <w:rsid w:val="000B6C97"/>
    <w:rsid w:val="000B6F6D"/>
    <w:rsid w:val="000B7ED7"/>
    <w:rsid w:val="000C088E"/>
    <w:rsid w:val="000C1067"/>
    <w:rsid w:val="000C1361"/>
    <w:rsid w:val="000C394B"/>
    <w:rsid w:val="000C4754"/>
    <w:rsid w:val="000C6BA0"/>
    <w:rsid w:val="000D0227"/>
    <w:rsid w:val="000D11FF"/>
    <w:rsid w:val="000D1438"/>
    <w:rsid w:val="000D1696"/>
    <w:rsid w:val="000D16A3"/>
    <w:rsid w:val="000D6685"/>
    <w:rsid w:val="000D75C2"/>
    <w:rsid w:val="000E0FDE"/>
    <w:rsid w:val="000E10D1"/>
    <w:rsid w:val="000E1577"/>
    <w:rsid w:val="000E23D5"/>
    <w:rsid w:val="000E2A65"/>
    <w:rsid w:val="000E2DDD"/>
    <w:rsid w:val="000E3E52"/>
    <w:rsid w:val="000E5908"/>
    <w:rsid w:val="000F0750"/>
    <w:rsid w:val="000F0912"/>
    <w:rsid w:val="000F2CB9"/>
    <w:rsid w:val="000F42DD"/>
    <w:rsid w:val="000F5A7C"/>
    <w:rsid w:val="000F6857"/>
    <w:rsid w:val="00100FBF"/>
    <w:rsid w:val="00101373"/>
    <w:rsid w:val="00102B44"/>
    <w:rsid w:val="00104215"/>
    <w:rsid w:val="001044C7"/>
    <w:rsid w:val="001055E0"/>
    <w:rsid w:val="0010584B"/>
    <w:rsid w:val="00107BA4"/>
    <w:rsid w:val="001116F3"/>
    <w:rsid w:val="00111702"/>
    <w:rsid w:val="00111A49"/>
    <w:rsid w:val="00111CD8"/>
    <w:rsid w:val="00113D4F"/>
    <w:rsid w:val="001172CB"/>
    <w:rsid w:val="0012103A"/>
    <w:rsid w:val="00122E1C"/>
    <w:rsid w:val="00123A2A"/>
    <w:rsid w:val="00124035"/>
    <w:rsid w:val="00124D51"/>
    <w:rsid w:val="00125682"/>
    <w:rsid w:val="00126B40"/>
    <w:rsid w:val="00130226"/>
    <w:rsid w:val="0013179F"/>
    <w:rsid w:val="00131BD4"/>
    <w:rsid w:val="001368ED"/>
    <w:rsid w:val="00140FA8"/>
    <w:rsid w:val="00141196"/>
    <w:rsid w:val="001450C4"/>
    <w:rsid w:val="0014549F"/>
    <w:rsid w:val="00145C4E"/>
    <w:rsid w:val="0014719A"/>
    <w:rsid w:val="00151156"/>
    <w:rsid w:val="00152B49"/>
    <w:rsid w:val="001538F9"/>
    <w:rsid w:val="00154475"/>
    <w:rsid w:val="00155034"/>
    <w:rsid w:val="001569D3"/>
    <w:rsid w:val="0016090A"/>
    <w:rsid w:val="00161BB2"/>
    <w:rsid w:val="00161C45"/>
    <w:rsid w:val="001634A3"/>
    <w:rsid w:val="001670AC"/>
    <w:rsid w:val="001703D1"/>
    <w:rsid w:val="00172BC7"/>
    <w:rsid w:val="001745C4"/>
    <w:rsid w:val="00174863"/>
    <w:rsid w:val="001829AE"/>
    <w:rsid w:val="001840B2"/>
    <w:rsid w:val="001846E1"/>
    <w:rsid w:val="00184A62"/>
    <w:rsid w:val="00185284"/>
    <w:rsid w:val="00185A24"/>
    <w:rsid w:val="00185D53"/>
    <w:rsid w:val="00190447"/>
    <w:rsid w:val="00190B52"/>
    <w:rsid w:val="00190E8E"/>
    <w:rsid w:val="00192C42"/>
    <w:rsid w:val="00193B89"/>
    <w:rsid w:val="00193EB0"/>
    <w:rsid w:val="00193ECC"/>
    <w:rsid w:val="001949B0"/>
    <w:rsid w:val="0019638C"/>
    <w:rsid w:val="0019725F"/>
    <w:rsid w:val="001978C8"/>
    <w:rsid w:val="00197FD0"/>
    <w:rsid w:val="001A2019"/>
    <w:rsid w:val="001A6F08"/>
    <w:rsid w:val="001A7EE0"/>
    <w:rsid w:val="001B05D3"/>
    <w:rsid w:val="001B0AF6"/>
    <w:rsid w:val="001B173B"/>
    <w:rsid w:val="001B2200"/>
    <w:rsid w:val="001B23EC"/>
    <w:rsid w:val="001B476D"/>
    <w:rsid w:val="001B7F01"/>
    <w:rsid w:val="001C1CB1"/>
    <w:rsid w:val="001C3443"/>
    <w:rsid w:val="001C4099"/>
    <w:rsid w:val="001C7383"/>
    <w:rsid w:val="001D0A01"/>
    <w:rsid w:val="001D2164"/>
    <w:rsid w:val="001D74A5"/>
    <w:rsid w:val="001D7798"/>
    <w:rsid w:val="001E0D26"/>
    <w:rsid w:val="001E6653"/>
    <w:rsid w:val="001E68CA"/>
    <w:rsid w:val="001F0479"/>
    <w:rsid w:val="001F12B4"/>
    <w:rsid w:val="001F2D06"/>
    <w:rsid w:val="001F3042"/>
    <w:rsid w:val="001F5AAC"/>
    <w:rsid w:val="001F6CA2"/>
    <w:rsid w:val="001F77A6"/>
    <w:rsid w:val="00200855"/>
    <w:rsid w:val="00200C62"/>
    <w:rsid w:val="0020116B"/>
    <w:rsid w:val="0020194F"/>
    <w:rsid w:val="0020266C"/>
    <w:rsid w:val="00203A7E"/>
    <w:rsid w:val="00206259"/>
    <w:rsid w:val="00212C0C"/>
    <w:rsid w:val="00213F60"/>
    <w:rsid w:val="002150A8"/>
    <w:rsid w:val="002175C3"/>
    <w:rsid w:val="00217746"/>
    <w:rsid w:val="0022019A"/>
    <w:rsid w:val="00221E9F"/>
    <w:rsid w:val="00223725"/>
    <w:rsid w:val="002324CA"/>
    <w:rsid w:val="00235BB6"/>
    <w:rsid w:val="002401EB"/>
    <w:rsid w:val="002406AF"/>
    <w:rsid w:val="00240BAB"/>
    <w:rsid w:val="0024113F"/>
    <w:rsid w:val="00241718"/>
    <w:rsid w:val="00244233"/>
    <w:rsid w:val="002469CD"/>
    <w:rsid w:val="00247AC2"/>
    <w:rsid w:val="00250381"/>
    <w:rsid w:val="002506FC"/>
    <w:rsid w:val="00250AC1"/>
    <w:rsid w:val="00250D87"/>
    <w:rsid w:val="00251CFA"/>
    <w:rsid w:val="00253215"/>
    <w:rsid w:val="00253869"/>
    <w:rsid w:val="00253C9D"/>
    <w:rsid w:val="002566C3"/>
    <w:rsid w:val="002579A2"/>
    <w:rsid w:val="00260DC8"/>
    <w:rsid w:val="0026151F"/>
    <w:rsid w:val="00263BAA"/>
    <w:rsid w:val="00263CF8"/>
    <w:rsid w:val="00264491"/>
    <w:rsid w:val="00264810"/>
    <w:rsid w:val="00265503"/>
    <w:rsid w:val="0026626B"/>
    <w:rsid w:val="00266E71"/>
    <w:rsid w:val="00270B43"/>
    <w:rsid w:val="002711BC"/>
    <w:rsid w:val="002720F9"/>
    <w:rsid w:val="00273CD5"/>
    <w:rsid w:val="0027405D"/>
    <w:rsid w:val="00274CBA"/>
    <w:rsid w:val="00275424"/>
    <w:rsid w:val="0027577A"/>
    <w:rsid w:val="002765D8"/>
    <w:rsid w:val="00276912"/>
    <w:rsid w:val="00277E3E"/>
    <w:rsid w:val="002808C3"/>
    <w:rsid w:val="00280956"/>
    <w:rsid w:val="00282E3C"/>
    <w:rsid w:val="00283DB2"/>
    <w:rsid w:val="00284C08"/>
    <w:rsid w:val="00284F7A"/>
    <w:rsid w:val="00285023"/>
    <w:rsid w:val="00287EDC"/>
    <w:rsid w:val="0029138B"/>
    <w:rsid w:val="00291F95"/>
    <w:rsid w:val="00292D02"/>
    <w:rsid w:val="00295BAE"/>
    <w:rsid w:val="00297B1D"/>
    <w:rsid w:val="002A0AD4"/>
    <w:rsid w:val="002A1772"/>
    <w:rsid w:val="002A2AD0"/>
    <w:rsid w:val="002A35AC"/>
    <w:rsid w:val="002A72F7"/>
    <w:rsid w:val="002A73B5"/>
    <w:rsid w:val="002B3437"/>
    <w:rsid w:val="002B3568"/>
    <w:rsid w:val="002B42AA"/>
    <w:rsid w:val="002C0F70"/>
    <w:rsid w:val="002C119E"/>
    <w:rsid w:val="002C1D49"/>
    <w:rsid w:val="002C1F4F"/>
    <w:rsid w:val="002C5BF0"/>
    <w:rsid w:val="002C6B8C"/>
    <w:rsid w:val="002C7089"/>
    <w:rsid w:val="002C720A"/>
    <w:rsid w:val="002C7E89"/>
    <w:rsid w:val="002D3C3B"/>
    <w:rsid w:val="002D41A0"/>
    <w:rsid w:val="002D620A"/>
    <w:rsid w:val="002D73D9"/>
    <w:rsid w:val="002D797A"/>
    <w:rsid w:val="002E1F8D"/>
    <w:rsid w:val="002E33C4"/>
    <w:rsid w:val="002E3876"/>
    <w:rsid w:val="002E38E5"/>
    <w:rsid w:val="002E5829"/>
    <w:rsid w:val="002E6E34"/>
    <w:rsid w:val="002E7D23"/>
    <w:rsid w:val="002E7EFA"/>
    <w:rsid w:val="002F0A5F"/>
    <w:rsid w:val="002F0C9D"/>
    <w:rsid w:val="002F2E7D"/>
    <w:rsid w:val="002F3286"/>
    <w:rsid w:val="002F3595"/>
    <w:rsid w:val="002F360C"/>
    <w:rsid w:val="002F427D"/>
    <w:rsid w:val="002F482D"/>
    <w:rsid w:val="002F4EF4"/>
    <w:rsid w:val="00300045"/>
    <w:rsid w:val="0030086D"/>
    <w:rsid w:val="00300B1B"/>
    <w:rsid w:val="00300C20"/>
    <w:rsid w:val="0030185C"/>
    <w:rsid w:val="003036BD"/>
    <w:rsid w:val="00304788"/>
    <w:rsid w:val="003059EE"/>
    <w:rsid w:val="00306BDB"/>
    <w:rsid w:val="00307223"/>
    <w:rsid w:val="0031011A"/>
    <w:rsid w:val="00310F41"/>
    <w:rsid w:val="003116A5"/>
    <w:rsid w:val="00311CE6"/>
    <w:rsid w:val="0031230C"/>
    <w:rsid w:val="003129E7"/>
    <w:rsid w:val="003138C1"/>
    <w:rsid w:val="003140DD"/>
    <w:rsid w:val="00314687"/>
    <w:rsid w:val="00316838"/>
    <w:rsid w:val="00320EEE"/>
    <w:rsid w:val="003217D4"/>
    <w:rsid w:val="003221BE"/>
    <w:rsid w:val="00322935"/>
    <w:rsid w:val="003232E1"/>
    <w:rsid w:val="00324E4C"/>
    <w:rsid w:val="00325856"/>
    <w:rsid w:val="00325A9D"/>
    <w:rsid w:val="003315C8"/>
    <w:rsid w:val="00332BA8"/>
    <w:rsid w:val="0033385C"/>
    <w:rsid w:val="00334D71"/>
    <w:rsid w:val="00335E68"/>
    <w:rsid w:val="0033640B"/>
    <w:rsid w:val="003377D2"/>
    <w:rsid w:val="00340164"/>
    <w:rsid w:val="003435C8"/>
    <w:rsid w:val="003435D2"/>
    <w:rsid w:val="00343E25"/>
    <w:rsid w:val="0034490A"/>
    <w:rsid w:val="003450B0"/>
    <w:rsid w:val="00345A5A"/>
    <w:rsid w:val="0034606A"/>
    <w:rsid w:val="00346B3E"/>
    <w:rsid w:val="00346C7B"/>
    <w:rsid w:val="00346E7A"/>
    <w:rsid w:val="0035016B"/>
    <w:rsid w:val="00352A8F"/>
    <w:rsid w:val="0035311A"/>
    <w:rsid w:val="003546F0"/>
    <w:rsid w:val="00355BF5"/>
    <w:rsid w:val="00356611"/>
    <w:rsid w:val="00357A3C"/>
    <w:rsid w:val="00361312"/>
    <w:rsid w:val="00362F19"/>
    <w:rsid w:val="003642E5"/>
    <w:rsid w:val="003664B0"/>
    <w:rsid w:val="003666F7"/>
    <w:rsid w:val="003679E7"/>
    <w:rsid w:val="003704CA"/>
    <w:rsid w:val="00370795"/>
    <w:rsid w:val="003719FB"/>
    <w:rsid w:val="00371A9D"/>
    <w:rsid w:val="003731EA"/>
    <w:rsid w:val="003735FB"/>
    <w:rsid w:val="00374DAD"/>
    <w:rsid w:val="0037559E"/>
    <w:rsid w:val="00376C12"/>
    <w:rsid w:val="00380761"/>
    <w:rsid w:val="003814A4"/>
    <w:rsid w:val="003819B6"/>
    <w:rsid w:val="00381DFA"/>
    <w:rsid w:val="003820BC"/>
    <w:rsid w:val="00385178"/>
    <w:rsid w:val="0038633B"/>
    <w:rsid w:val="00386E87"/>
    <w:rsid w:val="00387E17"/>
    <w:rsid w:val="003912A2"/>
    <w:rsid w:val="003930B1"/>
    <w:rsid w:val="00393B2F"/>
    <w:rsid w:val="0039561D"/>
    <w:rsid w:val="00395DEB"/>
    <w:rsid w:val="003974BA"/>
    <w:rsid w:val="003A0E8B"/>
    <w:rsid w:val="003A18ED"/>
    <w:rsid w:val="003A1C7E"/>
    <w:rsid w:val="003A2550"/>
    <w:rsid w:val="003A3C96"/>
    <w:rsid w:val="003A3D7E"/>
    <w:rsid w:val="003A42AE"/>
    <w:rsid w:val="003A6A1F"/>
    <w:rsid w:val="003A708A"/>
    <w:rsid w:val="003B0399"/>
    <w:rsid w:val="003B03DE"/>
    <w:rsid w:val="003B09AE"/>
    <w:rsid w:val="003B37C3"/>
    <w:rsid w:val="003B3E37"/>
    <w:rsid w:val="003B3F69"/>
    <w:rsid w:val="003C146C"/>
    <w:rsid w:val="003C176B"/>
    <w:rsid w:val="003C23AB"/>
    <w:rsid w:val="003C5F2F"/>
    <w:rsid w:val="003C6782"/>
    <w:rsid w:val="003C6FBE"/>
    <w:rsid w:val="003D0664"/>
    <w:rsid w:val="003D110D"/>
    <w:rsid w:val="003D1865"/>
    <w:rsid w:val="003D18FB"/>
    <w:rsid w:val="003D3F42"/>
    <w:rsid w:val="003E39AD"/>
    <w:rsid w:val="003E424C"/>
    <w:rsid w:val="003E43F2"/>
    <w:rsid w:val="003E4A8B"/>
    <w:rsid w:val="003F0424"/>
    <w:rsid w:val="003F2AA4"/>
    <w:rsid w:val="003F58D8"/>
    <w:rsid w:val="003F5B3C"/>
    <w:rsid w:val="0040051B"/>
    <w:rsid w:val="00401621"/>
    <w:rsid w:val="00403200"/>
    <w:rsid w:val="00403B7D"/>
    <w:rsid w:val="00407FF3"/>
    <w:rsid w:val="00411646"/>
    <w:rsid w:val="004121F4"/>
    <w:rsid w:val="00412475"/>
    <w:rsid w:val="00412F03"/>
    <w:rsid w:val="00413D76"/>
    <w:rsid w:val="00414904"/>
    <w:rsid w:val="00416008"/>
    <w:rsid w:val="0041652B"/>
    <w:rsid w:val="00420413"/>
    <w:rsid w:val="004215D4"/>
    <w:rsid w:val="004229C6"/>
    <w:rsid w:val="004243EC"/>
    <w:rsid w:val="00424546"/>
    <w:rsid w:val="00424C1A"/>
    <w:rsid w:val="00425E28"/>
    <w:rsid w:val="00425F0F"/>
    <w:rsid w:val="00427365"/>
    <w:rsid w:val="0042738A"/>
    <w:rsid w:val="00431432"/>
    <w:rsid w:val="00432879"/>
    <w:rsid w:val="00434F64"/>
    <w:rsid w:val="00436F29"/>
    <w:rsid w:val="004371C8"/>
    <w:rsid w:val="0044077C"/>
    <w:rsid w:val="0044281D"/>
    <w:rsid w:val="00442C00"/>
    <w:rsid w:val="00443399"/>
    <w:rsid w:val="0044344D"/>
    <w:rsid w:val="00444863"/>
    <w:rsid w:val="00444E30"/>
    <w:rsid w:val="00445485"/>
    <w:rsid w:val="00447C7B"/>
    <w:rsid w:val="004505A5"/>
    <w:rsid w:val="004522B0"/>
    <w:rsid w:val="004522D3"/>
    <w:rsid w:val="004541C0"/>
    <w:rsid w:val="00454908"/>
    <w:rsid w:val="004568C9"/>
    <w:rsid w:val="00456985"/>
    <w:rsid w:val="00457A73"/>
    <w:rsid w:val="0046082F"/>
    <w:rsid w:val="00460BDB"/>
    <w:rsid w:val="0046391E"/>
    <w:rsid w:val="00463E9C"/>
    <w:rsid w:val="004642D0"/>
    <w:rsid w:val="00470EDE"/>
    <w:rsid w:val="00470F2E"/>
    <w:rsid w:val="00471DDB"/>
    <w:rsid w:val="0047296F"/>
    <w:rsid w:val="00472CDA"/>
    <w:rsid w:val="00472FA7"/>
    <w:rsid w:val="00474025"/>
    <w:rsid w:val="004743CB"/>
    <w:rsid w:val="004760CC"/>
    <w:rsid w:val="004823F3"/>
    <w:rsid w:val="0048266A"/>
    <w:rsid w:val="00482845"/>
    <w:rsid w:val="00483D41"/>
    <w:rsid w:val="00484635"/>
    <w:rsid w:val="00485775"/>
    <w:rsid w:val="00486ABD"/>
    <w:rsid w:val="00487504"/>
    <w:rsid w:val="0049165A"/>
    <w:rsid w:val="004921BC"/>
    <w:rsid w:val="00492F42"/>
    <w:rsid w:val="00495945"/>
    <w:rsid w:val="004967B2"/>
    <w:rsid w:val="00496D8F"/>
    <w:rsid w:val="00497D1B"/>
    <w:rsid w:val="004A1045"/>
    <w:rsid w:val="004A17D9"/>
    <w:rsid w:val="004A1F84"/>
    <w:rsid w:val="004A2010"/>
    <w:rsid w:val="004A4AB5"/>
    <w:rsid w:val="004A4F42"/>
    <w:rsid w:val="004A562B"/>
    <w:rsid w:val="004A59D1"/>
    <w:rsid w:val="004A645B"/>
    <w:rsid w:val="004A79DB"/>
    <w:rsid w:val="004B0421"/>
    <w:rsid w:val="004B05EA"/>
    <w:rsid w:val="004B07C1"/>
    <w:rsid w:val="004B09C8"/>
    <w:rsid w:val="004B2515"/>
    <w:rsid w:val="004B39C5"/>
    <w:rsid w:val="004B55CC"/>
    <w:rsid w:val="004B57DA"/>
    <w:rsid w:val="004B63D7"/>
    <w:rsid w:val="004C1F47"/>
    <w:rsid w:val="004C2CB9"/>
    <w:rsid w:val="004C41C8"/>
    <w:rsid w:val="004C64A5"/>
    <w:rsid w:val="004C763A"/>
    <w:rsid w:val="004D0D0A"/>
    <w:rsid w:val="004D1909"/>
    <w:rsid w:val="004D2C03"/>
    <w:rsid w:val="004D48AA"/>
    <w:rsid w:val="004E3420"/>
    <w:rsid w:val="004E3D4D"/>
    <w:rsid w:val="004E65FD"/>
    <w:rsid w:val="004F1807"/>
    <w:rsid w:val="004F2273"/>
    <w:rsid w:val="004F2777"/>
    <w:rsid w:val="004F3059"/>
    <w:rsid w:val="004F44F2"/>
    <w:rsid w:val="004F55E8"/>
    <w:rsid w:val="005006A8"/>
    <w:rsid w:val="00500774"/>
    <w:rsid w:val="00500CC4"/>
    <w:rsid w:val="00501281"/>
    <w:rsid w:val="00501B26"/>
    <w:rsid w:val="0050239E"/>
    <w:rsid w:val="00502533"/>
    <w:rsid w:val="005042A1"/>
    <w:rsid w:val="00506F98"/>
    <w:rsid w:val="0050793E"/>
    <w:rsid w:val="00510547"/>
    <w:rsid w:val="0051096B"/>
    <w:rsid w:val="00512808"/>
    <w:rsid w:val="00515621"/>
    <w:rsid w:val="005158BF"/>
    <w:rsid w:val="00516BDB"/>
    <w:rsid w:val="0051744C"/>
    <w:rsid w:val="0052016A"/>
    <w:rsid w:val="005208D8"/>
    <w:rsid w:val="00521098"/>
    <w:rsid w:val="005223BD"/>
    <w:rsid w:val="00522FD2"/>
    <w:rsid w:val="005250D1"/>
    <w:rsid w:val="00526307"/>
    <w:rsid w:val="00526866"/>
    <w:rsid w:val="005268CB"/>
    <w:rsid w:val="005273FA"/>
    <w:rsid w:val="00530549"/>
    <w:rsid w:val="00532AD0"/>
    <w:rsid w:val="005330A9"/>
    <w:rsid w:val="00533124"/>
    <w:rsid w:val="005333AE"/>
    <w:rsid w:val="00533E4B"/>
    <w:rsid w:val="00534172"/>
    <w:rsid w:val="00534793"/>
    <w:rsid w:val="00537D44"/>
    <w:rsid w:val="0054047F"/>
    <w:rsid w:val="00541F59"/>
    <w:rsid w:val="00543365"/>
    <w:rsid w:val="00543595"/>
    <w:rsid w:val="00545001"/>
    <w:rsid w:val="005455F9"/>
    <w:rsid w:val="00546C79"/>
    <w:rsid w:val="00547616"/>
    <w:rsid w:val="00550DE4"/>
    <w:rsid w:val="00553699"/>
    <w:rsid w:val="005542A6"/>
    <w:rsid w:val="00554858"/>
    <w:rsid w:val="0055590E"/>
    <w:rsid w:val="0055700B"/>
    <w:rsid w:val="00560D92"/>
    <w:rsid w:val="005635A6"/>
    <w:rsid w:val="00564763"/>
    <w:rsid w:val="00564776"/>
    <w:rsid w:val="00564C12"/>
    <w:rsid w:val="00564FEE"/>
    <w:rsid w:val="00566106"/>
    <w:rsid w:val="00566302"/>
    <w:rsid w:val="005670D6"/>
    <w:rsid w:val="0057016D"/>
    <w:rsid w:val="005707BD"/>
    <w:rsid w:val="005717F7"/>
    <w:rsid w:val="00571DA4"/>
    <w:rsid w:val="00572E52"/>
    <w:rsid w:val="0057486E"/>
    <w:rsid w:val="00574BE2"/>
    <w:rsid w:val="005754DD"/>
    <w:rsid w:val="00576762"/>
    <w:rsid w:val="005808EC"/>
    <w:rsid w:val="00580C9D"/>
    <w:rsid w:val="00581FF8"/>
    <w:rsid w:val="005832BE"/>
    <w:rsid w:val="005839B4"/>
    <w:rsid w:val="00583AC0"/>
    <w:rsid w:val="005846AD"/>
    <w:rsid w:val="00584BF2"/>
    <w:rsid w:val="00590563"/>
    <w:rsid w:val="00594EDE"/>
    <w:rsid w:val="005951CE"/>
    <w:rsid w:val="0059595E"/>
    <w:rsid w:val="005A034D"/>
    <w:rsid w:val="005A0757"/>
    <w:rsid w:val="005A36F3"/>
    <w:rsid w:val="005A4712"/>
    <w:rsid w:val="005A7C0F"/>
    <w:rsid w:val="005A7E20"/>
    <w:rsid w:val="005B076F"/>
    <w:rsid w:val="005B13B7"/>
    <w:rsid w:val="005B4863"/>
    <w:rsid w:val="005B5249"/>
    <w:rsid w:val="005B688A"/>
    <w:rsid w:val="005B7DFB"/>
    <w:rsid w:val="005B7EB8"/>
    <w:rsid w:val="005C0D5D"/>
    <w:rsid w:val="005C18A4"/>
    <w:rsid w:val="005C1CF1"/>
    <w:rsid w:val="005C2186"/>
    <w:rsid w:val="005C2A77"/>
    <w:rsid w:val="005C3BC0"/>
    <w:rsid w:val="005C40F2"/>
    <w:rsid w:val="005C743E"/>
    <w:rsid w:val="005C751B"/>
    <w:rsid w:val="005D0387"/>
    <w:rsid w:val="005D1FF9"/>
    <w:rsid w:val="005D2DAD"/>
    <w:rsid w:val="005D4749"/>
    <w:rsid w:val="005D6AAB"/>
    <w:rsid w:val="005D7CC0"/>
    <w:rsid w:val="005D7FFC"/>
    <w:rsid w:val="005E0942"/>
    <w:rsid w:val="005E1F19"/>
    <w:rsid w:val="005E2335"/>
    <w:rsid w:val="005E2367"/>
    <w:rsid w:val="005E3936"/>
    <w:rsid w:val="005E628B"/>
    <w:rsid w:val="005E6751"/>
    <w:rsid w:val="005F007E"/>
    <w:rsid w:val="005F0527"/>
    <w:rsid w:val="005F14A7"/>
    <w:rsid w:val="005F231D"/>
    <w:rsid w:val="005F3660"/>
    <w:rsid w:val="005F6332"/>
    <w:rsid w:val="005F760C"/>
    <w:rsid w:val="00600CA6"/>
    <w:rsid w:val="006052B3"/>
    <w:rsid w:val="00605FEB"/>
    <w:rsid w:val="006063DD"/>
    <w:rsid w:val="00607463"/>
    <w:rsid w:val="00607D03"/>
    <w:rsid w:val="00611204"/>
    <w:rsid w:val="006118D6"/>
    <w:rsid w:val="00611E58"/>
    <w:rsid w:val="006157E1"/>
    <w:rsid w:val="006159BB"/>
    <w:rsid w:val="00616311"/>
    <w:rsid w:val="00616628"/>
    <w:rsid w:val="00616D93"/>
    <w:rsid w:val="00616E78"/>
    <w:rsid w:val="006216FC"/>
    <w:rsid w:val="00623F35"/>
    <w:rsid w:val="00624885"/>
    <w:rsid w:val="006263CC"/>
    <w:rsid w:val="00627371"/>
    <w:rsid w:val="00627B61"/>
    <w:rsid w:val="006304E5"/>
    <w:rsid w:val="006307FF"/>
    <w:rsid w:val="006338D2"/>
    <w:rsid w:val="00635142"/>
    <w:rsid w:val="00641E34"/>
    <w:rsid w:val="006427C4"/>
    <w:rsid w:val="00644998"/>
    <w:rsid w:val="00646182"/>
    <w:rsid w:val="006502F1"/>
    <w:rsid w:val="00653623"/>
    <w:rsid w:val="00654353"/>
    <w:rsid w:val="00654ACD"/>
    <w:rsid w:val="00655003"/>
    <w:rsid w:val="00655FDD"/>
    <w:rsid w:val="00657A5B"/>
    <w:rsid w:val="00660AA9"/>
    <w:rsid w:val="00660F37"/>
    <w:rsid w:val="006647AE"/>
    <w:rsid w:val="00664FB4"/>
    <w:rsid w:val="00665E3C"/>
    <w:rsid w:val="006660C8"/>
    <w:rsid w:val="00666B57"/>
    <w:rsid w:val="00666BAF"/>
    <w:rsid w:val="00666F46"/>
    <w:rsid w:val="0066759C"/>
    <w:rsid w:val="00670057"/>
    <w:rsid w:val="00670C6C"/>
    <w:rsid w:val="00672579"/>
    <w:rsid w:val="00674C69"/>
    <w:rsid w:val="00675C3D"/>
    <w:rsid w:val="0067687F"/>
    <w:rsid w:val="00680DCC"/>
    <w:rsid w:val="00681A8C"/>
    <w:rsid w:val="00684999"/>
    <w:rsid w:val="00684C30"/>
    <w:rsid w:val="00686CF3"/>
    <w:rsid w:val="006906AD"/>
    <w:rsid w:val="00691EDC"/>
    <w:rsid w:val="00691F1F"/>
    <w:rsid w:val="00694912"/>
    <w:rsid w:val="00694B1E"/>
    <w:rsid w:val="0069682C"/>
    <w:rsid w:val="006A0848"/>
    <w:rsid w:val="006A0E95"/>
    <w:rsid w:val="006A1C47"/>
    <w:rsid w:val="006A349C"/>
    <w:rsid w:val="006A372C"/>
    <w:rsid w:val="006A3A67"/>
    <w:rsid w:val="006B0241"/>
    <w:rsid w:val="006B05DA"/>
    <w:rsid w:val="006B241C"/>
    <w:rsid w:val="006B557C"/>
    <w:rsid w:val="006B706E"/>
    <w:rsid w:val="006C0560"/>
    <w:rsid w:val="006C0B8B"/>
    <w:rsid w:val="006C3894"/>
    <w:rsid w:val="006C49F0"/>
    <w:rsid w:val="006C4E9F"/>
    <w:rsid w:val="006C5775"/>
    <w:rsid w:val="006C6304"/>
    <w:rsid w:val="006C6820"/>
    <w:rsid w:val="006D05C1"/>
    <w:rsid w:val="006D2F75"/>
    <w:rsid w:val="006D6716"/>
    <w:rsid w:val="006D77B5"/>
    <w:rsid w:val="006E2D38"/>
    <w:rsid w:val="006E6541"/>
    <w:rsid w:val="006E6D42"/>
    <w:rsid w:val="006E7BA5"/>
    <w:rsid w:val="006E7DCA"/>
    <w:rsid w:val="006F0259"/>
    <w:rsid w:val="006F05A8"/>
    <w:rsid w:val="006F0882"/>
    <w:rsid w:val="006F11CA"/>
    <w:rsid w:val="006F2C7F"/>
    <w:rsid w:val="006F34CB"/>
    <w:rsid w:val="006F3EF6"/>
    <w:rsid w:val="006F4940"/>
    <w:rsid w:val="006F4E09"/>
    <w:rsid w:val="006F749A"/>
    <w:rsid w:val="006F7E17"/>
    <w:rsid w:val="00701F1B"/>
    <w:rsid w:val="00703C11"/>
    <w:rsid w:val="00705901"/>
    <w:rsid w:val="00706ECF"/>
    <w:rsid w:val="00706F45"/>
    <w:rsid w:val="00710392"/>
    <w:rsid w:val="00710D1D"/>
    <w:rsid w:val="00711EC8"/>
    <w:rsid w:val="00715EBB"/>
    <w:rsid w:val="00717E38"/>
    <w:rsid w:val="007206D2"/>
    <w:rsid w:val="007211EC"/>
    <w:rsid w:val="007216CB"/>
    <w:rsid w:val="00721CCB"/>
    <w:rsid w:val="007222D7"/>
    <w:rsid w:val="00723816"/>
    <w:rsid w:val="007251DC"/>
    <w:rsid w:val="007279A4"/>
    <w:rsid w:val="00727A58"/>
    <w:rsid w:val="007306AE"/>
    <w:rsid w:val="00730896"/>
    <w:rsid w:val="0073438E"/>
    <w:rsid w:val="0073763F"/>
    <w:rsid w:val="00744285"/>
    <w:rsid w:val="00745177"/>
    <w:rsid w:val="007452F1"/>
    <w:rsid w:val="00745C57"/>
    <w:rsid w:val="00747E35"/>
    <w:rsid w:val="00750DE6"/>
    <w:rsid w:val="0075141F"/>
    <w:rsid w:val="0075174B"/>
    <w:rsid w:val="00751A75"/>
    <w:rsid w:val="00751C0A"/>
    <w:rsid w:val="007526FE"/>
    <w:rsid w:val="00753120"/>
    <w:rsid w:val="007544C5"/>
    <w:rsid w:val="00755F4B"/>
    <w:rsid w:val="007564E9"/>
    <w:rsid w:val="00765405"/>
    <w:rsid w:val="00767F1F"/>
    <w:rsid w:val="00772994"/>
    <w:rsid w:val="00772A86"/>
    <w:rsid w:val="007732C2"/>
    <w:rsid w:val="00773827"/>
    <w:rsid w:val="00773A87"/>
    <w:rsid w:val="00774158"/>
    <w:rsid w:val="00777776"/>
    <w:rsid w:val="00782ACB"/>
    <w:rsid w:val="00783958"/>
    <w:rsid w:val="00784BA1"/>
    <w:rsid w:val="00784C5D"/>
    <w:rsid w:val="00785080"/>
    <w:rsid w:val="00785FE5"/>
    <w:rsid w:val="007862BA"/>
    <w:rsid w:val="00786A27"/>
    <w:rsid w:val="00786D46"/>
    <w:rsid w:val="00787B48"/>
    <w:rsid w:val="00787D86"/>
    <w:rsid w:val="00792C28"/>
    <w:rsid w:val="00793331"/>
    <w:rsid w:val="007941CD"/>
    <w:rsid w:val="00794E83"/>
    <w:rsid w:val="00795CFC"/>
    <w:rsid w:val="00795E74"/>
    <w:rsid w:val="007968E6"/>
    <w:rsid w:val="0079718C"/>
    <w:rsid w:val="007A03BF"/>
    <w:rsid w:val="007A083E"/>
    <w:rsid w:val="007A2928"/>
    <w:rsid w:val="007A519E"/>
    <w:rsid w:val="007A6CA5"/>
    <w:rsid w:val="007A7C70"/>
    <w:rsid w:val="007B354C"/>
    <w:rsid w:val="007B5D41"/>
    <w:rsid w:val="007C007D"/>
    <w:rsid w:val="007C224D"/>
    <w:rsid w:val="007C2325"/>
    <w:rsid w:val="007C4722"/>
    <w:rsid w:val="007C6899"/>
    <w:rsid w:val="007C6FEA"/>
    <w:rsid w:val="007D0108"/>
    <w:rsid w:val="007D018C"/>
    <w:rsid w:val="007D2385"/>
    <w:rsid w:val="007D49ED"/>
    <w:rsid w:val="007D4C96"/>
    <w:rsid w:val="007D5E12"/>
    <w:rsid w:val="007D5EDF"/>
    <w:rsid w:val="007D6CBD"/>
    <w:rsid w:val="007D7BCF"/>
    <w:rsid w:val="007E065D"/>
    <w:rsid w:val="007E09E4"/>
    <w:rsid w:val="007E1D2E"/>
    <w:rsid w:val="007E508E"/>
    <w:rsid w:val="007E783B"/>
    <w:rsid w:val="007F09C7"/>
    <w:rsid w:val="007F11CA"/>
    <w:rsid w:val="007F26C9"/>
    <w:rsid w:val="007F42B5"/>
    <w:rsid w:val="007F4E8F"/>
    <w:rsid w:val="007F5A81"/>
    <w:rsid w:val="007F6D47"/>
    <w:rsid w:val="00800D1B"/>
    <w:rsid w:val="008029D5"/>
    <w:rsid w:val="008030C0"/>
    <w:rsid w:val="0080318E"/>
    <w:rsid w:val="00803EB2"/>
    <w:rsid w:val="008057B0"/>
    <w:rsid w:val="00806AD8"/>
    <w:rsid w:val="0080724C"/>
    <w:rsid w:val="00810588"/>
    <w:rsid w:val="00810C54"/>
    <w:rsid w:val="00813833"/>
    <w:rsid w:val="00814ADC"/>
    <w:rsid w:val="00816640"/>
    <w:rsid w:val="008166B5"/>
    <w:rsid w:val="0082095E"/>
    <w:rsid w:val="00820C3B"/>
    <w:rsid w:val="00821431"/>
    <w:rsid w:val="0082233C"/>
    <w:rsid w:val="00823E8B"/>
    <w:rsid w:val="008244B7"/>
    <w:rsid w:val="0082472D"/>
    <w:rsid w:val="00824F21"/>
    <w:rsid w:val="00832685"/>
    <w:rsid w:val="00836432"/>
    <w:rsid w:val="00837C5B"/>
    <w:rsid w:val="00837E34"/>
    <w:rsid w:val="00841245"/>
    <w:rsid w:val="008419DC"/>
    <w:rsid w:val="00845876"/>
    <w:rsid w:val="00846BE5"/>
    <w:rsid w:val="00847392"/>
    <w:rsid w:val="008475DC"/>
    <w:rsid w:val="00847FEE"/>
    <w:rsid w:val="00850722"/>
    <w:rsid w:val="0085199D"/>
    <w:rsid w:val="00851F25"/>
    <w:rsid w:val="00852DD5"/>
    <w:rsid w:val="008531CC"/>
    <w:rsid w:val="0085463C"/>
    <w:rsid w:val="00855A28"/>
    <w:rsid w:val="00857CAA"/>
    <w:rsid w:val="008609D2"/>
    <w:rsid w:val="00860ABB"/>
    <w:rsid w:val="0086111C"/>
    <w:rsid w:val="0086442D"/>
    <w:rsid w:val="0086695D"/>
    <w:rsid w:val="00867B91"/>
    <w:rsid w:val="0087045C"/>
    <w:rsid w:val="00870A9A"/>
    <w:rsid w:val="0087185D"/>
    <w:rsid w:val="00875076"/>
    <w:rsid w:val="00875624"/>
    <w:rsid w:val="00876889"/>
    <w:rsid w:val="0087701D"/>
    <w:rsid w:val="0087728A"/>
    <w:rsid w:val="00877E0B"/>
    <w:rsid w:val="00880469"/>
    <w:rsid w:val="008813CE"/>
    <w:rsid w:val="00881883"/>
    <w:rsid w:val="00884977"/>
    <w:rsid w:val="00885D05"/>
    <w:rsid w:val="008860CD"/>
    <w:rsid w:val="0088671C"/>
    <w:rsid w:val="00891C15"/>
    <w:rsid w:val="00892181"/>
    <w:rsid w:val="00893474"/>
    <w:rsid w:val="0089392E"/>
    <w:rsid w:val="00895C13"/>
    <w:rsid w:val="008A34E6"/>
    <w:rsid w:val="008A4A56"/>
    <w:rsid w:val="008A4D0E"/>
    <w:rsid w:val="008A5E8B"/>
    <w:rsid w:val="008A6936"/>
    <w:rsid w:val="008A7564"/>
    <w:rsid w:val="008B0C29"/>
    <w:rsid w:val="008B193B"/>
    <w:rsid w:val="008B1D6C"/>
    <w:rsid w:val="008B2B19"/>
    <w:rsid w:val="008B2CB1"/>
    <w:rsid w:val="008B4B2F"/>
    <w:rsid w:val="008B543F"/>
    <w:rsid w:val="008C02F4"/>
    <w:rsid w:val="008C098C"/>
    <w:rsid w:val="008C103F"/>
    <w:rsid w:val="008C28DF"/>
    <w:rsid w:val="008C3446"/>
    <w:rsid w:val="008C5908"/>
    <w:rsid w:val="008C6112"/>
    <w:rsid w:val="008C61DE"/>
    <w:rsid w:val="008C6297"/>
    <w:rsid w:val="008C66AE"/>
    <w:rsid w:val="008C6977"/>
    <w:rsid w:val="008C6FEB"/>
    <w:rsid w:val="008D08F6"/>
    <w:rsid w:val="008D189A"/>
    <w:rsid w:val="008D1EBB"/>
    <w:rsid w:val="008D409C"/>
    <w:rsid w:val="008E0050"/>
    <w:rsid w:val="008E22BF"/>
    <w:rsid w:val="008E23A6"/>
    <w:rsid w:val="008E265D"/>
    <w:rsid w:val="008E272D"/>
    <w:rsid w:val="008E301B"/>
    <w:rsid w:val="008E4048"/>
    <w:rsid w:val="008E5B63"/>
    <w:rsid w:val="008F12B1"/>
    <w:rsid w:val="008F3C13"/>
    <w:rsid w:val="008F411D"/>
    <w:rsid w:val="008F65FF"/>
    <w:rsid w:val="008F6775"/>
    <w:rsid w:val="009003E1"/>
    <w:rsid w:val="00900A80"/>
    <w:rsid w:val="00902A1E"/>
    <w:rsid w:val="00903270"/>
    <w:rsid w:val="00903B6A"/>
    <w:rsid w:val="00905C43"/>
    <w:rsid w:val="00906250"/>
    <w:rsid w:val="00906DBF"/>
    <w:rsid w:val="00912987"/>
    <w:rsid w:val="00912AA4"/>
    <w:rsid w:val="00913CCA"/>
    <w:rsid w:val="00914917"/>
    <w:rsid w:val="00914C4F"/>
    <w:rsid w:val="00922895"/>
    <w:rsid w:val="00923BED"/>
    <w:rsid w:val="00925E3D"/>
    <w:rsid w:val="00927290"/>
    <w:rsid w:val="009328F6"/>
    <w:rsid w:val="00932C58"/>
    <w:rsid w:val="00933037"/>
    <w:rsid w:val="00933890"/>
    <w:rsid w:val="0093438C"/>
    <w:rsid w:val="009348C2"/>
    <w:rsid w:val="009355C2"/>
    <w:rsid w:val="00937690"/>
    <w:rsid w:val="009402ED"/>
    <w:rsid w:val="00941B78"/>
    <w:rsid w:val="009420AF"/>
    <w:rsid w:val="0094370A"/>
    <w:rsid w:val="00943B82"/>
    <w:rsid w:val="0094598F"/>
    <w:rsid w:val="0094624F"/>
    <w:rsid w:val="009504F6"/>
    <w:rsid w:val="00952067"/>
    <w:rsid w:val="00952634"/>
    <w:rsid w:val="00952F8D"/>
    <w:rsid w:val="009541FF"/>
    <w:rsid w:val="009546DB"/>
    <w:rsid w:val="00955777"/>
    <w:rsid w:val="00956537"/>
    <w:rsid w:val="00956A92"/>
    <w:rsid w:val="00956F89"/>
    <w:rsid w:val="00961111"/>
    <w:rsid w:val="009653A5"/>
    <w:rsid w:val="00965CFD"/>
    <w:rsid w:val="00965EE3"/>
    <w:rsid w:val="00966132"/>
    <w:rsid w:val="00970CA1"/>
    <w:rsid w:val="00971017"/>
    <w:rsid w:val="00971A15"/>
    <w:rsid w:val="00972A4B"/>
    <w:rsid w:val="00974D51"/>
    <w:rsid w:val="00976149"/>
    <w:rsid w:val="00976226"/>
    <w:rsid w:val="00980247"/>
    <w:rsid w:val="00981237"/>
    <w:rsid w:val="00986D1E"/>
    <w:rsid w:val="00990E95"/>
    <w:rsid w:val="00992D72"/>
    <w:rsid w:val="00994B66"/>
    <w:rsid w:val="00997599"/>
    <w:rsid w:val="00997B9F"/>
    <w:rsid w:val="00997DD9"/>
    <w:rsid w:val="009A20F1"/>
    <w:rsid w:val="009A29A6"/>
    <w:rsid w:val="009A2DBB"/>
    <w:rsid w:val="009A33F2"/>
    <w:rsid w:val="009A6A38"/>
    <w:rsid w:val="009B1E79"/>
    <w:rsid w:val="009B239A"/>
    <w:rsid w:val="009B2425"/>
    <w:rsid w:val="009B50A8"/>
    <w:rsid w:val="009B5122"/>
    <w:rsid w:val="009B5147"/>
    <w:rsid w:val="009B63C3"/>
    <w:rsid w:val="009B776B"/>
    <w:rsid w:val="009B7847"/>
    <w:rsid w:val="009C1593"/>
    <w:rsid w:val="009C1BCE"/>
    <w:rsid w:val="009C4442"/>
    <w:rsid w:val="009C61FA"/>
    <w:rsid w:val="009C68F6"/>
    <w:rsid w:val="009C754A"/>
    <w:rsid w:val="009D08E4"/>
    <w:rsid w:val="009D091F"/>
    <w:rsid w:val="009D0A20"/>
    <w:rsid w:val="009D0C8F"/>
    <w:rsid w:val="009D0E44"/>
    <w:rsid w:val="009D1606"/>
    <w:rsid w:val="009D20B5"/>
    <w:rsid w:val="009D392F"/>
    <w:rsid w:val="009D4937"/>
    <w:rsid w:val="009D5080"/>
    <w:rsid w:val="009D5096"/>
    <w:rsid w:val="009D55D5"/>
    <w:rsid w:val="009D650D"/>
    <w:rsid w:val="009D7358"/>
    <w:rsid w:val="009E0A3E"/>
    <w:rsid w:val="009E173C"/>
    <w:rsid w:val="009E21EF"/>
    <w:rsid w:val="009E235E"/>
    <w:rsid w:val="009E46C1"/>
    <w:rsid w:val="009E586F"/>
    <w:rsid w:val="009E5A45"/>
    <w:rsid w:val="009E7F15"/>
    <w:rsid w:val="009F19B7"/>
    <w:rsid w:val="009F2FF0"/>
    <w:rsid w:val="009F3829"/>
    <w:rsid w:val="009F42A0"/>
    <w:rsid w:val="009F57E7"/>
    <w:rsid w:val="009F5D12"/>
    <w:rsid w:val="00A001E6"/>
    <w:rsid w:val="00A001F2"/>
    <w:rsid w:val="00A0165E"/>
    <w:rsid w:val="00A02141"/>
    <w:rsid w:val="00A0767D"/>
    <w:rsid w:val="00A115BA"/>
    <w:rsid w:val="00A13409"/>
    <w:rsid w:val="00A14205"/>
    <w:rsid w:val="00A16223"/>
    <w:rsid w:val="00A164E1"/>
    <w:rsid w:val="00A22EE1"/>
    <w:rsid w:val="00A23055"/>
    <w:rsid w:val="00A24AE0"/>
    <w:rsid w:val="00A24C70"/>
    <w:rsid w:val="00A2501B"/>
    <w:rsid w:val="00A25F48"/>
    <w:rsid w:val="00A26646"/>
    <w:rsid w:val="00A30928"/>
    <w:rsid w:val="00A31778"/>
    <w:rsid w:val="00A34AFE"/>
    <w:rsid w:val="00A35AB7"/>
    <w:rsid w:val="00A400F2"/>
    <w:rsid w:val="00A4126F"/>
    <w:rsid w:val="00A41BAD"/>
    <w:rsid w:val="00A41F2B"/>
    <w:rsid w:val="00A435F0"/>
    <w:rsid w:val="00A43911"/>
    <w:rsid w:val="00A448E7"/>
    <w:rsid w:val="00A45F2D"/>
    <w:rsid w:val="00A50083"/>
    <w:rsid w:val="00A50BF2"/>
    <w:rsid w:val="00A51B86"/>
    <w:rsid w:val="00A51FA6"/>
    <w:rsid w:val="00A51FAA"/>
    <w:rsid w:val="00A53CB9"/>
    <w:rsid w:val="00A54711"/>
    <w:rsid w:val="00A55B13"/>
    <w:rsid w:val="00A56A86"/>
    <w:rsid w:val="00A57106"/>
    <w:rsid w:val="00A57358"/>
    <w:rsid w:val="00A57CD7"/>
    <w:rsid w:val="00A57DD5"/>
    <w:rsid w:val="00A61174"/>
    <w:rsid w:val="00A61FBC"/>
    <w:rsid w:val="00A62342"/>
    <w:rsid w:val="00A6237B"/>
    <w:rsid w:val="00A63CDC"/>
    <w:rsid w:val="00A66D3D"/>
    <w:rsid w:val="00A67885"/>
    <w:rsid w:val="00A7068C"/>
    <w:rsid w:val="00A738B6"/>
    <w:rsid w:val="00A7532A"/>
    <w:rsid w:val="00A760AA"/>
    <w:rsid w:val="00A76B80"/>
    <w:rsid w:val="00A80719"/>
    <w:rsid w:val="00A826A8"/>
    <w:rsid w:val="00A84D36"/>
    <w:rsid w:val="00A85334"/>
    <w:rsid w:val="00A93767"/>
    <w:rsid w:val="00A93F52"/>
    <w:rsid w:val="00A94575"/>
    <w:rsid w:val="00A954D3"/>
    <w:rsid w:val="00A96429"/>
    <w:rsid w:val="00A96DF3"/>
    <w:rsid w:val="00A97679"/>
    <w:rsid w:val="00AA053E"/>
    <w:rsid w:val="00AA1E7F"/>
    <w:rsid w:val="00AA2208"/>
    <w:rsid w:val="00AA28F3"/>
    <w:rsid w:val="00AA571A"/>
    <w:rsid w:val="00AA6494"/>
    <w:rsid w:val="00AB1922"/>
    <w:rsid w:val="00AB2CB2"/>
    <w:rsid w:val="00AB71AE"/>
    <w:rsid w:val="00AB71D0"/>
    <w:rsid w:val="00AB7C67"/>
    <w:rsid w:val="00AC0533"/>
    <w:rsid w:val="00AC15CF"/>
    <w:rsid w:val="00AC39D8"/>
    <w:rsid w:val="00AC42F9"/>
    <w:rsid w:val="00AC6475"/>
    <w:rsid w:val="00AD0CEA"/>
    <w:rsid w:val="00AD16F8"/>
    <w:rsid w:val="00AD18DB"/>
    <w:rsid w:val="00AD1D0F"/>
    <w:rsid w:val="00AD372B"/>
    <w:rsid w:val="00AD3E28"/>
    <w:rsid w:val="00AD3EE2"/>
    <w:rsid w:val="00AD6C7F"/>
    <w:rsid w:val="00AD7FCE"/>
    <w:rsid w:val="00AE068D"/>
    <w:rsid w:val="00AE3376"/>
    <w:rsid w:val="00AE4E81"/>
    <w:rsid w:val="00AE5771"/>
    <w:rsid w:val="00AE5D76"/>
    <w:rsid w:val="00AE698B"/>
    <w:rsid w:val="00AF01DE"/>
    <w:rsid w:val="00AF1709"/>
    <w:rsid w:val="00AF37CC"/>
    <w:rsid w:val="00AF4A2B"/>
    <w:rsid w:val="00AF7D4C"/>
    <w:rsid w:val="00B006FC"/>
    <w:rsid w:val="00B018EC"/>
    <w:rsid w:val="00B01D20"/>
    <w:rsid w:val="00B02351"/>
    <w:rsid w:val="00B026CA"/>
    <w:rsid w:val="00B03859"/>
    <w:rsid w:val="00B03C6B"/>
    <w:rsid w:val="00B04645"/>
    <w:rsid w:val="00B06935"/>
    <w:rsid w:val="00B0734B"/>
    <w:rsid w:val="00B102DC"/>
    <w:rsid w:val="00B10EA6"/>
    <w:rsid w:val="00B11519"/>
    <w:rsid w:val="00B1162B"/>
    <w:rsid w:val="00B1277F"/>
    <w:rsid w:val="00B14062"/>
    <w:rsid w:val="00B143FA"/>
    <w:rsid w:val="00B17276"/>
    <w:rsid w:val="00B214A9"/>
    <w:rsid w:val="00B216AC"/>
    <w:rsid w:val="00B23131"/>
    <w:rsid w:val="00B232C4"/>
    <w:rsid w:val="00B24205"/>
    <w:rsid w:val="00B24D7B"/>
    <w:rsid w:val="00B253E5"/>
    <w:rsid w:val="00B3061A"/>
    <w:rsid w:val="00B30CC0"/>
    <w:rsid w:val="00B31BD0"/>
    <w:rsid w:val="00B333FA"/>
    <w:rsid w:val="00B3344A"/>
    <w:rsid w:val="00B33A43"/>
    <w:rsid w:val="00B33FA5"/>
    <w:rsid w:val="00B36139"/>
    <w:rsid w:val="00B3764E"/>
    <w:rsid w:val="00B37E3D"/>
    <w:rsid w:val="00B40C13"/>
    <w:rsid w:val="00B4136C"/>
    <w:rsid w:val="00B42779"/>
    <w:rsid w:val="00B43975"/>
    <w:rsid w:val="00B44268"/>
    <w:rsid w:val="00B442B7"/>
    <w:rsid w:val="00B44970"/>
    <w:rsid w:val="00B4648B"/>
    <w:rsid w:val="00B51370"/>
    <w:rsid w:val="00B52BB7"/>
    <w:rsid w:val="00B533A9"/>
    <w:rsid w:val="00B54F2F"/>
    <w:rsid w:val="00B54F9B"/>
    <w:rsid w:val="00B57D40"/>
    <w:rsid w:val="00B57F78"/>
    <w:rsid w:val="00B60CA3"/>
    <w:rsid w:val="00B61037"/>
    <w:rsid w:val="00B62B0E"/>
    <w:rsid w:val="00B62BF9"/>
    <w:rsid w:val="00B64C57"/>
    <w:rsid w:val="00B65156"/>
    <w:rsid w:val="00B66359"/>
    <w:rsid w:val="00B6715D"/>
    <w:rsid w:val="00B674AC"/>
    <w:rsid w:val="00B67DA6"/>
    <w:rsid w:val="00B7792D"/>
    <w:rsid w:val="00B828F3"/>
    <w:rsid w:val="00B82BA1"/>
    <w:rsid w:val="00B86908"/>
    <w:rsid w:val="00B92C02"/>
    <w:rsid w:val="00B93041"/>
    <w:rsid w:val="00B95F63"/>
    <w:rsid w:val="00BA01EB"/>
    <w:rsid w:val="00BA0B30"/>
    <w:rsid w:val="00BA1BBA"/>
    <w:rsid w:val="00BA268A"/>
    <w:rsid w:val="00BA2719"/>
    <w:rsid w:val="00BA39BD"/>
    <w:rsid w:val="00BA520C"/>
    <w:rsid w:val="00BA59C2"/>
    <w:rsid w:val="00BA6036"/>
    <w:rsid w:val="00BA6CDE"/>
    <w:rsid w:val="00BB00F1"/>
    <w:rsid w:val="00BB11ED"/>
    <w:rsid w:val="00BB2F25"/>
    <w:rsid w:val="00BC12E5"/>
    <w:rsid w:val="00BC215C"/>
    <w:rsid w:val="00BC21BC"/>
    <w:rsid w:val="00BC2E4D"/>
    <w:rsid w:val="00BC4D3D"/>
    <w:rsid w:val="00BC5C50"/>
    <w:rsid w:val="00BC5F1B"/>
    <w:rsid w:val="00BD128D"/>
    <w:rsid w:val="00BD2210"/>
    <w:rsid w:val="00BD7578"/>
    <w:rsid w:val="00BE1719"/>
    <w:rsid w:val="00BE522E"/>
    <w:rsid w:val="00BE74DC"/>
    <w:rsid w:val="00BF08AA"/>
    <w:rsid w:val="00BF220F"/>
    <w:rsid w:val="00BF3350"/>
    <w:rsid w:val="00C00622"/>
    <w:rsid w:val="00C01F0A"/>
    <w:rsid w:val="00C03816"/>
    <w:rsid w:val="00C05C47"/>
    <w:rsid w:val="00C11427"/>
    <w:rsid w:val="00C12207"/>
    <w:rsid w:val="00C1745B"/>
    <w:rsid w:val="00C205A0"/>
    <w:rsid w:val="00C20B55"/>
    <w:rsid w:val="00C21373"/>
    <w:rsid w:val="00C236DC"/>
    <w:rsid w:val="00C2520E"/>
    <w:rsid w:val="00C266F3"/>
    <w:rsid w:val="00C277A2"/>
    <w:rsid w:val="00C27A54"/>
    <w:rsid w:val="00C300B1"/>
    <w:rsid w:val="00C31243"/>
    <w:rsid w:val="00C3144E"/>
    <w:rsid w:val="00C32AA2"/>
    <w:rsid w:val="00C3329A"/>
    <w:rsid w:val="00C33DC7"/>
    <w:rsid w:val="00C35B80"/>
    <w:rsid w:val="00C36103"/>
    <w:rsid w:val="00C41607"/>
    <w:rsid w:val="00C43523"/>
    <w:rsid w:val="00C436BC"/>
    <w:rsid w:val="00C449A7"/>
    <w:rsid w:val="00C4520E"/>
    <w:rsid w:val="00C46F4D"/>
    <w:rsid w:val="00C503A5"/>
    <w:rsid w:val="00C50640"/>
    <w:rsid w:val="00C50F4D"/>
    <w:rsid w:val="00C51B22"/>
    <w:rsid w:val="00C53A2D"/>
    <w:rsid w:val="00C53EEA"/>
    <w:rsid w:val="00C5591D"/>
    <w:rsid w:val="00C56236"/>
    <w:rsid w:val="00C57184"/>
    <w:rsid w:val="00C62A16"/>
    <w:rsid w:val="00C62BE1"/>
    <w:rsid w:val="00C64131"/>
    <w:rsid w:val="00C6502A"/>
    <w:rsid w:val="00C656F8"/>
    <w:rsid w:val="00C665C7"/>
    <w:rsid w:val="00C67FB1"/>
    <w:rsid w:val="00C7138C"/>
    <w:rsid w:val="00C730DA"/>
    <w:rsid w:val="00C777C5"/>
    <w:rsid w:val="00C77CBC"/>
    <w:rsid w:val="00C80CBE"/>
    <w:rsid w:val="00C80F4D"/>
    <w:rsid w:val="00C81961"/>
    <w:rsid w:val="00C8471B"/>
    <w:rsid w:val="00C8479F"/>
    <w:rsid w:val="00C865B5"/>
    <w:rsid w:val="00C873F7"/>
    <w:rsid w:val="00C87C52"/>
    <w:rsid w:val="00C9188A"/>
    <w:rsid w:val="00C94473"/>
    <w:rsid w:val="00C94C3D"/>
    <w:rsid w:val="00C959E1"/>
    <w:rsid w:val="00C96D81"/>
    <w:rsid w:val="00C9740E"/>
    <w:rsid w:val="00CA3BE1"/>
    <w:rsid w:val="00CA60CC"/>
    <w:rsid w:val="00CA7803"/>
    <w:rsid w:val="00CB0AB1"/>
    <w:rsid w:val="00CB1853"/>
    <w:rsid w:val="00CB1A26"/>
    <w:rsid w:val="00CB3A42"/>
    <w:rsid w:val="00CB4311"/>
    <w:rsid w:val="00CB7BA3"/>
    <w:rsid w:val="00CC31BE"/>
    <w:rsid w:val="00CC336F"/>
    <w:rsid w:val="00CC348D"/>
    <w:rsid w:val="00CC390F"/>
    <w:rsid w:val="00CC3BA7"/>
    <w:rsid w:val="00CC645D"/>
    <w:rsid w:val="00CC73A6"/>
    <w:rsid w:val="00CC7974"/>
    <w:rsid w:val="00CD34F4"/>
    <w:rsid w:val="00CD3ADA"/>
    <w:rsid w:val="00CD3B46"/>
    <w:rsid w:val="00CD4258"/>
    <w:rsid w:val="00CD51B6"/>
    <w:rsid w:val="00CD52C1"/>
    <w:rsid w:val="00CD709C"/>
    <w:rsid w:val="00CD7974"/>
    <w:rsid w:val="00CE51CC"/>
    <w:rsid w:val="00CE58BF"/>
    <w:rsid w:val="00CE621D"/>
    <w:rsid w:val="00CE7308"/>
    <w:rsid w:val="00CE7D90"/>
    <w:rsid w:val="00CF023C"/>
    <w:rsid w:val="00CF1607"/>
    <w:rsid w:val="00CF3008"/>
    <w:rsid w:val="00CF3246"/>
    <w:rsid w:val="00CF46B7"/>
    <w:rsid w:val="00CF47DE"/>
    <w:rsid w:val="00CF4D69"/>
    <w:rsid w:val="00CF51DF"/>
    <w:rsid w:val="00CF523A"/>
    <w:rsid w:val="00CF54E4"/>
    <w:rsid w:val="00CF56B2"/>
    <w:rsid w:val="00CF6A6F"/>
    <w:rsid w:val="00D00542"/>
    <w:rsid w:val="00D00C2F"/>
    <w:rsid w:val="00D00ED2"/>
    <w:rsid w:val="00D017F1"/>
    <w:rsid w:val="00D01E69"/>
    <w:rsid w:val="00D02165"/>
    <w:rsid w:val="00D0254E"/>
    <w:rsid w:val="00D050DC"/>
    <w:rsid w:val="00D0528D"/>
    <w:rsid w:val="00D06919"/>
    <w:rsid w:val="00D079DE"/>
    <w:rsid w:val="00D07BA5"/>
    <w:rsid w:val="00D10C2B"/>
    <w:rsid w:val="00D11549"/>
    <w:rsid w:val="00D11553"/>
    <w:rsid w:val="00D135AB"/>
    <w:rsid w:val="00D14351"/>
    <w:rsid w:val="00D14B3F"/>
    <w:rsid w:val="00D15122"/>
    <w:rsid w:val="00D15DC0"/>
    <w:rsid w:val="00D17193"/>
    <w:rsid w:val="00D2039E"/>
    <w:rsid w:val="00D20910"/>
    <w:rsid w:val="00D21029"/>
    <w:rsid w:val="00D24774"/>
    <w:rsid w:val="00D25831"/>
    <w:rsid w:val="00D2659C"/>
    <w:rsid w:val="00D26E2E"/>
    <w:rsid w:val="00D304CF"/>
    <w:rsid w:val="00D3138A"/>
    <w:rsid w:val="00D31FF5"/>
    <w:rsid w:val="00D327D8"/>
    <w:rsid w:val="00D33AE8"/>
    <w:rsid w:val="00D3451F"/>
    <w:rsid w:val="00D34A77"/>
    <w:rsid w:val="00D36B25"/>
    <w:rsid w:val="00D36C17"/>
    <w:rsid w:val="00D37375"/>
    <w:rsid w:val="00D37A4D"/>
    <w:rsid w:val="00D40217"/>
    <w:rsid w:val="00D41F50"/>
    <w:rsid w:val="00D436A8"/>
    <w:rsid w:val="00D45421"/>
    <w:rsid w:val="00D45A07"/>
    <w:rsid w:val="00D46720"/>
    <w:rsid w:val="00D47770"/>
    <w:rsid w:val="00D506DE"/>
    <w:rsid w:val="00D50B84"/>
    <w:rsid w:val="00D51BE7"/>
    <w:rsid w:val="00D53764"/>
    <w:rsid w:val="00D53873"/>
    <w:rsid w:val="00D568B5"/>
    <w:rsid w:val="00D57C64"/>
    <w:rsid w:val="00D61356"/>
    <w:rsid w:val="00D6173E"/>
    <w:rsid w:val="00D62264"/>
    <w:rsid w:val="00D63567"/>
    <w:rsid w:val="00D72715"/>
    <w:rsid w:val="00D731D7"/>
    <w:rsid w:val="00D73935"/>
    <w:rsid w:val="00D74F0E"/>
    <w:rsid w:val="00D759AA"/>
    <w:rsid w:val="00D766E5"/>
    <w:rsid w:val="00D802B9"/>
    <w:rsid w:val="00D80DCA"/>
    <w:rsid w:val="00D83298"/>
    <w:rsid w:val="00D83DE6"/>
    <w:rsid w:val="00D83EBC"/>
    <w:rsid w:val="00D8466F"/>
    <w:rsid w:val="00D85079"/>
    <w:rsid w:val="00D867D1"/>
    <w:rsid w:val="00D9068F"/>
    <w:rsid w:val="00D90BDB"/>
    <w:rsid w:val="00D91228"/>
    <w:rsid w:val="00D91B1D"/>
    <w:rsid w:val="00D91F5D"/>
    <w:rsid w:val="00D92B5D"/>
    <w:rsid w:val="00D93E4C"/>
    <w:rsid w:val="00D95246"/>
    <w:rsid w:val="00D959BA"/>
    <w:rsid w:val="00D96C39"/>
    <w:rsid w:val="00DA06DA"/>
    <w:rsid w:val="00DA1317"/>
    <w:rsid w:val="00DA27C8"/>
    <w:rsid w:val="00DA32A6"/>
    <w:rsid w:val="00DA47E7"/>
    <w:rsid w:val="00DA5075"/>
    <w:rsid w:val="00DA6588"/>
    <w:rsid w:val="00DA71AA"/>
    <w:rsid w:val="00DB0CDE"/>
    <w:rsid w:val="00DB116B"/>
    <w:rsid w:val="00DB2FF2"/>
    <w:rsid w:val="00DB3BA0"/>
    <w:rsid w:val="00DB3F07"/>
    <w:rsid w:val="00DB64C2"/>
    <w:rsid w:val="00DB6C82"/>
    <w:rsid w:val="00DB7007"/>
    <w:rsid w:val="00DB7680"/>
    <w:rsid w:val="00DB7A78"/>
    <w:rsid w:val="00DB7F60"/>
    <w:rsid w:val="00DC13C5"/>
    <w:rsid w:val="00DC1518"/>
    <w:rsid w:val="00DC3134"/>
    <w:rsid w:val="00DC6D87"/>
    <w:rsid w:val="00DC7E69"/>
    <w:rsid w:val="00DD4297"/>
    <w:rsid w:val="00DD467E"/>
    <w:rsid w:val="00DD511B"/>
    <w:rsid w:val="00DD5474"/>
    <w:rsid w:val="00DD5A0B"/>
    <w:rsid w:val="00DD5FCD"/>
    <w:rsid w:val="00DD727F"/>
    <w:rsid w:val="00DD7745"/>
    <w:rsid w:val="00DD78DA"/>
    <w:rsid w:val="00DE050F"/>
    <w:rsid w:val="00DE0DA1"/>
    <w:rsid w:val="00DE1310"/>
    <w:rsid w:val="00DE20B1"/>
    <w:rsid w:val="00DE3C58"/>
    <w:rsid w:val="00DE4E82"/>
    <w:rsid w:val="00DE6845"/>
    <w:rsid w:val="00DF0A2D"/>
    <w:rsid w:val="00DF0DD4"/>
    <w:rsid w:val="00DF28D8"/>
    <w:rsid w:val="00DF589E"/>
    <w:rsid w:val="00DF5FDC"/>
    <w:rsid w:val="00DF6193"/>
    <w:rsid w:val="00DF6C4C"/>
    <w:rsid w:val="00DF6D2F"/>
    <w:rsid w:val="00DF7856"/>
    <w:rsid w:val="00E01BF5"/>
    <w:rsid w:val="00E0292B"/>
    <w:rsid w:val="00E06AB3"/>
    <w:rsid w:val="00E077E0"/>
    <w:rsid w:val="00E078C0"/>
    <w:rsid w:val="00E07EC5"/>
    <w:rsid w:val="00E105ED"/>
    <w:rsid w:val="00E10904"/>
    <w:rsid w:val="00E11A99"/>
    <w:rsid w:val="00E14A59"/>
    <w:rsid w:val="00E16FD3"/>
    <w:rsid w:val="00E22716"/>
    <w:rsid w:val="00E2366A"/>
    <w:rsid w:val="00E2539F"/>
    <w:rsid w:val="00E309CA"/>
    <w:rsid w:val="00E316E3"/>
    <w:rsid w:val="00E32C75"/>
    <w:rsid w:val="00E332AF"/>
    <w:rsid w:val="00E3374F"/>
    <w:rsid w:val="00E34670"/>
    <w:rsid w:val="00E367CB"/>
    <w:rsid w:val="00E368B8"/>
    <w:rsid w:val="00E36EBE"/>
    <w:rsid w:val="00E3710B"/>
    <w:rsid w:val="00E40DEB"/>
    <w:rsid w:val="00E41DA4"/>
    <w:rsid w:val="00E42631"/>
    <w:rsid w:val="00E4391B"/>
    <w:rsid w:val="00E43E2C"/>
    <w:rsid w:val="00E4442C"/>
    <w:rsid w:val="00E46A31"/>
    <w:rsid w:val="00E46C08"/>
    <w:rsid w:val="00E47180"/>
    <w:rsid w:val="00E47885"/>
    <w:rsid w:val="00E478A6"/>
    <w:rsid w:val="00E50D03"/>
    <w:rsid w:val="00E51071"/>
    <w:rsid w:val="00E52FAE"/>
    <w:rsid w:val="00E55448"/>
    <w:rsid w:val="00E555F7"/>
    <w:rsid w:val="00E557A5"/>
    <w:rsid w:val="00E605FD"/>
    <w:rsid w:val="00E6262E"/>
    <w:rsid w:val="00E63BF3"/>
    <w:rsid w:val="00E702E8"/>
    <w:rsid w:val="00E70340"/>
    <w:rsid w:val="00E70452"/>
    <w:rsid w:val="00E70BB7"/>
    <w:rsid w:val="00E76FCF"/>
    <w:rsid w:val="00E7777D"/>
    <w:rsid w:val="00E77F5E"/>
    <w:rsid w:val="00E80F35"/>
    <w:rsid w:val="00E8107B"/>
    <w:rsid w:val="00E81942"/>
    <w:rsid w:val="00E83BEC"/>
    <w:rsid w:val="00E8498D"/>
    <w:rsid w:val="00E85A80"/>
    <w:rsid w:val="00E86C20"/>
    <w:rsid w:val="00E91FFB"/>
    <w:rsid w:val="00E92CDB"/>
    <w:rsid w:val="00E95E00"/>
    <w:rsid w:val="00EA0610"/>
    <w:rsid w:val="00EA1D18"/>
    <w:rsid w:val="00EA2713"/>
    <w:rsid w:val="00EA2FC7"/>
    <w:rsid w:val="00EA3490"/>
    <w:rsid w:val="00EA53C5"/>
    <w:rsid w:val="00EA5468"/>
    <w:rsid w:val="00EA67C1"/>
    <w:rsid w:val="00EB08C3"/>
    <w:rsid w:val="00EB0A7E"/>
    <w:rsid w:val="00EB28E7"/>
    <w:rsid w:val="00EB2CC2"/>
    <w:rsid w:val="00EB498D"/>
    <w:rsid w:val="00EB5447"/>
    <w:rsid w:val="00EB7754"/>
    <w:rsid w:val="00EC08E6"/>
    <w:rsid w:val="00EC1899"/>
    <w:rsid w:val="00EC25C5"/>
    <w:rsid w:val="00EC3ACD"/>
    <w:rsid w:val="00EC57B1"/>
    <w:rsid w:val="00EC7FC9"/>
    <w:rsid w:val="00ED171C"/>
    <w:rsid w:val="00ED17C2"/>
    <w:rsid w:val="00ED20DA"/>
    <w:rsid w:val="00ED482B"/>
    <w:rsid w:val="00ED6518"/>
    <w:rsid w:val="00EE16E5"/>
    <w:rsid w:val="00EE19B9"/>
    <w:rsid w:val="00EE2079"/>
    <w:rsid w:val="00EE375C"/>
    <w:rsid w:val="00EE4480"/>
    <w:rsid w:val="00EE4F15"/>
    <w:rsid w:val="00EE5E8C"/>
    <w:rsid w:val="00EF58CC"/>
    <w:rsid w:val="00EF5D6A"/>
    <w:rsid w:val="00EF77ED"/>
    <w:rsid w:val="00F00402"/>
    <w:rsid w:val="00F0051A"/>
    <w:rsid w:val="00F0079E"/>
    <w:rsid w:val="00F01128"/>
    <w:rsid w:val="00F03D5C"/>
    <w:rsid w:val="00F048BC"/>
    <w:rsid w:val="00F050D3"/>
    <w:rsid w:val="00F06B9E"/>
    <w:rsid w:val="00F07F60"/>
    <w:rsid w:val="00F10199"/>
    <w:rsid w:val="00F10A6C"/>
    <w:rsid w:val="00F11617"/>
    <w:rsid w:val="00F1224D"/>
    <w:rsid w:val="00F12F25"/>
    <w:rsid w:val="00F14B77"/>
    <w:rsid w:val="00F15D2B"/>
    <w:rsid w:val="00F15EAA"/>
    <w:rsid w:val="00F1638A"/>
    <w:rsid w:val="00F16CBD"/>
    <w:rsid w:val="00F1765D"/>
    <w:rsid w:val="00F176EA"/>
    <w:rsid w:val="00F178F8"/>
    <w:rsid w:val="00F17FC4"/>
    <w:rsid w:val="00F20419"/>
    <w:rsid w:val="00F22D08"/>
    <w:rsid w:val="00F238F1"/>
    <w:rsid w:val="00F24E76"/>
    <w:rsid w:val="00F24EE5"/>
    <w:rsid w:val="00F24F0B"/>
    <w:rsid w:val="00F27F38"/>
    <w:rsid w:val="00F30CDA"/>
    <w:rsid w:val="00F31CFE"/>
    <w:rsid w:val="00F32522"/>
    <w:rsid w:val="00F35EFB"/>
    <w:rsid w:val="00F425F6"/>
    <w:rsid w:val="00F42707"/>
    <w:rsid w:val="00F43740"/>
    <w:rsid w:val="00F43AF9"/>
    <w:rsid w:val="00F44123"/>
    <w:rsid w:val="00F473C7"/>
    <w:rsid w:val="00F51052"/>
    <w:rsid w:val="00F52E49"/>
    <w:rsid w:val="00F55099"/>
    <w:rsid w:val="00F555FB"/>
    <w:rsid w:val="00F57F3F"/>
    <w:rsid w:val="00F60079"/>
    <w:rsid w:val="00F61EBB"/>
    <w:rsid w:val="00F62129"/>
    <w:rsid w:val="00F62F5C"/>
    <w:rsid w:val="00F6339A"/>
    <w:rsid w:val="00F6347C"/>
    <w:rsid w:val="00F6534B"/>
    <w:rsid w:val="00F65DFF"/>
    <w:rsid w:val="00F660A2"/>
    <w:rsid w:val="00F66772"/>
    <w:rsid w:val="00F66A82"/>
    <w:rsid w:val="00F66B55"/>
    <w:rsid w:val="00F679A0"/>
    <w:rsid w:val="00F67B59"/>
    <w:rsid w:val="00F71C98"/>
    <w:rsid w:val="00F7251D"/>
    <w:rsid w:val="00F74DB2"/>
    <w:rsid w:val="00F76789"/>
    <w:rsid w:val="00F76970"/>
    <w:rsid w:val="00F8160F"/>
    <w:rsid w:val="00F8211D"/>
    <w:rsid w:val="00F83B80"/>
    <w:rsid w:val="00F844F8"/>
    <w:rsid w:val="00F86C14"/>
    <w:rsid w:val="00F9001F"/>
    <w:rsid w:val="00F91C0B"/>
    <w:rsid w:val="00F92659"/>
    <w:rsid w:val="00F92EFF"/>
    <w:rsid w:val="00F9316B"/>
    <w:rsid w:val="00F95A56"/>
    <w:rsid w:val="00F95EBB"/>
    <w:rsid w:val="00F95EF5"/>
    <w:rsid w:val="00FA0C22"/>
    <w:rsid w:val="00FA0EF3"/>
    <w:rsid w:val="00FA1BCD"/>
    <w:rsid w:val="00FA1E02"/>
    <w:rsid w:val="00FA2ACF"/>
    <w:rsid w:val="00FA2E13"/>
    <w:rsid w:val="00FA3030"/>
    <w:rsid w:val="00FA46CD"/>
    <w:rsid w:val="00FA5066"/>
    <w:rsid w:val="00FA7045"/>
    <w:rsid w:val="00FA70B1"/>
    <w:rsid w:val="00FA75E7"/>
    <w:rsid w:val="00FA7ACE"/>
    <w:rsid w:val="00FB0D4C"/>
    <w:rsid w:val="00FB16E7"/>
    <w:rsid w:val="00FB1B99"/>
    <w:rsid w:val="00FB20A4"/>
    <w:rsid w:val="00FB2F3D"/>
    <w:rsid w:val="00FB4857"/>
    <w:rsid w:val="00FB6AFD"/>
    <w:rsid w:val="00FC0E9A"/>
    <w:rsid w:val="00FC1903"/>
    <w:rsid w:val="00FC2970"/>
    <w:rsid w:val="00FC29B5"/>
    <w:rsid w:val="00FC3A4A"/>
    <w:rsid w:val="00FC3B15"/>
    <w:rsid w:val="00FD1E6A"/>
    <w:rsid w:val="00FD53D3"/>
    <w:rsid w:val="00FD59EF"/>
    <w:rsid w:val="00FD7054"/>
    <w:rsid w:val="00FE50BA"/>
    <w:rsid w:val="00FE5600"/>
    <w:rsid w:val="00FE7DEF"/>
    <w:rsid w:val="00FF1175"/>
    <w:rsid w:val="00FF1373"/>
    <w:rsid w:val="00FF25D0"/>
    <w:rsid w:val="00FF272A"/>
    <w:rsid w:val="00FF2BF6"/>
    <w:rsid w:val="00FF5929"/>
    <w:rsid w:val="00FF63D5"/>
    <w:rsid w:val="01520363"/>
    <w:rsid w:val="022A49B8"/>
    <w:rsid w:val="02C44BAF"/>
    <w:rsid w:val="02EF1E8A"/>
    <w:rsid w:val="03366ABB"/>
    <w:rsid w:val="03436480"/>
    <w:rsid w:val="04B54A0D"/>
    <w:rsid w:val="050D24F1"/>
    <w:rsid w:val="0525662F"/>
    <w:rsid w:val="055661F0"/>
    <w:rsid w:val="05A625A8"/>
    <w:rsid w:val="060911C6"/>
    <w:rsid w:val="06CE625A"/>
    <w:rsid w:val="071C0D73"/>
    <w:rsid w:val="07280C98"/>
    <w:rsid w:val="084D1825"/>
    <w:rsid w:val="08D35DAA"/>
    <w:rsid w:val="0A402FCB"/>
    <w:rsid w:val="0C28640C"/>
    <w:rsid w:val="0D1F524B"/>
    <w:rsid w:val="0FBFBF08"/>
    <w:rsid w:val="10327139"/>
    <w:rsid w:val="104906FF"/>
    <w:rsid w:val="11901201"/>
    <w:rsid w:val="12006E38"/>
    <w:rsid w:val="12C81DAF"/>
    <w:rsid w:val="13852F71"/>
    <w:rsid w:val="138E2BE2"/>
    <w:rsid w:val="140E4E68"/>
    <w:rsid w:val="14BFC908"/>
    <w:rsid w:val="165027E8"/>
    <w:rsid w:val="17485BB5"/>
    <w:rsid w:val="19E5402E"/>
    <w:rsid w:val="1AD35795"/>
    <w:rsid w:val="1B32775E"/>
    <w:rsid w:val="1BEEC4DB"/>
    <w:rsid w:val="1D2D6126"/>
    <w:rsid w:val="1ECA6FFC"/>
    <w:rsid w:val="1EEF8A5E"/>
    <w:rsid w:val="1F521020"/>
    <w:rsid w:val="1FD7F44E"/>
    <w:rsid w:val="1FE95D12"/>
    <w:rsid w:val="20561BB5"/>
    <w:rsid w:val="20626BAD"/>
    <w:rsid w:val="216929AF"/>
    <w:rsid w:val="229D21D1"/>
    <w:rsid w:val="230705BE"/>
    <w:rsid w:val="256A4E4D"/>
    <w:rsid w:val="257D3D3B"/>
    <w:rsid w:val="259FF213"/>
    <w:rsid w:val="25A441E6"/>
    <w:rsid w:val="26DA0F8B"/>
    <w:rsid w:val="26FB70B7"/>
    <w:rsid w:val="28520641"/>
    <w:rsid w:val="29755D95"/>
    <w:rsid w:val="2B8925CC"/>
    <w:rsid w:val="2BA56CDA"/>
    <w:rsid w:val="2BDF024C"/>
    <w:rsid w:val="2CF366E0"/>
    <w:rsid w:val="2D281971"/>
    <w:rsid w:val="2E19750B"/>
    <w:rsid w:val="2ED8407A"/>
    <w:rsid w:val="2F4DCE9D"/>
    <w:rsid w:val="2F7F4747"/>
    <w:rsid w:val="2FFF1467"/>
    <w:rsid w:val="2FFFDE81"/>
    <w:rsid w:val="32E60A1F"/>
    <w:rsid w:val="36FB266A"/>
    <w:rsid w:val="373B04F2"/>
    <w:rsid w:val="37671B3D"/>
    <w:rsid w:val="38675A43"/>
    <w:rsid w:val="393E55A6"/>
    <w:rsid w:val="39965EB4"/>
    <w:rsid w:val="39CD7B28"/>
    <w:rsid w:val="39E66E3B"/>
    <w:rsid w:val="3A414072"/>
    <w:rsid w:val="3A75E30D"/>
    <w:rsid w:val="3B3F5BFA"/>
    <w:rsid w:val="3B5D6616"/>
    <w:rsid w:val="3B90705F"/>
    <w:rsid w:val="3BB56AC5"/>
    <w:rsid w:val="3BDD2789"/>
    <w:rsid w:val="3BFDB5B0"/>
    <w:rsid w:val="3CAECD3E"/>
    <w:rsid w:val="3CC05DFB"/>
    <w:rsid w:val="3CC130FB"/>
    <w:rsid w:val="3CFFDC9A"/>
    <w:rsid w:val="3D433A82"/>
    <w:rsid w:val="3DFFEA66"/>
    <w:rsid w:val="3E5BFCE7"/>
    <w:rsid w:val="3EAE08CF"/>
    <w:rsid w:val="3EB17BB1"/>
    <w:rsid w:val="3ECBDB4B"/>
    <w:rsid w:val="3F0B730C"/>
    <w:rsid w:val="3F3FE49B"/>
    <w:rsid w:val="3F7B3204"/>
    <w:rsid w:val="3FEF2B63"/>
    <w:rsid w:val="3FF1653A"/>
    <w:rsid w:val="3FF5F299"/>
    <w:rsid w:val="42726354"/>
    <w:rsid w:val="42F07F88"/>
    <w:rsid w:val="43100A68"/>
    <w:rsid w:val="438751EB"/>
    <w:rsid w:val="45FB3C6E"/>
    <w:rsid w:val="46D149CF"/>
    <w:rsid w:val="4777B363"/>
    <w:rsid w:val="47EB2B8B"/>
    <w:rsid w:val="48F43B85"/>
    <w:rsid w:val="49956188"/>
    <w:rsid w:val="4B5856BF"/>
    <w:rsid w:val="4DE80F7C"/>
    <w:rsid w:val="4DFA9A0B"/>
    <w:rsid w:val="4EE80B08"/>
    <w:rsid w:val="4F440EC0"/>
    <w:rsid w:val="4F66BBE5"/>
    <w:rsid w:val="4F980CB9"/>
    <w:rsid w:val="522D1654"/>
    <w:rsid w:val="52DC2732"/>
    <w:rsid w:val="54866DF9"/>
    <w:rsid w:val="55683C90"/>
    <w:rsid w:val="560C77D2"/>
    <w:rsid w:val="56793117"/>
    <w:rsid w:val="56907AD8"/>
    <w:rsid w:val="579F4918"/>
    <w:rsid w:val="57CA92FF"/>
    <w:rsid w:val="57F624E8"/>
    <w:rsid w:val="59396B30"/>
    <w:rsid w:val="597FE23E"/>
    <w:rsid w:val="5A105AE3"/>
    <w:rsid w:val="5AD25B2D"/>
    <w:rsid w:val="5AFF5D00"/>
    <w:rsid w:val="5BFFB2A9"/>
    <w:rsid w:val="5C1271C4"/>
    <w:rsid w:val="5DBF98B0"/>
    <w:rsid w:val="5DEFC65C"/>
    <w:rsid w:val="5DFD263F"/>
    <w:rsid w:val="5E655CD1"/>
    <w:rsid w:val="5E7FF34C"/>
    <w:rsid w:val="5E8FBD2C"/>
    <w:rsid w:val="5E9345EC"/>
    <w:rsid w:val="5ED3CBC8"/>
    <w:rsid w:val="5F1A4D0E"/>
    <w:rsid w:val="5F260774"/>
    <w:rsid w:val="5F570740"/>
    <w:rsid w:val="5F6D067F"/>
    <w:rsid w:val="5F717BBB"/>
    <w:rsid w:val="5F7E0BEC"/>
    <w:rsid w:val="5F8372E8"/>
    <w:rsid w:val="5FA02DB5"/>
    <w:rsid w:val="5FBF4F2C"/>
    <w:rsid w:val="5FFF43FE"/>
    <w:rsid w:val="5FFFC74F"/>
    <w:rsid w:val="60455DBA"/>
    <w:rsid w:val="617D396E"/>
    <w:rsid w:val="61B962B6"/>
    <w:rsid w:val="62F35CA0"/>
    <w:rsid w:val="65D60872"/>
    <w:rsid w:val="65E6501A"/>
    <w:rsid w:val="663F14FE"/>
    <w:rsid w:val="66742F55"/>
    <w:rsid w:val="66A24A95"/>
    <w:rsid w:val="66FE9028"/>
    <w:rsid w:val="672901E4"/>
    <w:rsid w:val="676F2E36"/>
    <w:rsid w:val="67E0517D"/>
    <w:rsid w:val="69385A69"/>
    <w:rsid w:val="69977CA6"/>
    <w:rsid w:val="6AC0514F"/>
    <w:rsid w:val="6B3ED7EF"/>
    <w:rsid w:val="6B5E2426"/>
    <w:rsid w:val="6BAF49D7"/>
    <w:rsid w:val="6BDAAE92"/>
    <w:rsid w:val="6BDB0007"/>
    <w:rsid w:val="6D3EF44F"/>
    <w:rsid w:val="6D57537F"/>
    <w:rsid w:val="6EEC7C05"/>
    <w:rsid w:val="6EF7FB43"/>
    <w:rsid w:val="6F0E72E3"/>
    <w:rsid w:val="6F3F0FC3"/>
    <w:rsid w:val="6F3FD601"/>
    <w:rsid w:val="6F595111"/>
    <w:rsid w:val="6F7B5D25"/>
    <w:rsid w:val="6F7E6FE4"/>
    <w:rsid w:val="6F8E7DFB"/>
    <w:rsid w:val="6F9D176F"/>
    <w:rsid w:val="6F9E6F7F"/>
    <w:rsid w:val="6FD5E464"/>
    <w:rsid w:val="6FDC4AB2"/>
    <w:rsid w:val="714654A2"/>
    <w:rsid w:val="717BF8EC"/>
    <w:rsid w:val="725620A9"/>
    <w:rsid w:val="725957A4"/>
    <w:rsid w:val="727D7636"/>
    <w:rsid w:val="72DF9CBC"/>
    <w:rsid w:val="72EF642E"/>
    <w:rsid w:val="735FD80B"/>
    <w:rsid w:val="73631280"/>
    <w:rsid w:val="73D2043A"/>
    <w:rsid w:val="74081181"/>
    <w:rsid w:val="746E6CBC"/>
    <w:rsid w:val="74B9A86A"/>
    <w:rsid w:val="756D573F"/>
    <w:rsid w:val="75B23A9A"/>
    <w:rsid w:val="75FB294F"/>
    <w:rsid w:val="773E2E29"/>
    <w:rsid w:val="777D0B3C"/>
    <w:rsid w:val="77D3165B"/>
    <w:rsid w:val="77DF3EE4"/>
    <w:rsid w:val="77EF68A8"/>
    <w:rsid w:val="77F5F9F5"/>
    <w:rsid w:val="781047FF"/>
    <w:rsid w:val="78EE8AE9"/>
    <w:rsid w:val="78FED345"/>
    <w:rsid w:val="79AA1EC1"/>
    <w:rsid w:val="79DB3337"/>
    <w:rsid w:val="79EB2676"/>
    <w:rsid w:val="79EF7B77"/>
    <w:rsid w:val="7A7C01D3"/>
    <w:rsid w:val="7A9B3044"/>
    <w:rsid w:val="7AB81FDE"/>
    <w:rsid w:val="7B35CFCF"/>
    <w:rsid w:val="7B7798A8"/>
    <w:rsid w:val="7B87ADFD"/>
    <w:rsid w:val="7B9F513B"/>
    <w:rsid w:val="7BBD4197"/>
    <w:rsid w:val="7BBFE17D"/>
    <w:rsid w:val="7BDD8BB7"/>
    <w:rsid w:val="7BFB1DD4"/>
    <w:rsid w:val="7BFB8619"/>
    <w:rsid w:val="7BFD65C2"/>
    <w:rsid w:val="7BFF2C1A"/>
    <w:rsid w:val="7BFF5630"/>
    <w:rsid w:val="7CDE7AAD"/>
    <w:rsid w:val="7CEA3B1A"/>
    <w:rsid w:val="7CFBCD28"/>
    <w:rsid w:val="7CFF4866"/>
    <w:rsid w:val="7DAC5273"/>
    <w:rsid w:val="7DF70403"/>
    <w:rsid w:val="7DFD1DEE"/>
    <w:rsid w:val="7DFD5E0E"/>
    <w:rsid w:val="7DFEEA8C"/>
    <w:rsid w:val="7DFFA554"/>
    <w:rsid w:val="7E5D8A7E"/>
    <w:rsid w:val="7E7E47F9"/>
    <w:rsid w:val="7EDD3931"/>
    <w:rsid w:val="7F1BE155"/>
    <w:rsid w:val="7F390D88"/>
    <w:rsid w:val="7F3F0D10"/>
    <w:rsid w:val="7F3F73B1"/>
    <w:rsid w:val="7F5BBB08"/>
    <w:rsid w:val="7F5C5896"/>
    <w:rsid w:val="7F5E7AA8"/>
    <w:rsid w:val="7F5F614A"/>
    <w:rsid w:val="7F6D9F13"/>
    <w:rsid w:val="7F7F1E52"/>
    <w:rsid w:val="7FA649FE"/>
    <w:rsid w:val="7FB80DC6"/>
    <w:rsid w:val="7FBC18E3"/>
    <w:rsid w:val="7FBE728F"/>
    <w:rsid w:val="7FE764C5"/>
    <w:rsid w:val="7FE793A0"/>
    <w:rsid w:val="7FFBAE23"/>
    <w:rsid w:val="8FF4B70F"/>
    <w:rsid w:val="93CED21E"/>
    <w:rsid w:val="9F177382"/>
    <w:rsid w:val="9FAD1A15"/>
    <w:rsid w:val="9FDD41DF"/>
    <w:rsid w:val="9FEFD66B"/>
    <w:rsid w:val="9FF8CE20"/>
    <w:rsid w:val="9FFE33BC"/>
    <w:rsid w:val="A15FF62B"/>
    <w:rsid w:val="A24FE47F"/>
    <w:rsid w:val="A5AD745F"/>
    <w:rsid w:val="AA7F297B"/>
    <w:rsid w:val="AD9FB247"/>
    <w:rsid w:val="AEFBBF3A"/>
    <w:rsid w:val="AF4DFF40"/>
    <w:rsid w:val="AFDFB9F0"/>
    <w:rsid w:val="AFF8161C"/>
    <w:rsid w:val="B3F35DC9"/>
    <w:rsid w:val="B5DEB0EC"/>
    <w:rsid w:val="B62F936F"/>
    <w:rsid w:val="B69BE022"/>
    <w:rsid w:val="B6FFE438"/>
    <w:rsid w:val="B76DEE97"/>
    <w:rsid w:val="B7853FBC"/>
    <w:rsid w:val="B7D54296"/>
    <w:rsid w:val="B7F49A63"/>
    <w:rsid w:val="B8FFD2EA"/>
    <w:rsid w:val="B98FC758"/>
    <w:rsid w:val="B9EBFE7D"/>
    <w:rsid w:val="BAD62BB7"/>
    <w:rsid w:val="BAEFF794"/>
    <w:rsid w:val="BB170228"/>
    <w:rsid w:val="BC4F59DE"/>
    <w:rsid w:val="BEAF67A6"/>
    <w:rsid w:val="BF7BBCD9"/>
    <w:rsid w:val="BFD98349"/>
    <w:rsid w:val="BFFB9A94"/>
    <w:rsid w:val="C7DFAEE8"/>
    <w:rsid w:val="C7F339C1"/>
    <w:rsid w:val="CF7F9C1B"/>
    <w:rsid w:val="D7BB5CC1"/>
    <w:rsid w:val="D9AE57B7"/>
    <w:rsid w:val="D9FB2196"/>
    <w:rsid w:val="DAF530C2"/>
    <w:rsid w:val="DB9FACD2"/>
    <w:rsid w:val="DBEF64D2"/>
    <w:rsid w:val="DBFED606"/>
    <w:rsid w:val="DCFF76C3"/>
    <w:rsid w:val="DDEB75A2"/>
    <w:rsid w:val="DDFB3EDB"/>
    <w:rsid w:val="DEA6FCAD"/>
    <w:rsid w:val="DEBF684A"/>
    <w:rsid w:val="DEE3DFEC"/>
    <w:rsid w:val="DEFD4B1D"/>
    <w:rsid w:val="DF7EB79F"/>
    <w:rsid w:val="DFAFC070"/>
    <w:rsid w:val="DFD180E1"/>
    <w:rsid w:val="DFD3A7CC"/>
    <w:rsid w:val="E30F60D7"/>
    <w:rsid w:val="E6DDE270"/>
    <w:rsid w:val="E7AF39AB"/>
    <w:rsid w:val="E7B4D7A0"/>
    <w:rsid w:val="E7BBF913"/>
    <w:rsid w:val="EB2F7A1E"/>
    <w:rsid w:val="ECF79E52"/>
    <w:rsid w:val="ECFD9A33"/>
    <w:rsid w:val="EDFC6516"/>
    <w:rsid w:val="EDFF523B"/>
    <w:rsid w:val="EEF73B37"/>
    <w:rsid w:val="EF7A6E9B"/>
    <w:rsid w:val="EF7F03BF"/>
    <w:rsid w:val="EFADBCFE"/>
    <w:rsid w:val="EFFBDC71"/>
    <w:rsid w:val="EFFDBF2E"/>
    <w:rsid w:val="F1FF4F12"/>
    <w:rsid w:val="F1FFABFC"/>
    <w:rsid w:val="F2A6FAF4"/>
    <w:rsid w:val="F36F127E"/>
    <w:rsid w:val="F375F358"/>
    <w:rsid w:val="F3FF6B2E"/>
    <w:rsid w:val="F675BCEF"/>
    <w:rsid w:val="F7755AFA"/>
    <w:rsid w:val="F77B5138"/>
    <w:rsid w:val="F7BF17B5"/>
    <w:rsid w:val="F7BFCA1C"/>
    <w:rsid w:val="F7DE07F1"/>
    <w:rsid w:val="F7DF0899"/>
    <w:rsid w:val="F7E6BD8F"/>
    <w:rsid w:val="F7F7965E"/>
    <w:rsid w:val="F7FDAE24"/>
    <w:rsid w:val="F9EF7DDE"/>
    <w:rsid w:val="F9FF741D"/>
    <w:rsid w:val="FA377B1A"/>
    <w:rsid w:val="FABFF295"/>
    <w:rsid w:val="FAFE8E78"/>
    <w:rsid w:val="FB2C33A5"/>
    <w:rsid w:val="FB4F70B7"/>
    <w:rsid w:val="FB6E9F8A"/>
    <w:rsid w:val="FBF7DC86"/>
    <w:rsid w:val="FBFA66BD"/>
    <w:rsid w:val="FBFDFFF7"/>
    <w:rsid w:val="FBFF72B9"/>
    <w:rsid w:val="FBFFB983"/>
    <w:rsid w:val="FBFFF29D"/>
    <w:rsid w:val="FDB7E4C2"/>
    <w:rsid w:val="FDED9F44"/>
    <w:rsid w:val="FED6FD2B"/>
    <w:rsid w:val="FEDB3B76"/>
    <w:rsid w:val="FEEF5ACD"/>
    <w:rsid w:val="FF3E966B"/>
    <w:rsid w:val="FF49EB40"/>
    <w:rsid w:val="FFB22C02"/>
    <w:rsid w:val="FFBEF6C2"/>
    <w:rsid w:val="FFBFDE2D"/>
    <w:rsid w:val="FFCAA4AA"/>
    <w:rsid w:val="FFDE8FF6"/>
    <w:rsid w:val="FFDF21AA"/>
    <w:rsid w:val="FFDFA79E"/>
    <w:rsid w:val="FFE9AAAA"/>
    <w:rsid w:val="FFEB51BA"/>
    <w:rsid w:val="FFEEC741"/>
    <w:rsid w:val="FFF5233A"/>
    <w:rsid w:val="FFFB49BC"/>
    <w:rsid w:val="FFFFF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6"/>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0"/>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1"/>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2"/>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5"/>
    <w:semiHidden/>
    <w:unhideWhenUsed/>
    <w:qFormat/>
    <w:uiPriority w:val="99"/>
    <w:pPr>
      <w:spacing w:after="120"/>
      <w:jc w:val="both"/>
    </w:pPr>
    <w:rPr>
      <w:rFonts w:ascii="宋体"/>
      <w:sz w:val="18"/>
      <w:szCs w:val="18"/>
    </w:rPr>
  </w:style>
  <w:style w:type="paragraph" w:styleId="13">
    <w:name w:val="annotation text"/>
    <w:basedOn w:val="1"/>
    <w:link w:val="53"/>
    <w:unhideWhenUsed/>
    <w:qFormat/>
    <w:uiPriority w:val="99"/>
  </w:style>
  <w:style w:type="paragraph" w:styleId="14">
    <w:name w:val="Body Text 3"/>
    <w:basedOn w:val="1"/>
    <w:link w:val="56"/>
    <w:semiHidden/>
    <w:unhideWhenUsed/>
    <w:qFormat/>
    <w:uiPriority w:val="99"/>
    <w:pPr>
      <w:spacing w:after="120"/>
      <w:jc w:val="both"/>
    </w:pPr>
    <w:rPr>
      <w:rFonts w:cs="Times New Roman"/>
      <w:sz w:val="16"/>
      <w:szCs w:val="16"/>
    </w:rPr>
  </w:style>
  <w:style w:type="paragraph" w:styleId="15">
    <w:name w:val="Body Text"/>
    <w:basedOn w:val="1"/>
    <w:link w:val="57"/>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8"/>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59"/>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0"/>
    <w:qFormat/>
    <w:uiPriority w:val="0"/>
    <w:pPr>
      <w:jc w:val="both"/>
    </w:pPr>
    <w:rPr>
      <w:rFonts w:ascii="CG Times" w:hAnsi="CG Times" w:eastAsia="楷体_GB2312" w:cs="Times New Roman"/>
      <w:sz w:val="28"/>
      <w:szCs w:val="20"/>
    </w:rPr>
  </w:style>
  <w:style w:type="paragraph" w:styleId="22">
    <w:name w:val="Body Text Indent 2"/>
    <w:basedOn w:val="1"/>
    <w:link w:val="61"/>
    <w:qFormat/>
    <w:uiPriority w:val="0"/>
    <w:pPr>
      <w:ind w:firstLine="480"/>
      <w:jc w:val="both"/>
    </w:pPr>
    <w:rPr>
      <w:rFonts w:ascii="楷体_GB2312" w:hAnsi="宋体" w:eastAsia="楷体_GB2312" w:cs="Times New Roman"/>
      <w:szCs w:val="24"/>
    </w:rPr>
  </w:style>
  <w:style w:type="paragraph" w:styleId="23">
    <w:name w:val="Balloon Text"/>
    <w:basedOn w:val="1"/>
    <w:link w:val="62"/>
    <w:unhideWhenUsed/>
    <w:qFormat/>
    <w:uiPriority w:val="0"/>
    <w:rPr>
      <w:sz w:val="18"/>
      <w:szCs w:val="18"/>
    </w:rPr>
  </w:style>
  <w:style w:type="paragraph" w:styleId="24">
    <w:name w:val="footer"/>
    <w:basedOn w:val="1"/>
    <w:link w:val="63"/>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4"/>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5"/>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6"/>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index 1"/>
    <w:basedOn w:val="1"/>
    <w:next w:val="1"/>
    <w:semiHidden/>
    <w:unhideWhenUsed/>
    <w:qFormat/>
    <w:uiPriority w:val="0"/>
  </w:style>
  <w:style w:type="paragraph" w:styleId="34">
    <w:name w:val="Title"/>
    <w:basedOn w:val="1"/>
    <w:next w:val="1"/>
    <w:link w:val="67"/>
    <w:qFormat/>
    <w:uiPriority w:val="10"/>
    <w:pPr>
      <w:spacing w:before="240" w:after="60"/>
      <w:jc w:val="center"/>
      <w:outlineLvl w:val="0"/>
    </w:pPr>
    <w:rPr>
      <w:rFonts w:ascii="Cambria" w:hAnsi="Cambria" w:cs="Times New Roman"/>
      <w:b/>
      <w:bCs/>
      <w:sz w:val="52"/>
      <w:szCs w:val="32"/>
    </w:rPr>
  </w:style>
  <w:style w:type="paragraph" w:styleId="35">
    <w:name w:val="annotation subject"/>
    <w:basedOn w:val="13"/>
    <w:next w:val="13"/>
    <w:link w:val="54"/>
    <w:semiHidden/>
    <w:unhideWhenUsed/>
    <w:qFormat/>
    <w:uiPriority w:val="99"/>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basedOn w:val="38"/>
    <w:unhideWhenUsed/>
    <w:qFormat/>
    <w:uiPriority w:val="99"/>
    <w:rPr>
      <w:color w:val="800080"/>
      <w:u w:val="single"/>
    </w:rPr>
  </w:style>
  <w:style w:type="character" w:styleId="42">
    <w:name w:val="Emphasis"/>
    <w:basedOn w:val="38"/>
    <w:qFormat/>
    <w:uiPriority w:val="20"/>
    <w:rPr>
      <w:i/>
      <w:iCs/>
    </w:rPr>
  </w:style>
  <w:style w:type="character" w:styleId="43">
    <w:name w:val="Hyperlink"/>
    <w:unhideWhenUsed/>
    <w:qFormat/>
    <w:uiPriority w:val="99"/>
    <w:rPr>
      <w:color w:val="0000FF"/>
      <w:u w:val="single"/>
    </w:rPr>
  </w:style>
  <w:style w:type="character" w:styleId="44">
    <w:name w:val="annotation reference"/>
    <w:basedOn w:val="38"/>
    <w:unhideWhenUsed/>
    <w:qFormat/>
    <w:uiPriority w:val="99"/>
    <w:rPr>
      <w:sz w:val="21"/>
      <w:szCs w:val="21"/>
    </w:rPr>
  </w:style>
  <w:style w:type="character" w:styleId="45">
    <w:name w:val="footnote reference"/>
    <w:unhideWhenUsed/>
    <w:qFormat/>
    <w:uiPriority w:val="0"/>
    <w:rPr>
      <w:vertAlign w:val="superscript"/>
    </w:rPr>
  </w:style>
  <w:style w:type="character" w:customStyle="1" w:styleId="46">
    <w:name w:val="标题 1 Char"/>
    <w:basedOn w:val="38"/>
    <w:link w:val="2"/>
    <w:qFormat/>
    <w:uiPriority w:val="0"/>
    <w:rPr>
      <w:rFonts w:ascii="Times New Roman" w:hAnsi="Times New Roman" w:eastAsia="仿宋" w:cs="黑体"/>
      <w:b/>
      <w:bCs/>
      <w:kern w:val="44"/>
      <w:sz w:val="44"/>
      <w:szCs w:val="44"/>
    </w:rPr>
  </w:style>
  <w:style w:type="character" w:customStyle="1" w:styleId="47">
    <w:name w:val="标题 2 Char"/>
    <w:basedOn w:val="38"/>
    <w:link w:val="3"/>
    <w:qFormat/>
    <w:uiPriority w:val="0"/>
    <w:rPr>
      <w:rFonts w:ascii="Cambria" w:hAnsi="Cambria" w:eastAsia="宋体" w:cs="黑体"/>
      <w:b/>
      <w:bCs/>
      <w:sz w:val="32"/>
      <w:szCs w:val="32"/>
    </w:rPr>
  </w:style>
  <w:style w:type="character" w:customStyle="1" w:styleId="48">
    <w:name w:val="标题 3 Char"/>
    <w:basedOn w:val="38"/>
    <w:link w:val="4"/>
    <w:qFormat/>
    <w:uiPriority w:val="0"/>
    <w:rPr>
      <w:rFonts w:ascii="Calibri" w:hAnsi="Calibri" w:eastAsia="宋体" w:cs="黑体"/>
      <w:b/>
      <w:bCs/>
      <w:sz w:val="32"/>
      <w:szCs w:val="32"/>
    </w:rPr>
  </w:style>
  <w:style w:type="character" w:customStyle="1" w:styleId="49">
    <w:name w:val="标题 4 Char"/>
    <w:basedOn w:val="38"/>
    <w:link w:val="5"/>
    <w:qFormat/>
    <w:uiPriority w:val="0"/>
    <w:rPr>
      <w:rFonts w:ascii="Cambria" w:hAnsi="Cambria" w:eastAsia="宋体" w:cs="黑体"/>
      <w:b/>
      <w:bCs/>
      <w:sz w:val="28"/>
      <w:szCs w:val="28"/>
    </w:rPr>
  </w:style>
  <w:style w:type="character" w:customStyle="1" w:styleId="50">
    <w:name w:val="标题 5 Char"/>
    <w:basedOn w:val="38"/>
    <w:link w:val="6"/>
    <w:qFormat/>
    <w:uiPriority w:val="9"/>
    <w:rPr>
      <w:rFonts w:ascii="Calibri" w:hAnsi="Calibri" w:eastAsia="宋体" w:cs="黑体"/>
      <w:b/>
      <w:bCs/>
      <w:sz w:val="28"/>
      <w:szCs w:val="28"/>
    </w:rPr>
  </w:style>
  <w:style w:type="character" w:customStyle="1" w:styleId="51">
    <w:name w:val="标题 6 Char"/>
    <w:basedOn w:val="38"/>
    <w:link w:val="7"/>
    <w:qFormat/>
    <w:uiPriority w:val="0"/>
    <w:rPr>
      <w:rFonts w:ascii="Cambria" w:hAnsi="Cambria" w:eastAsia="宋体" w:cs="Times New Roman"/>
      <w:b/>
      <w:bCs/>
      <w:sz w:val="24"/>
      <w:szCs w:val="24"/>
    </w:rPr>
  </w:style>
  <w:style w:type="character" w:customStyle="1" w:styleId="52">
    <w:name w:val="标题 7 Char"/>
    <w:basedOn w:val="38"/>
    <w:link w:val="8"/>
    <w:semiHidden/>
    <w:qFormat/>
    <w:uiPriority w:val="9"/>
    <w:rPr>
      <w:rFonts w:ascii="CG Times" w:hAnsi="CG Times" w:eastAsia="楷体_GB2312" w:cs="Times New Roman"/>
      <w:b/>
      <w:bCs/>
      <w:sz w:val="24"/>
      <w:szCs w:val="24"/>
    </w:rPr>
  </w:style>
  <w:style w:type="character" w:customStyle="1" w:styleId="53">
    <w:name w:val="批注文字 Char"/>
    <w:basedOn w:val="38"/>
    <w:link w:val="13"/>
    <w:qFormat/>
    <w:uiPriority w:val="99"/>
    <w:rPr>
      <w:rFonts w:ascii="Calibri" w:hAnsi="Calibri" w:eastAsia="宋体" w:cs="黑体"/>
      <w:sz w:val="24"/>
    </w:rPr>
  </w:style>
  <w:style w:type="character" w:customStyle="1" w:styleId="54">
    <w:name w:val="批注主题 Char"/>
    <w:basedOn w:val="53"/>
    <w:link w:val="35"/>
    <w:semiHidden/>
    <w:qFormat/>
    <w:uiPriority w:val="99"/>
    <w:rPr>
      <w:rFonts w:ascii="Calibri" w:hAnsi="Calibri" w:eastAsia="宋体" w:cs="黑体"/>
      <w:b/>
      <w:bCs/>
      <w:sz w:val="24"/>
    </w:rPr>
  </w:style>
  <w:style w:type="character" w:customStyle="1" w:styleId="55">
    <w:name w:val="文档结构图 Char"/>
    <w:basedOn w:val="38"/>
    <w:link w:val="12"/>
    <w:semiHidden/>
    <w:qFormat/>
    <w:uiPriority w:val="99"/>
    <w:rPr>
      <w:rFonts w:ascii="宋体" w:hAnsi="Calibri" w:eastAsia="宋体" w:cs="黑体"/>
      <w:sz w:val="18"/>
      <w:szCs w:val="18"/>
    </w:rPr>
  </w:style>
  <w:style w:type="character" w:customStyle="1" w:styleId="56">
    <w:name w:val="正文文本 3 Char"/>
    <w:basedOn w:val="38"/>
    <w:link w:val="14"/>
    <w:semiHidden/>
    <w:qFormat/>
    <w:uiPriority w:val="99"/>
    <w:rPr>
      <w:rFonts w:ascii="Times New Roman" w:hAnsi="Times New Roman" w:eastAsia="宋体" w:cs="Times New Roman"/>
      <w:sz w:val="16"/>
      <w:szCs w:val="16"/>
    </w:rPr>
  </w:style>
  <w:style w:type="character" w:customStyle="1" w:styleId="57">
    <w:name w:val="正文文本 Char"/>
    <w:basedOn w:val="38"/>
    <w:link w:val="15"/>
    <w:qFormat/>
    <w:uiPriority w:val="0"/>
    <w:rPr>
      <w:rFonts w:ascii="楷体_GB2312" w:hAnsi="CG Times" w:eastAsia="楷体_GB2312" w:cs="Times New Roman"/>
      <w:color w:val="000000"/>
      <w:sz w:val="36"/>
      <w:szCs w:val="20"/>
    </w:rPr>
  </w:style>
  <w:style w:type="character" w:customStyle="1" w:styleId="58">
    <w:name w:val="正文文本缩进 Char"/>
    <w:basedOn w:val="38"/>
    <w:link w:val="16"/>
    <w:qFormat/>
    <w:uiPriority w:val="0"/>
    <w:rPr>
      <w:rFonts w:ascii="楷体_GB2312" w:hAnsi="Times New Roman" w:eastAsia="宋体" w:cs="Times New Roman"/>
      <w:szCs w:val="24"/>
    </w:rPr>
  </w:style>
  <w:style w:type="character" w:customStyle="1" w:styleId="59">
    <w:name w:val="纯文本 Char"/>
    <w:basedOn w:val="38"/>
    <w:link w:val="19"/>
    <w:qFormat/>
    <w:uiPriority w:val="0"/>
    <w:rPr>
      <w:rFonts w:ascii="宋体" w:hAnsi="Courier New" w:eastAsia="宋体" w:cs="Times New Roman"/>
      <w:szCs w:val="21"/>
    </w:rPr>
  </w:style>
  <w:style w:type="character" w:customStyle="1" w:styleId="60">
    <w:name w:val="日期 Char"/>
    <w:basedOn w:val="38"/>
    <w:link w:val="21"/>
    <w:qFormat/>
    <w:uiPriority w:val="0"/>
    <w:rPr>
      <w:rFonts w:ascii="CG Times" w:hAnsi="CG Times" w:eastAsia="楷体_GB2312" w:cs="Times New Roman"/>
      <w:sz w:val="28"/>
      <w:szCs w:val="20"/>
    </w:rPr>
  </w:style>
  <w:style w:type="character" w:customStyle="1" w:styleId="61">
    <w:name w:val="正文文本缩进 2 Char"/>
    <w:basedOn w:val="38"/>
    <w:link w:val="22"/>
    <w:qFormat/>
    <w:uiPriority w:val="0"/>
    <w:rPr>
      <w:rFonts w:ascii="楷体_GB2312" w:hAnsi="宋体" w:eastAsia="楷体_GB2312" w:cs="Times New Roman"/>
      <w:sz w:val="24"/>
      <w:szCs w:val="24"/>
    </w:rPr>
  </w:style>
  <w:style w:type="character" w:customStyle="1" w:styleId="62">
    <w:name w:val="批注框文本 Char"/>
    <w:basedOn w:val="38"/>
    <w:link w:val="23"/>
    <w:qFormat/>
    <w:uiPriority w:val="0"/>
    <w:rPr>
      <w:rFonts w:ascii="Calibri" w:hAnsi="Calibri" w:eastAsia="宋体" w:cs="黑体"/>
      <w:sz w:val="18"/>
      <w:szCs w:val="18"/>
    </w:rPr>
  </w:style>
  <w:style w:type="character" w:customStyle="1" w:styleId="63">
    <w:name w:val="页脚 Char"/>
    <w:basedOn w:val="38"/>
    <w:link w:val="24"/>
    <w:qFormat/>
    <w:uiPriority w:val="99"/>
    <w:rPr>
      <w:rFonts w:ascii="Calibri" w:hAnsi="Calibri" w:eastAsia="宋体" w:cs="Times New Roman"/>
      <w:sz w:val="18"/>
      <w:szCs w:val="18"/>
    </w:rPr>
  </w:style>
  <w:style w:type="character" w:customStyle="1" w:styleId="64">
    <w:name w:val="页眉 Char"/>
    <w:basedOn w:val="38"/>
    <w:link w:val="25"/>
    <w:qFormat/>
    <w:uiPriority w:val="99"/>
    <w:rPr>
      <w:rFonts w:ascii="Calibri" w:hAnsi="Calibri" w:eastAsia="宋体" w:cs="Times New Roman"/>
      <w:sz w:val="18"/>
      <w:szCs w:val="18"/>
    </w:rPr>
  </w:style>
  <w:style w:type="character" w:customStyle="1" w:styleId="65">
    <w:name w:val="脚注文本 Char"/>
    <w:basedOn w:val="38"/>
    <w:link w:val="28"/>
    <w:qFormat/>
    <w:uiPriority w:val="0"/>
    <w:rPr>
      <w:rFonts w:ascii="Times New Roman" w:hAnsi="Times New Roman" w:eastAsia="宋体" w:cs="Times New Roman"/>
      <w:kern w:val="0"/>
      <w:sz w:val="18"/>
      <w:szCs w:val="18"/>
    </w:rPr>
  </w:style>
  <w:style w:type="character" w:customStyle="1" w:styleId="66">
    <w:name w:val="正文文本缩进 3 Char"/>
    <w:basedOn w:val="38"/>
    <w:link w:val="30"/>
    <w:qFormat/>
    <w:uiPriority w:val="0"/>
    <w:rPr>
      <w:rFonts w:ascii="Times New Roman" w:hAnsi="Times New Roman" w:eastAsia="楷体_GB2312" w:cs="Times New Roman"/>
      <w:sz w:val="24"/>
      <w:szCs w:val="24"/>
    </w:rPr>
  </w:style>
  <w:style w:type="character" w:customStyle="1" w:styleId="67">
    <w:name w:val="标题 Char"/>
    <w:basedOn w:val="38"/>
    <w:link w:val="34"/>
    <w:qFormat/>
    <w:uiPriority w:val="10"/>
    <w:rPr>
      <w:rFonts w:ascii="Cambria" w:hAnsi="Cambria" w:eastAsia="宋体" w:cs="Times New Roman"/>
      <w:b/>
      <w:bCs/>
      <w:sz w:val="52"/>
      <w:szCs w:val="32"/>
    </w:rPr>
  </w:style>
  <w:style w:type="paragraph" w:customStyle="1" w:styleId="68">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69">
    <w:name w:val="标题4"/>
    <w:basedOn w:val="5"/>
    <w:next w:val="1"/>
    <w:link w:val="70"/>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0">
    <w:name w:val="标题4 Char Char"/>
    <w:link w:val="69"/>
    <w:qFormat/>
    <w:uiPriority w:val="0"/>
    <w:rPr>
      <w:rFonts w:ascii="Cambria" w:hAnsi="Cambria" w:eastAsia="楷体" w:cs="Times New Roman"/>
      <w:b/>
      <w:bCs/>
      <w:kern w:val="0"/>
      <w:sz w:val="30"/>
      <w:szCs w:val="28"/>
    </w:rPr>
  </w:style>
  <w:style w:type="paragraph" w:customStyle="1" w:styleId="71">
    <w:name w:val="标题5"/>
    <w:basedOn w:val="6"/>
    <w:qFormat/>
    <w:uiPriority w:val="0"/>
    <w:pPr>
      <w:adjustRightInd w:val="0"/>
      <w:snapToGrid w:val="0"/>
      <w:spacing w:before="0" w:after="0" w:line="360" w:lineRule="auto"/>
    </w:pPr>
    <w:rPr>
      <w:rFonts w:eastAsia="楷体"/>
    </w:rPr>
  </w:style>
  <w:style w:type="paragraph" w:customStyle="1" w:styleId="72">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3">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4">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5">
    <w:name w:val="表格栏头"/>
    <w:basedOn w:val="74"/>
    <w:next w:val="74"/>
    <w:qFormat/>
    <w:uiPriority w:val="0"/>
    <w:pPr>
      <w:tabs>
        <w:tab w:val="clear" w:pos="1702"/>
      </w:tabs>
      <w:spacing w:before="60" w:after="60"/>
      <w:textAlignment w:val="baseline"/>
    </w:pPr>
    <w:rPr>
      <w:rFonts w:ascii="Tahoma" w:hAnsi="Tahoma" w:eastAsia="宋体"/>
      <w:b/>
      <w:color w:val="auto"/>
    </w:rPr>
  </w:style>
  <w:style w:type="paragraph" w:customStyle="1" w:styleId="76">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7">
    <w:name w:val="信息标题2"/>
    <w:basedOn w:val="11"/>
    <w:next w:val="11"/>
    <w:qFormat/>
    <w:uiPriority w:val="0"/>
    <w:pPr>
      <w:spacing w:after="0"/>
      <w:jc w:val="center"/>
    </w:pPr>
    <w:rPr>
      <w:rFonts w:ascii="楷体" w:hAnsi="楷体" w:eastAsia="楷体"/>
      <w:b/>
      <w:sz w:val="36"/>
      <w:szCs w:val="36"/>
    </w:rPr>
  </w:style>
  <w:style w:type="paragraph" w:customStyle="1" w:styleId="78">
    <w:name w:val="列出段落1"/>
    <w:basedOn w:val="1"/>
    <w:qFormat/>
    <w:uiPriority w:val="34"/>
    <w:pPr>
      <w:ind w:firstLine="420"/>
    </w:pPr>
  </w:style>
  <w:style w:type="paragraph" w:customStyle="1" w:styleId="79">
    <w:name w:val="p0"/>
    <w:basedOn w:val="1"/>
    <w:qFormat/>
    <w:uiPriority w:val="0"/>
    <w:pPr>
      <w:jc w:val="both"/>
    </w:pPr>
    <w:rPr>
      <w:rFonts w:cs="宋体"/>
      <w:kern w:val="0"/>
      <w:sz w:val="21"/>
      <w:szCs w:val="21"/>
    </w:rPr>
  </w:style>
  <w:style w:type="paragraph" w:customStyle="1" w:styleId="8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1">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2">
    <w:name w:val="表格首行"/>
    <w:basedOn w:val="1"/>
    <w:qFormat/>
    <w:uiPriority w:val="0"/>
    <w:pPr>
      <w:tabs>
        <w:tab w:val="left" w:pos="540"/>
      </w:tabs>
      <w:jc w:val="both"/>
    </w:pPr>
    <w:rPr>
      <w:rFonts w:eastAsia="楷体_GB2312" w:cs="Times New Roman"/>
      <w:b/>
      <w:szCs w:val="21"/>
    </w:rPr>
  </w:style>
  <w:style w:type="paragraph" w:customStyle="1" w:styleId="83">
    <w:name w:val="表格内容"/>
    <w:basedOn w:val="1"/>
    <w:qFormat/>
    <w:uiPriority w:val="0"/>
    <w:pPr>
      <w:tabs>
        <w:tab w:val="left" w:pos="540"/>
      </w:tabs>
    </w:pPr>
    <w:rPr>
      <w:rFonts w:eastAsia="楷体_GB2312" w:cs="Times New Roman"/>
      <w:szCs w:val="28"/>
    </w:rPr>
  </w:style>
  <w:style w:type="paragraph" w:customStyle="1" w:styleId="84">
    <w:name w:val="Char Char Char Char Char Char Char"/>
    <w:basedOn w:val="1"/>
    <w:qFormat/>
    <w:uiPriority w:val="0"/>
    <w:rPr>
      <w:rFonts w:ascii="Verdana" w:hAnsi="Verdana" w:cs="Times New Roman"/>
      <w:kern w:val="0"/>
      <w:sz w:val="21"/>
      <w:szCs w:val="20"/>
      <w:lang w:eastAsia="en-US"/>
    </w:rPr>
  </w:style>
  <w:style w:type="paragraph" w:customStyle="1" w:styleId="85">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6">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7">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8">
    <w:name w:val="文档结构图1"/>
    <w:basedOn w:val="1"/>
    <w:qFormat/>
    <w:uiPriority w:val="0"/>
    <w:pPr>
      <w:jc w:val="both"/>
    </w:pPr>
    <w:rPr>
      <w:rFonts w:ascii="宋体" w:hAnsi="CG Times" w:cs="Times New Roman"/>
      <w:sz w:val="18"/>
      <w:szCs w:val="18"/>
    </w:rPr>
  </w:style>
  <w:style w:type="paragraph" w:customStyle="1" w:styleId="89">
    <w:name w:val="批注主题1"/>
    <w:basedOn w:val="13"/>
    <w:next w:val="13"/>
    <w:qFormat/>
    <w:uiPriority w:val="0"/>
    <w:rPr>
      <w:rFonts w:ascii="CG Times" w:hAnsi="CG Times" w:eastAsia="楷体_GB2312" w:cs="Times New Roman"/>
      <w:b/>
      <w:bCs/>
      <w:szCs w:val="20"/>
    </w:rPr>
  </w:style>
  <w:style w:type="paragraph" w:customStyle="1" w:styleId="90">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1">
    <w:name w:val="列出段落11"/>
    <w:basedOn w:val="1"/>
    <w:qFormat/>
    <w:uiPriority w:val="0"/>
    <w:pPr>
      <w:ind w:firstLine="420"/>
      <w:jc w:val="both"/>
    </w:pPr>
    <w:rPr>
      <w:rFonts w:ascii="CG Times" w:hAnsi="CG Times" w:eastAsia="楷体_GB2312" w:cs="Times New Roman"/>
      <w:szCs w:val="20"/>
    </w:rPr>
  </w:style>
  <w:style w:type="paragraph" w:customStyle="1" w:styleId="92">
    <w:name w:val="修订11"/>
    <w:qFormat/>
    <w:uiPriority w:val="0"/>
    <w:rPr>
      <w:rFonts w:ascii="CG Times" w:hAnsi="CG Times" w:eastAsia="楷体_GB2312" w:cs="Times New Roman"/>
      <w:sz w:val="24"/>
      <w:lang w:val="en-US" w:eastAsia="zh-CN" w:bidi="ar-SA"/>
    </w:rPr>
  </w:style>
  <w:style w:type="paragraph" w:customStyle="1" w:styleId="93">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4">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5">
    <w:name w:val="Char Char Char Char Char Char Char Char Char Char"/>
    <w:basedOn w:val="1"/>
    <w:qFormat/>
    <w:uiPriority w:val="0"/>
    <w:rPr>
      <w:rFonts w:ascii="Verdana" w:hAnsi="Verdana" w:cs="Times New Roman"/>
      <w:kern w:val="0"/>
      <w:sz w:val="21"/>
      <w:szCs w:val="20"/>
      <w:lang w:eastAsia="en-US"/>
    </w:rPr>
  </w:style>
  <w:style w:type="character" w:customStyle="1" w:styleId="96">
    <w:name w:val="st"/>
    <w:basedOn w:val="38"/>
    <w:qFormat/>
    <w:uiPriority w:val="0"/>
  </w:style>
  <w:style w:type="character" w:customStyle="1" w:styleId="97">
    <w:name w:val="脚注文本 Char1"/>
    <w:basedOn w:val="38"/>
    <w:qFormat/>
    <w:uiPriority w:val="0"/>
    <w:rPr>
      <w:sz w:val="18"/>
      <w:szCs w:val="18"/>
    </w:rPr>
  </w:style>
  <w:style w:type="character" w:customStyle="1" w:styleId="98">
    <w:name w:val="页码1"/>
    <w:basedOn w:val="38"/>
    <w:qFormat/>
    <w:uiPriority w:val="0"/>
  </w:style>
  <w:style w:type="character" w:customStyle="1" w:styleId="99">
    <w:name w:val="批注引用1"/>
    <w:qFormat/>
    <w:uiPriority w:val="0"/>
    <w:rPr>
      <w:sz w:val="21"/>
      <w:szCs w:val="21"/>
    </w:rPr>
  </w:style>
  <w:style w:type="paragraph" w:styleId="100">
    <w:name w:val="List Paragraph"/>
    <w:basedOn w:val="1"/>
    <w:qFormat/>
    <w:uiPriority w:val="34"/>
    <w:pPr>
      <w:ind w:firstLine="420"/>
    </w:pPr>
  </w:style>
  <w:style w:type="table" w:customStyle="1" w:styleId="101">
    <w:name w:val="网格型2"/>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2">
    <w:name w:val="修订1"/>
    <w:hidden/>
    <w:semiHidden/>
    <w:qFormat/>
    <w:uiPriority w:val="99"/>
    <w:rPr>
      <w:rFonts w:ascii="Times New Roman" w:hAnsi="Times New Roman" w:eastAsia="仿宋" w:cs="黑体"/>
      <w:kern w:val="2"/>
      <w:sz w:val="24"/>
      <w:szCs w:val="22"/>
      <w:lang w:val="en-US" w:eastAsia="zh-CN" w:bidi="ar-SA"/>
    </w:rPr>
  </w:style>
  <w:style w:type="paragraph" w:customStyle="1" w:styleId="103">
    <w:name w:val="列出段落2"/>
    <w:basedOn w:val="1"/>
    <w:qFormat/>
    <w:uiPriority w:val="0"/>
    <w:pPr>
      <w:spacing w:line="240" w:lineRule="auto"/>
      <w:ind w:firstLine="420"/>
    </w:pPr>
    <w:rPr>
      <w:rFonts w:ascii="Calibri" w:hAnsi="Calibri" w:eastAsia="宋体"/>
      <w:szCs w:val="24"/>
    </w:rPr>
  </w:style>
  <w:style w:type="character" w:customStyle="1" w:styleId="104">
    <w:name w:val="fontstyle01"/>
    <w:basedOn w:val="38"/>
    <w:qFormat/>
    <w:uiPriority w:val="0"/>
    <w:rPr>
      <w:rFonts w:hint="default" w:ascii="FangSong" w:hAnsi="FangSong"/>
      <w:color w:val="000000"/>
      <w:sz w:val="30"/>
      <w:szCs w:val="30"/>
    </w:rPr>
  </w:style>
  <w:style w:type="character" w:customStyle="1" w:styleId="105">
    <w:name w:val="fontstyle11"/>
    <w:basedOn w:val="38"/>
    <w:qFormat/>
    <w:uiPriority w:val="0"/>
    <w:rPr>
      <w:rFonts w:hint="default" w:ascii="TimesNewRomanPSMT" w:hAnsi="TimesNewRomanPSMT"/>
      <w:color w:val="000000"/>
      <w:sz w:val="30"/>
      <w:szCs w:val="30"/>
    </w:rPr>
  </w:style>
  <w:style w:type="character" w:customStyle="1" w:styleId="106">
    <w:name w:val="fontstyle21"/>
    <w:basedOn w:val="38"/>
    <w:qFormat/>
    <w:uiPriority w:val="0"/>
    <w:rPr>
      <w:rFonts w:hint="default" w:ascii="TimesNewRomanPSMT" w:hAnsi="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1088</Words>
  <Characters>6207</Characters>
  <Lines>51</Lines>
  <Paragraphs>14</Paragraphs>
  <TotalTime>6</TotalTime>
  <ScaleCrop>false</ScaleCrop>
  <LinksUpToDate>false</LinksUpToDate>
  <CharactersWithSpaces>7281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2023-09-06T08:50:00Z</dcterms:created>
  <dc:creator>张恒zh</dc:creator>
  <cp:lastModifiedBy>gaoduo</cp:lastModifiedBy>
  <cp:lastPrinted>2021-09-29T06:03:00Z</cp:lastPrinted>
  <dcterms:modified xsi:type="dcterms:W3CDTF">2023-09-14T17:58:14Z</dcterms:modified>
  <dc:title>北证办发〔2023〕X号附件1</dc:title>
  <cp:revision>561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73462DA4BD984DCBB12C792B2A7F0CBB</vt:lpwstr>
  </property>
</Properties>
</file>