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Lines="0" w:line="600" w:lineRule="exact"/>
        <w:ind w:firstLine="0" w:firstLineChars="0"/>
        <w:jc w:val="center"/>
        <w:outlineLvl w:val="0"/>
        <w:rPr>
          <w:rFonts w:eastAsia="方正大标宋简体"/>
          <w:sz w:val="42"/>
          <w:szCs w:val="42"/>
        </w:rPr>
      </w:pPr>
      <w:bookmarkStart w:id="0" w:name="_GoBack"/>
      <w:bookmarkEnd w:id="0"/>
    </w:p>
    <w:p>
      <w:pPr>
        <w:pStyle w:val="3"/>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退市公司可转换公司债券业务</w:t>
      </w:r>
    </w:p>
    <w:p>
      <w:pPr>
        <w:pStyle w:val="3"/>
        <w:spacing w:afterLines="0" w:line="600" w:lineRule="exact"/>
        <w:ind w:firstLine="0" w:firstLineChars="0"/>
        <w:jc w:val="center"/>
        <w:outlineLvl w:val="0"/>
        <w:rPr>
          <w:rFonts w:eastAsia="方正大标宋简体"/>
          <w:sz w:val="42"/>
          <w:szCs w:val="42"/>
        </w:rPr>
      </w:pPr>
      <w:r>
        <w:rPr>
          <w:rFonts w:hint="eastAsia" w:eastAsia="方正大标宋简体"/>
          <w:color w:val="000000" w:themeColor="text1"/>
          <w:sz w:val="42"/>
          <w:szCs w:val="42"/>
          <w14:textFill>
            <w14:solidFill>
              <w14:schemeClr w14:val="tx1"/>
            </w14:solidFill>
          </w14:textFill>
        </w:rPr>
        <w:t>全网测试</w:t>
      </w:r>
      <w:r>
        <w:rPr>
          <w:rFonts w:eastAsia="方正大标宋简体"/>
          <w:sz w:val="42"/>
          <w:szCs w:val="42"/>
        </w:rPr>
        <w:t>反馈报告</w:t>
      </w:r>
    </w:p>
    <w:p>
      <w:pPr>
        <w:rPr>
          <w:rFonts w:ascii="Times New Roman" w:hAnsi="Times New Roman" w:eastAsia="方正大标宋简体" w:cs="Times New Roman"/>
          <w:sz w:val="42"/>
          <w:szCs w:val="4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73" w:type="dxa"/>
            <w:vAlign w:val="center"/>
          </w:tcPr>
          <w:p>
            <w:pPr>
              <w:pStyle w:val="13"/>
              <w:spacing w:before="60" w:after="60" w:line="0" w:lineRule="atLeast"/>
              <w:ind w:firstLine="0" w:firstLineChars="0"/>
              <w:rPr>
                <w:rFonts w:ascii="Times New Roman" w:hAnsi="Times New Roman" w:cs="Times New Roman"/>
                <w:b/>
                <w:color w:val="000000"/>
                <w:szCs w:val="24"/>
              </w:rPr>
            </w:pPr>
            <w:r>
              <w:rPr>
                <w:rFonts w:hint="eastAsia" w:ascii="Times New Roman" w:hAnsi="Times New Roman" w:eastAsia="黑体" w:cs="Arial"/>
                <w:sz w:val="28"/>
                <w:szCs w:val="28"/>
              </w:rPr>
              <w:t>一、</w:t>
            </w:r>
            <w:r>
              <w:rPr>
                <w:rFonts w:ascii="Times New Roman" w:hAnsi="Times New Roman" w:eastAsia="黑体" w:cs="Arial"/>
                <w:sz w:val="28"/>
                <w:szCs w:val="28"/>
              </w:rPr>
              <w:t>参测机构名称：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073" w:type="dxa"/>
            <w:vAlign w:val="center"/>
          </w:tcPr>
          <w:p>
            <w:pPr>
              <w:pStyle w:val="13"/>
              <w:spacing w:before="60" w:after="60" w:line="0" w:lineRule="atLeast"/>
              <w:ind w:firstLine="0" w:firstLineChars="0"/>
              <w:rPr>
                <w:rFonts w:ascii="Times New Roman" w:hAnsi="Times New Roman" w:eastAsia="黑体" w:cs="Arial"/>
                <w:sz w:val="28"/>
                <w:szCs w:val="28"/>
              </w:rPr>
            </w:pPr>
            <w:r>
              <w:rPr>
                <w:rFonts w:hint="eastAsia" w:ascii="Times New Roman" w:hAnsi="Times New Roman" w:eastAsia="黑体" w:cs="Arial"/>
                <w:sz w:val="28"/>
                <w:szCs w:val="28"/>
              </w:rPr>
              <w:t>二、</w:t>
            </w:r>
            <w:r>
              <w:rPr>
                <w:rFonts w:ascii="Times New Roman" w:hAnsi="Times New Roman" w:eastAsia="黑体" w:cs="Arial"/>
                <w:sz w:val="28"/>
                <w:szCs w:val="28"/>
              </w:rPr>
              <w:t>测试时间</w:t>
            </w:r>
          </w:p>
          <w:p>
            <w:pPr>
              <w:pStyle w:val="13"/>
              <w:spacing w:before="60" w:after="60" w:line="0" w:lineRule="atLeast"/>
              <w:ind w:firstLine="560"/>
              <w:rPr>
                <w:rFonts w:ascii="Times New Roman" w:hAnsi="Times New Roman" w:eastAsia="仿宋" w:cs="Times New Roman"/>
                <w:sz w:val="28"/>
                <w:szCs w:val="28"/>
              </w:rPr>
            </w:pP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第一</w:t>
            </w:r>
            <w:r>
              <w:rPr>
                <w:rFonts w:hint="eastAsia" w:ascii="Times New Roman" w:hAnsi="Times New Roman" w:eastAsia="仿宋" w:cs="Times New Roman"/>
                <w:sz w:val="28"/>
                <w:szCs w:val="28"/>
              </w:rPr>
              <w:t>次全网（2023年9月2日）</w:t>
            </w:r>
          </w:p>
          <w:p>
            <w:pPr>
              <w:pStyle w:val="13"/>
              <w:spacing w:before="60" w:after="60" w:line="0" w:lineRule="atLeast"/>
              <w:ind w:firstLine="560"/>
              <w:rPr>
                <w:rFonts w:ascii="Times New Roman" w:hAnsi="Times New Roman" w:cs="宋体"/>
                <w:b/>
                <w:bCs/>
                <w:color w:val="000000"/>
                <w:szCs w:val="24"/>
              </w:rPr>
            </w:pP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第</w:t>
            </w:r>
            <w:r>
              <w:rPr>
                <w:rFonts w:hint="eastAsia" w:ascii="Times New Roman" w:hAnsi="Times New Roman" w:eastAsia="仿宋" w:cs="Times New Roman"/>
                <w:sz w:val="28"/>
                <w:szCs w:val="28"/>
              </w:rPr>
              <w:t>二次全网（2023 年9月9日）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vAlign w:val="center"/>
          </w:tcPr>
          <w:p>
            <w:pPr>
              <w:widowControl w:val="0"/>
              <w:autoSpaceDE w:val="0"/>
              <w:autoSpaceDN w:val="0"/>
              <w:adjustRightInd w:val="0"/>
              <w:ind w:left="420" w:hanging="420"/>
              <w:jc w:val="both"/>
              <w:rPr>
                <w:rFonts w:ascii="Times New Roman" w:hAnsi="Times New Roman" w:cs="宋体"/>
                <w:color w:val="000000"/>
                <w:sz w:val="21"/>
                <w:szCs w:val="21"/>
              </w:rPr>
            </w:pPr>
          </w:p>
          <w:p>
            <w:pPr>
              <w:widowControl w:val="0"/>
              <w:autoSpaceDE w:val="0"/>
              <w:autoSpaceDN w:val="0"/>
              <w:adjustRightInd w:val="0"/>
              <w:ind w:left="420" w:hanging="420"/>
              <w:jc w:val="both"/>
              <w:rPr>
                <w:rFonts w:hint="eastAsia" w:ascii="Times New Roman" w:hAnsi="Times New Roman" w:cs="宋体"/>
                <w:color w:val="000000"/>
                <w:sz w:val="21"/>
                <w:szCs w:val="21"/>
              </w:rPr>
            </w:pP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1) 是否能正常发送并处理退市可转债转让、回售和转股申报。</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2) 是否能正确揭示退市可转债初始化行情与收盘行情。</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  不涉及□</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rPr>
              <w:t>3</w:t>
            </w:r>
            <w:r>
              <w:rPr>
                <w:rFonts w:hint="eastAsia" w:ascii="Times New Roman" w:hAnsi="Times New Roman" w:eastAsia="仿宋" w:cs="Times New Roman"/>
                <w:sz w:val="28"/>
                <w:szCs w:val="28"/>
                <w:lang w:val="zh-CN"/>
              </w:rPr>
              <w:t>）是否能根据退市可转债标的股票的投资者适当性信息进行退市可转债转让权限控制。</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  不涉及□</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4</w:t>
            </w:r>
            <w:r>
              <w:rPr>
                <w:rFonts w:hint="eastAsia" w:ascii="Times New Roman" w:hAnsi="Times New Roman" w:eastAsia="仿宋" w:cs="Times New Roman"/>
                <w:sz w:val="28"/>
                <w:szCs w:val="28"/>
                <w:lang w:val="zh-CN"/>
              </w:rPr>
              <w:t>）是否能根据中国结算日终数据完成清算交收。</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5</w:t>
            </w:r>
            <w:r>
              <w:rPr>
                <w:rFonts w:hint="eastAsia" w:ascii="Times New Roman" w:hAnsi="Times New Roman" w:eastAsia="仿宋" w:cs="Times New Roman"/>
                <w:sz w:val="28"/>
                <w:szCs w:val="28"/>
                <w:lang w:val="zh-CN"/>
              </w:rPr>
              <w:t>）是否验证</w:t>
            </w:r>
            <w:r>
              <w:rPr>
                <w:rFonts w:hint="eastAsia" w:ascii="Times New Roman" w:hAnsi="Times New Roman" w:eastAsia="仿宋" w:cs="Times New Roman"/>
                <w:sz w:val="28"/>
                <w:szCs w:val="28"/>
              </w:rPr>
              <w:t>定向可转债、两网及退市股票、优先股、要约、融资融券及普通股票等业务未见异常</w:t>
            </w:r>
            <w:r>
              <w:rPr>
                <w:rFonts w:hint="eastAsia" w:ascii="Times New Roman" w:hAnsi="Times New Roman" w:eastAsia="仿宋" w:cs="Times New Roman"/>
                <w:sz w:val="28"/>
                <w:szCs w:val="28"/>
                <w:lang w:val="zh-CN"/>
              </w:rPr>
              <w:t>。</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6</w:t>
            </w:r>
            <w:r>
              <w:rPr>
                <w:rFonts w:hint="eastAsia" w:ascii="Times New Roman" w:hAnsi="Times New Roman" w:eastAsia="仿宋" w:cs="Times New Roman"/>
                <w:sz w:val="28"/>
                <w:szCs w:val="28"/>
                <w:lang w:val="zh-CN"/>
              </w:rPr>
              <w:t>）周边系统是否满足技术文档要求。</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spacing w:before="60" w:after="60" w:line="0" w:lineRule="atLeast"/>
              <w:jc w:val="both"/>
              <w:rPr>
                <w:rFonts w:ascii="Times New Roman" w:hAnsi="Times New Roman" w:eastAsia="仿宋" w:cs="Times New Roman"/>
                <w:sz w:val="28"/>
                <w:szCs w:val="28"/>
              </w:rPr>
            </w:pPr>
          </w:p>
          <w:p>
            <w:pPr>
              <w:widowControl w:val="0"/>
              <w:autoSpaceDE w:val="0"/>
              <w:autoSpaceDN w:val="0"/>
              <w:adjustRightInd w:val="0"/>
              <w:jc w:val="both"/>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73" w:type="dxa"/>
            <w:vAlign w:val="center"/>
          </w:tcPr>
          <w:p>
            <w:pPr>
              <w:adjustRightInd w:val="0"/>
              <w:snapToGrid w:val="0"/>
              <w:jc w:val="both"/>
              <w:rPr>
                <w:rFonts w:ascii="Times New Roman" w:hAnsi="Times New Roman" w:cs="Times New Roman"/>
                <w:b/>
                <w:color w:val="000000"/>
                <w:szCs w:val="24"/>
              </w:rPr>
            </w:pPr>
            <w:r>
              <w:rPr>
                <w:rFonts w:ascii="Times New Roman" w:hAnsi="Times New Roman" w:cs="Times New Roman"/>
                <w:b/>
                <w:color w:val="000000"/>
                <w:szCs w:val="24"/>
              </w:rPr>
              <w:t>问题记录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9073" w:type="dxa"/>
            <w:vAlign w:val="center"/>
          </w:tcPr>
          <w:p>
            <w:pPr>
              <w:widowControl w:val="0"/>
              <w:numPr>
                <w:ilvl w:val="0"/>
                <w:numId w:val="1"/>
              </w:numPr>
              <w:jc w:val="both"/>
              <w:rPr>
                <w:rFonts w:ascii="Times New Roman" w:hAnsi="Times New Roman" w:cs="Times New Roman"/>
                <w:color w:val="000000"/>
                <w:sz w:val="21"/>
                <w:szCs w:val="21"/>
              </w:rPr>
            </w:pPr>
          </w:p>
          <w:p>
            <w:pPr>
              <w:widowControl w:val="0"/>
              <w:numPr>
                <w:ilvl w:val="0"/>
                <w:numId w:val="1"/>
              </w:numPr>
              <w:jc w:val="both"/>
              <w:rPr>
                <w:rFonts w:ascii="Times New Roman" w:hAnsi="Times New Roman" w:cs="Times New Roman"/>
                <w:color w:val="000000"/>
                <w:sz w:val="21"/>
                <w:szCs w:val="21"/>
              </w:rPr>
            </w:pPr>
          </w:p>
          <w:p>
            <w:pPr>
              <w:ind w:firstLine="420" w:firstLineChars="200"/>
              <w:jc w:val="both"/>
              <w:rPr>
                <w:rFonts w:ascii="Times New Roman" w:hAnsi="Times New Roman" w:cs="Times New Roman"/>
                <w:i/>
                <w:color w:val="000000"/>
                <w:sz w:val="21"/>
                <w:szCs w:val="21"/>
              </w:rPr>
            </w:pPr>
            <w:r>
              <w:rPr>
                <w:rFonts w:ascii="Times New Roman" w:hAnsi="Times New Roman" w:cs="Times New Roman"/>
                <w:i/>
                <w:color w:val="000000"/>
                <w:sz w:val="21"/>
                <w:szCs w:val="21"/>
              </w:rPr>
              <w:t>注：测试中发现的问题，请在本栏描述。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073" w:type="dxa"/>
            <w:vAlign w:val="center"/>
          </w:tcPr>
          <w:p>
            <w:pPr>
              <w:adjustRightInd w:val="0"/>
              <w:snapToGrid w:val="0"/>
              <w:jc w:val="both"/>
              <w:rPr>
                <w:rFonts w:ascii="Times New Roman" w:hAnsi="Times New Roman" w:cs="Times New Roman"/>
                <w:b/>
                <w:color w:val="000000"/>
                <w:szCs w:val="24"/>
              </w:rPr>
            </w:pPr>
            <w:r>
              <w:rPr>
                <w:rFonts w:ascii="Times New Roman" w:hAnsi="Times New Roman" w:cs="Times New Roman"/>
                <w:b/>
                <w:color w:val="000000"/>
                <w:szCs w:val="24"/>
              </w:rPr>
              <w:t>测试结论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9073" w:type="dxa"/>
            <w:vAlign w:val="center"/>
          </w:tcPr>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 xml:space="preserve">测试结论：完全通过□    部分通过□     失败□     </w:t>
            </w:r>
          </w:p>
          <w:p>
            <w:pPr>
              <w:widowControl w:val="0"/>
              <w:spacing w:before="60" w:after="60" w:line="0" w:lineRule="atLeast"/>
              <w:jc w:val="both"/>
              <w:rPr>
                <w:rFonts w:ascii="Times New Roman" w:hAnsi="Times New Roman" w:eastAsia="仿宋" w:cs="Times New Roman"/>
                <w:sz w:val="28"/>
                <w:szCs w:val="28"/>
                <w:lang w:val="zh-CN"/>
              </w:rPr>
            </w:pP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特别说明：</w:t>
            </w:r>
          </w:p>
          <w:p>
            <w:pPr>
              <w:widowControl w:val="0"/>
              <w:spacing w:before="60" w:after="60" w:line="0" w:lineRule="atLeast"/>
              <w:jc w:val="both"/>
              <w:rPr>
                <w:rFonts w:ascii="Times New Roman" w:hAnsi="Times New Roman" w:cs="Times New Roman"/>
                <w:color w:val="000000"/>
                <w:sz w:val="21"/>
                <w:szCs w:val="21"/>
              </w:rPr>
            </w:pPr>
            <w:r>
              <w:rPr>
                <w:rFonts w:hint="eastAsia" w:ascii="Times New Roman" w:hAnsi="Times New Roman" w:eastAsia="仿宋" w:cs="Times New Roman"/>
                <w:sz w:val="28"/>
                <w:szCs w:val="28"/>
                <w:lang w:val="zh-CN"/>
              </w:rPr>
              <w:t xml:space="preserve">如果测试结论是部分通过或失败，请说明原因、后续系统完善所需时间及应对策略。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9073" w:type="dxa"/>
            <w:vAlign w:val="center"/>
          </w:tcPr>
          <w:p>
            <w:pPr>
              <w:rPr>
                <w:rFonts w:ascii="Times New Roman" w:hAnsi="Times New Roman" w:cs="Times New Roman"/>
                <w:b/>
                <w:bCs/>
                <w:color w:val="000000"/>
                <w:sz w:val="21"/>
                <w:szCs w:val="21"/>
              </w:rPr>
            </w:pPr>
            <w:r>
              <w:rPr>
                <w:rFonts w:ascii="Times New Roman" w:hAnsi="Times New Roman" w:cs="Times New Roman"/>
                <w:b/>
                <w:bCs/>
                <w:color w:val="000000"/>
                <w:sz w:val="21"/>
                <w:szCs w:val="21"/>
              </w:rPr>
              <w:t>测试负责人：                       联系电话（固话和手机）：</w:t>
            </w:r>
          </w:p>
        </w:tc>
      </w:tr>
    </w:tbl>
    <w:p>
      <w:pPr>
        <w:rPr>
          <w:rFonts w:ascii="Times New Roman" w:hAnsi="Times New Roman" w:cs="Times New Roman"/>
        </w:rPr>
      </w:pPr>
    </w:p>
    <w:p>
      <w:pPr>
        <w:widowControl w:val="0"/>
        <w:spacing w:line="0" w:lineRule="atLeast"/>
        <w:jc w:val="both"/>
        <w:rPr>
          <w:rFonts w:ascii="Times New Roman" w:hAnsi="Times New Roman" w:eastAsia="楷体" w:cs="Times New Roman"/>
          <w:szCs w:val="28"/>
        </w:rPr>
      </w:pPr>
      <w:r>
        <w:rPr>
          <w:rFonts w:hint="eastAsia" w:ascii="Times New Roman" w:hAnsi="Times New Roman" w:eastAsia="楷体" w:cs="Times New Roman"/>
          <w:szCs w:val="28"/>
        </w:rPr>
        <w:t>说明：测试结束后，各证券公司、信息商和参测基金公司等应收集各自技术系统的测试情况，并于测试当日（第一次：2023年9月2日，第二次：2023年9月9日）20:00之前通过电子邮件提交测试报告（无需盖章），邮件主题和附件名称均为：机构名称+退市可转债业务第N次全网测试报告，收件邮箱为：</w:t>
      </w:r>
      <w:r>
        <w:fldChar w:fldCharType="begin"/>
      </w:r>
      <w:r>
        <w:instrText xml:space="preserve"> HYPERLINK "mailto:techservice@neeq.com.cn" </w:instrText>
      </w:r>
      <w:r>
        <w:fldChar w:fldCharType="separate"/>
      </w:r>
      <w:r>
        <w:rPr>
          <w:rFonts w:hint="eastAsia" w:ascii="Times New Roman" w:hAnsi="Times New Roman" w:eastAsia="楷体" w:cs="Times New Roman"/>
          <w:szCs w:val="28"/>
        </w:rPr>
        <w:t>techservice@neeq.com.cn</w:t>
      </w:r>
      <w:r>
        <w:rPr>
          <w:rFonts w:hint="eastAsia" w:ascii="Times New Roman" w:hAnsi="Times New Roman" w:eastAsia="楷体" w:cs="Times New Roman"/>
          <w:szCs w:val="28"/>
        </w:rPr>
        <w:fldChar w:fldCharType="end"/>
      </w:r>
      <w:r>
        <w:rPr>
          <w:rFonts w:hint="eastAsia" w:ascii="Times New Roman" w:hAnsi="Times New Roman" w:eastAsia="楷体" w:cs="Times New Roman"/>
          <w:szCs w:val="28"/>
        </w:rPr>
        <w:t>。</w:t>
      </w:r>
    </w:p>
    <w:p>
      <w:pPr>
        <w:widowControl w:val="0"/>
        <w:spacing w:line="0" w:lineRule="atLeast"/>
        <w:jc w:val="both"/>
        <w:rPr>
          <w:rFonts w:ascii="Times New Roman" w:hAnsi="Times New Roman" w:eastAsia="楷体" w:cs="Times New Roman"/>
          <w:szCs w:val="28"/>
        </w:rPr>
      </w:pPr>
    </w:p>
    <w:sectPr>
      <w:footerReference r:id="rId3" w:type="default"/>
      <w:footerReference r:id="rId4" w:type="even"/>
      <w:pgSz w:w="11906" w:h="16838"/>
      <w:pgMar w:top="2098" w:right="1588" w:bottom="1985" w:left="1588" w:header="907" w:footer="907" w:gutter="0"/>
      <w:pgNumType w:fmt="numberInDash"/>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829279"/>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575139"/>
    </w:sdtPr>
    <w:sdtEndPr>
      <w:rPr>
        <w:rFonts w:asciiTheme="minorEastAsia" w:hAnsiTheme="minorEastAsia" w:eastAsiaTheme="minorEastAsia"/>
        <w:sz w:val="28"/>
        <w:szCs w:val="28"/>
      </w:rPr>
    </w:sdtEndPr>
    <w:sdtContent>
      <w:p>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6C05AB"/>
    <w:multiLevelType w:val="multilevel"/>
    <w:tmpl w:val="6D6C05A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evenAndOddHeaders w:val="true"/>
  <w:drawingGridHorizontalSpacing w:val="120"/>
  <w:drawingGridVerticalSpacing w:val="163"/>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0DBC"/>
    <w:rsid w:val="00022D71"/>
    <w:rsid w:val="00036C81"/>
    <w:rsid w:val="00062493"/>
    <w:rsid w:val="00071E73"/>
    <w:rsid w:val="00073E37"/>
    <w:rsid w:val="000839B8"/>
    <w:rsid w:val="0008561D"/>
    <w:rsid w:val="00093082"/>
    <w:rsid w:val="000A0F22"/>
    <w:rsid w:val="000A1B36"/>
    <w:rsid w:val="000C7B85"/>
    <w:rsid w:val="000D3E49"/>
    <w:rsid w:val="000D584F"/>
    <w:rsid w:val="000E6AB0"/>
    <w:rsid w:val="000F0236"/>
    <w:rsid w:val="000F2CCB"/>
    <w:rsid w:val="000F5AC5"/>
    <w:rsid w:val="00105BB3"/>
    <w:rsid w:val="001110A0"/>
    <w:rsid w:val="00111651"/>
    <w:rsid w:val="00125487"/>
    <w:rsid w:val="00131AD9"/>
    <w:rsid w:val="001349CD"/>
    <w:rsid w:val="00135EEC"/>
    <w:rsid w:val="001475B5"/>
    <w:rsid w:val="00155C9F"/>
    <w:rsid w:val="00157335"/>
    <w:rsid w:val="00183A0E"/>
    <w:rsid w:val="001A4C22"/>
    <w:rsid w:val="001A5FCF"/>
    <w:rsid w:val="001F25F1"/>
    <w:rsid w:val="0022015C"/>
    <w:rsid w:val="00224E2B"/>
    <w:rsid w:val="00241B6C"/>
    <w:rsid w:val="00255946"/>
    <w:rsid w:val="0027497F"/>
    <w:rsid w:val="00277A25"/>
    <w:rsid w:val="002908FE"/>
    <w:rsid w:val="002B2165"/>
    <w:rsid w:val="002C0AA7"/>
    <w:rsid w:val="002C6E3E"/>
    <w:rsid w:val="002D3965"/>
    <w:rsid w:val="002D77D4"/>
    <w:rsid w:val="002E2BF4"/>
    <w:rsid w:val="002E3919"/>
    <w:rsid w:val="002F3BBC"/>
    <w:rsid w:val="00320938"/>
    <w:rsid w:val="003377DE"/>
    <w:rsid w:val="003442B3"/>
    <w:rsid w:val="00352057"/>
    <w:rsid w:val="00353154"/>
    <w:rsid w:val="00356901"/>
    <w:rsid w:val="00363EF9"/>
    <w:rsid w:val="0037067B"/>
    <w:rsid w:val="003731AE"/>
    <w:rsid w:val="0039656E"/>
    <w:rsid w:val="003A58BF"/>
    <w:rsid w:val="003D7C29"/>
    <w:rsid w:val="003E3AF3"/>
    <w:rsid w:val="003F02EB"/>
    <w:rsid w:val="003F7E93"/>
    <w:rsid w:val="00403CA8"/>
    <w:rsid w:val="00403D3B"/>
    <w:rsid w:val="00410694"/>
    <w:rsid w:val="00420EB0"/>
    <w:rsid w:val="0042562B"/>
    <w:rsid w:val="004312F9"/>
    <w:rsid w:val="00441AFD"/>
    <w:rsid w:val="0044291A"/>
    <w:rsid w:val="004443E0"/>
    <w:rsid w:val="00446D4E"/>
    <w:rsid w:val="0045594B"/>
    <w:rsid w:val="004721F3"/>
    <w:rsid w:val="00473E65"/>
    <w:rsid w:val="004B38A5"/>
    <w:rsid w:val="004B3E44"/>
    <w:rsid w:val="004C0763"/>
    <w:rsid w:val="004C5EB6"/>
    <w:rsid w:val="004D1432"/>
    <w:rsid w:val="004F3625"/>
    <w:rsid w:val="005020FD"/>
    <w:rsid w:val="005054FF"/>
    <w:rsid w:val="00511688"/>
    <w:rsid w:val="00512C68"/>
    <w:rsid w:val="00521F59"/>
    <w:rsid w:val="005251BF"/>
    <w:rsid w:val="00532D7E"/>
    <w:rsid w:val="0054351F"/>
    <w:rsid w:val="005A0E98"/>
    <w:rsid w:val="005C37D4"/>
    <w:rsid w:val="0060046C"/>
    <w:rsid w:val="006230E4"/>
    <w:rsid w:val="00631170"/>
    <w:rsid w:val="006313DE"/>
    <w:rsid w:val="00631CD1"/>
    <w:rsid w:val="00640157"/>
    <w:rsid w:val="006442FB"/>
    <w:rsid w:val="006561A8"/>
    <w:rsid w:val="00664B00"/>
    <w:rsid w:val="006835A5"/>
    <w:rsid w:val="00687867"/>
    <w:rsid w:val="006A7719"/>
    <w:rsid w:val="006B2891"/>
    <w:rsid w:val="006E26E3"/>
    <w:rsid w:val="0071796D"/>
    <w:rsid w:val="00732877"/>
    <w:rsid w:val="00740269"/>
    <w:rsid w:val="00745F42"/>
    <w:rsid w:val="00755304"/>
    <w:rsid w:val="00755BE7"/>
    <w:rsid w:val="00766CAD"/>
    <w:rsid w:val="00773482"/>
    <w:rsid w:val="00777620"/>
    <w:rsid w:val="00777725"/>
    <w:rsid w:val="00781C1F"/>
    <w:rsid w:val="007941AD"/>
    <w:rsid w:val="00795795"/>
    <w:rsid w:val="00796962"/>
    <w:rsid w:val="007A139C"/>
    <w:rsid w:val="007A4430"/>
    <w:rsid w:val="007B5118"/>
    <w:rsid w:val="007C0DFA"/>
    <w:rsid w:val="007C552D"/>
    <w:rsid w:val="007D17B7"/>
    <w:rsid w:val="0080605A"/>
    <w:rsid w:val="00814AB4"/>
    <w:rsid w:val="00822B95"/>
    <w:rsid w:val="00831088"/>
    <w:rsid w:val="008315BC"/>
    <w:rsid w:val="008374E7"/>
    <w:rsid w:val="00853FB6"/>
    <w:rsid w:val="0088000E"/>
    <w:rsid w:val="008828D2"/>
    <w:rsid w:val="008950CB"/>
    <w:rsid w:val="008A46E3"/>
    <w:rsid w:val="008B231E"/>
    <w:rsid w:val="008B53D9"/>
    <w:rsid w:val="008C6792"/>
    <w:rsid w:val="008D36E9"/>
    <w:rsid w:val="008F7C60"/>
    <w:rsid w:val="009268B0"/>
    <w:rsid w:val="009268C2"/>
    <w:rsid w:val="00950C8E"/>
    <w:rsid w:val="00975624"/>
    <w:rsid w:val="00976D26"/>
    <w:rsid w:val="00984111"/>
    <w:rsid w:val="009D4B1F"/>
    <w:rsid w:val="009E6114"/>
    <w:rsid w:val="00A14DB1"/>
    <w:rsid w:val="00A14E2F"/>
    <w:rsid w:val="00A33717"/>
    <w:rsid w:val="00A529BC"/>
    <w:rsid w:val="00A52AB6"/>
    <w:rsid w:val="00A85109"/>
    <w:rsid w:val="00A86A40"/>
    <w:rsid w:val="00AA2DC3"/>
    <w:rsid w:val="00AB27F6"/>
    <w:rsid w:val="00AB77D1"/>
    <w:rsid w:val="00AC1026"/>
    <w:rsid w:val="00AD233B"/>
    <w:rsid w:val="00AD40B4"/>
    <w:rsid w:val="00AD6073"/>
    <w:rsid w:val="00AE093B"/>
    <w:rsid w:val="00AF1799"/>
    <w:rsid w:val="00B10E20"/>
    <w:rsid w:val="00B2721E"/>
    <w:rsid w:val="00B30166"/>
    <w:rsid w:val="00B348BD"/>
    <w:rsid w:val="00B51D87"/>
    <w:rsid w:val="00B53084"/>
    <w:rsid w:val="00B537AD"/>
    <w:rsid w:val="00B6474D"/>
    <w:rsid w:val="00B66D7D"/>
    <w:rsid w:val="00B75399"/>
    <w:rsid w:val="00BC49B5"/>
    <w:rsid w:val="00BC5765"/>
    <w:rsid w:val="00BC60A3"/>
    <w:rsid w:val="00BD0536"/>
    <w:rsid w:val="00BE4048"/>
    <w:rsid w:val="00C221D0"/>
    <w:rsid w:val="00C253FC"/>
    <w:rsid w:val="00C4374D"/>
    <w:rsid w:val="00C53134"/>
    <w:rsid w:val="00C5715A"/>
    <w:rsid w:val="00C66750"/>
    <w:rsid w:val="00C80F74"/>
    <w:rsid w:val="00C81296"/>
    <w:rsid w:val="00C90C4A"/>
    <w:rsid w:val="00C9302F"/>
    <w:rsid w:val="00C945C1"/>
    <w:rsid w:val="00C94C3D"/>
    <w:rsid w:val="00C96496"/>
    <w:rsid w:val="00C96FD8"/>
    <w:rsid w:val="00CC3CAB"/>
    <w:rsid w:val="00CD4068"/>
    <w:rsid w:val="00CD4C09"/>
    <w:rsid w:val="00CF5C6F"/>
    <w:rsid w:val="00D001B1"/>
    <w:rsid w:val="00D023BB"/>
    <w:rsid w:val="00D23C86"/>
    <w:rsid w:val="00D438F9"/>
    <w:rsid w:val="00D57717"/>
    <w:rsid w:val="00D62B42"/>
    <w:rsid w:val="00D779CC"/>
    <w:rsid w:val="00D80991"/>
    <w:rsid w:val="00D95EFD"/>
    <w:rsid w:val="00D96384"/>
    <w:rsid w:val="00DA0887"/>
    <w:rsid w:val="00DB0817"/>
    <w:rsid w:val="00DC6F76"/>
    <w:rsid w:val="00DE7D1E"/>
    <w:rsid w:val="00E057FD"/>
    <w:rsid w:val="00E13D4D"/>
    <w:rsid w:val="00E42048"/>
    <w:rsid w:val="00E446F4"/>
    <w:rsid w:val="00E53D55"/>
    <w:rsid w:val="00E60EB1"/>
    <w:rsid w:val="00E62A19"/>
    <w:rsid w:val="00E6719C"/>
    <w:rsid w:val="00E736AE"/>
    <w:rsid w:val="00E751C4"/>
    <w:rsid w:val="00E80C62"/>
    <w:rsid w:val="00E8780F"/>
    <w:rsid w:val="00E93F7A"/>
    <w:rsid w:val="00E95E00"/>
    <w:rsid w:val="00ED605A"/>
    <w:rsid w:val="00EF1652"/>
    <w:rsid w:val="00F2294B"/>
    <w:rsid w:val="00F321C9"/>
    <w:rsid w:val="00F5408A"/>
    <w:rsid w:val="00F54DD0"/>
    <w:rsid w:val="00F55664"/>
    <w:rsid w:val="00F60F2A"/>
    <w:rsid w:val="00F7695C"/>
    <w:rsid w:val="00F77E4D"/>
    <w:rsid w:val="00FA71FA"/>
    <w:rsid w:val="00FB6160"/>
    <w:rsid w:val="00FC028F"/>
    <w:rsid w:val="00FC303A"/>
    <w:rsid w:val="00FD5253"/>
    <w:rsid w:val="00FD5C12"/>
    <w:rsid w:val="04DD4D41"/>
    <w:rsid w:val="065B15E4"/>
    <w:rsid w:val="14472F9B"/>
    <w:rsid w:val="1972401A"/>
    <w:rsid w:val="1ADD75E3"/>
    <w:rsid w:val="1EFFB77F"/>
    <w:rsid w:val="1FFFEC2E"/>
    <w:rsid w:val="202B1BD0"/>
    <w:rsid w:val="2B6134B5"/>
    <w:rsid w:val="2FFBD6D7"/>
    <w:rsid w:val="35D21E1F"/>
    <w:rsid w:val="385E803D"/>
    <w:rsid w:val="396D4E42"/>
    <w:rsid w:val="3B6EA34E"/>
    <w:rsid w:val="3DDA2C67"/>
    <w:rsid w:val="3F1F171D"/>
    <w:rsid w:val="3FBDA652"/>
    <w:rsid w:val="3FEA2599"/>
    <w:rsid w:val="3FEF57B4"/>
    <w:rsid w:val="42BF022A"/>
    <w:rsid w:val="44E67CEF"/>
    <w:rsid w:val="45DE94B0"/>
    <w:rsid w:val="490F0B64"/>
    <w:rsid w:val="49DC7913"/>
    <w:rsid w:val="4D07739D"/>
    <w:rsid w:val="4EE7ECD1"/>
    <w:rsid w:val="4FFF3F3D"/>
    <w:rsid w:val="53D17AAE"/>
    <w:rsid w:val="5C7FB579"/>
    <w:rsid w:val="5E1B2CA8"/>
    <w:rsid w:val="5EBC24CD"/>
    <w:rsid w:val="5FA94430"/>
    <w:rsid w:val="63FF2049"/>
    <w:rsid w:val="6C7D62BA"/>
    <w:rsid w:val="6D7C2B3B"/>
    <w:rsid w:val="6FBBA08D"/>
    <w:rsid w:val="70E7271A"/>
    <w:rsid w:val="7377DC02"/>
    <w:rsid w:val="73FC14E3"/>
    <w:rsid w:val="76AB595F"/>
    <w:rsid w:val="775DC621"/>
    <w:rsid w:val="775DF6C5"/>
    <w:rsid w:val="776FA0D7"/>
    <w:rsid w:val="77EDB4BD"/>
    <w:rsid w:val="7BD7030C"/>
    <w:rsid w:val="7CEF0A80"/>
    <w:rsid w:val="7DBE7DFD"/>
    <w:rsid w:val="7DDA01F5"/>
    <w:rsid w:val="7DDFD0F6"/>
    <w:rsid w:val="7EEBEC3C"/>
    <w:rsid w:val="7F2FD498"/>
    <w:rsid w:val="7F6E5E27"/>
    <w:rsid w:val="7FD909E7"/>
    <w:rsid w:val="7FDFB60F"/>
    <w:rsid w:val="7FEF2010"/>
    <w:rsid w:val="AB3F114C"/>
    <w:rsid w:val="ADDD31DF"/>
    <w:rsid w:val="B7FDEF5C"/>
    <w:rsid w:val="BFDE7AB5"/>
    <w:rsid w:val="CFFEAD88"/>
    <w:rsid w:val="D7EDDA7D"/>
    <w:rsid w:val="DD373AF2"/>
    <w:rsid w:val="DED98AE6"/>
    <w:rsid w:val="DF6F2C94"/>
    <w:rsid w:val="DFBF9D4F"/>
    <w:rsid w:val="DFFC0726"/>
    <w:rsid w:val="E77B57DF"/>
    <w:rsid w:val="EFBA26AC"/>
    <w:rsid w:val="EFEB79C7"/>
    <w:rsid w:val="EFF7770C"/>
    <w:rsid w:val="F1DF3626"/>
    <w:rsid w:val="F6FB0CA0"/>
    <w:rsid w:val="F73FBB4B"/>
    <w:rsid w:val="F7BDB638"/>
    <w:rsid w:val="FAD5440C"/>
    <w:rsid w:val="FAEED81E"/>
    <w:rsid w:val="FB7E3938"/>
    <w:rsid w:val="FB7FC308"/>
    <w:rsid w:val="FB9BAA95"/>
    <w:rsid w:val="FBB7FC55"/>
    <w:rsid w:val="FDFFF0C1"/>
    <w:rsid w:val="FEC7AC80"/>
    <w:rsid w:val="FEFF556C"/>
    <w:rsid w:val="FF7A4EBC"/>
    <w:rsid w:val="FFEE92C2"/>
    <w:rsid w:val="FFF7A420"/>
    <w:rsid w:val="FFFFA37C"/>
    <w:rsid w:val="FFFFA750"/>
    <w:rsid w:val="FFFFEB67"/>
    <w:rsid w:val="FFFFE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kern w:val="2"/>
      <w:sz w:val="24"/>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39"/>
    <w:pPr>
      <w:spacing w:line="400" w:lineRule="exact"/>
      <w:ind w:left="2520" w:leftChars="1200" w:firstLine="200" w:firstLineChars="200"/>
      <w:jc w:val="both"/>
    </w:pPr>
    <w:rPr>
      <w:rFonts w:ascii="Times New Roman" w:hAnsi="Times New Roman" w:eastAsia="仿宋" w:cs="Times New Roman"/>
      <w:sz w:val="21"/>
      <w:szCs w:val="24"/>
    </w:rPr>
  </w:style>
  <w:style w:type="paragraph" w:styleId="3">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4">
    <w:name w:val="annotation text"/>
    <w:basedOn w:val="1"/>
    <w:link w:val="16"/>
    <w:semiHidden/>
    <w:unhideWhenUsed/>
    <w:qFormat/>
    <w:uiPriority w:val="99"/>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Char"/>
    <w:basedOn w:val="11"/>
    <w:link w:val="7"/>
    <w:qFormat/>
    <w:uiPriority w:val="99"/>
    <w:rPr>
      <w:rFonts w:ascii="Calibri" w:hAnsi="Calibri" w:eastAsia="宋体" w:cs="黑体"/>
      <w:sz w:val="18"/>
      <w:szCs w:val="18"/>
    </w:rPr>
  </w:style>
  <w:style w:type="character" w:customStyle="1" w:styleId="15">
    <w:name w:val="页脚 Char"/>
    <w:basedOn w:val="11"/>
    <w:link w:val="6"/>
    <w:qFormat/>
    <w:uiPriority w:val="99"/>
    <w:rPr>
      <w:rFonts w:ascii="Calibri" w:hAnsi="Calibri" w:eastAsia="宋体" w:cs="黑体"/>
      <w:sz w:val="18"/>
      <w:szCs w:val="18"/>
    </w:rPr>
  </w:style>
  <w:style w:type="character" w:customStyle="1" w:styleId="16">
    <w:name w:val="批注文字 Char"/>
    <w:basedOn w:val="11"/>
    <w:link w:val="4"/>
    <w:semiHidden/>
    <w:qFormat/>
    <w:uiPriority w:val="99"/>
    <w:rPr>
      <w:rFonts w:ascii="Calibri" w:hAnsi="Calibri" w:eastAsia="宋体" w:cs="黑体"/>
      <w:sz w:val="24"/>
    </w:rPr>
  </w:style>
  <w:style w:type="character" w:customStyle="1" w:styleId="17">
    <w:name w:val="批注主题 Char"/>
    <w:basedOn w:val="16"/>
    <w:link w:val="8"/>
    <w:semiHidden/>
    <w:qFormat/>
    <w:uiPriority w:val="99"/>
    <w:rPr>
      <w:rFonts w:ascii="Calibri" w:hAnsi="Calibri" w:eastAsia="宋体" w:cs="黑体"/>
      <w:b/>
      <w:bCs/>
      <w:sz w:val="24"/>
    </w:rPr>
  </w:style>
  <w:style w:type="character" w:customStyle="1" w:styleId="18">
    <w:name w:val="批注框文本 Char"/>
    <w:basedOn w:val="11"/>
    <w:link w:val="5"/>
    <w:semiHidden/>
    <w:qFormat/>
    <w:uiPriority w:val="99"/>
    <w:rPr>
      <w:rFonts w:ascii="Calibri" w:hAnsi="Calibri" w:eastAsia="宋体" w:cs="黑体"/>
      <w:sz w:val="18"/>
      <w:szCs w:val="18"/>
    </w:rPr>
  </w:style>
  <w:style w:type="paragraph" w:customStyle="1" w:styleId="19">
    <w:name w:val="修订1"/>
    <w:hidden/>
    <w:semiHidden/>
    <w:qFormat/>
    <w:uiPriority w:val="99"/>
    <w:rPr>
      <w:rFonts w:ascii="Calibri" w:hAnsi="Calibri" w:eastAsia="宋体" w:cs="黑体"/>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Words>
  <Characters>627</Characters>
  <Lines>5</Lines>
  <Paragraphs>1</Paragraphs>
  <TotalTime>5</TotalTime>
  <ScaleCrop>false</ScaleCrop>
  <LinksUpToDate>false</LinksUpToDate>
  <CharactersWithSpaces>736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2021-12-12T20:54:00Z</dcterms:created>
  <dc:creator>付昱霖fyl</dc:creator>
  <cp:lastModifiedBy>gaoduo</cp:lastModifiedBy>
  <dcterms:modified xsi:type="dcterms:W3CDTF">2023-08-30T16:57:03Z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A8D0766D757F40149F14BBFC003B11F9</vt:lpwstr>
  </property>
</Properties>
</file>