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Lines="0" w:line="600" w:lineRule="exact"/>
        <w:ind w:firstLine="0" w:firstLineChars="0"/>
        <w:jc w:val="center"/>
        <w:outlineLvl w:val="0"/>
        <w:rPr>
          <w:rFonts w:eastAsia="方正大标宋简体"/>
          <w:sz w:val="42"/>
          <w:szCs w:val="42"/>
        </w:rPr>
      </w:pPr>
      <w:r>
        <w:rPr>
          <w:rFonts w:hint="eastAsia" w:eastAsia="方正大标宋简体"/>
          <w:sz w:val="42"/>
          <w:szCs w:val="42"/>
        </w:rPr>
        <w:t>退市公司可转换公司债券业务</w:t>
      </w:r>
    </w:p>
    <w:p>
      <w:pPr>
        <w:pStyle w:val="3"/>
        <w:spacing w:afterLines="0" w:line="600" w:lineRule="exact"/>
        <w:ind w:firstLine="0" w:firstLineChars="0"/>
        <w:jc w:val="center"/>
        <w:outlineLvl w:val="0"/>
        <w:rPr>
          <w:rFonts w:eastAsia="方正大标宋简体"/>
          <w:sz w:val="42"/>
          <w:szCs w:val="42"/>
        </w:rPr>
      </w:pPr>
      <w:r>
        <w:rPr>
          <w:rFonts w:hint="eastAsia" w:eastAsia="方正大标宋简体"/>
          <w:color w:val="000000" w:themeColor="text1"/>
          <w:sz w:val="42"/>
          <w:szCs w:val="42"/>
          <w14:textFill>
            <w14:solidFill>
              <w14:schemeClr w14:val="tx1"/>
            </w14:solidFill>
          </w14:textFill>
        </w:rPr>
        <w:t>仿真测试</w:t>
      </w:r>
      <w:r>
        <w:rPr>
          <w:rFonts w:eastAsia="方正大标宋简体"/>
          <w:sz w:val="42"/>
          <w:szCs w:val="42"/>
        </w:rPr>
        <w:t>反馈报告</w:t>
      </w:r>
    </w:p>
    <w:p>
      <w:pPr>
        <w:rPr>
          <w:rFonts w:ascii="Times New Roman" w:hAnsi="Times New Roman" w:eastAsia="方正大标宋简体" w:cs="Times New Roman"/>
          <w:sz w:val="42"/>
          <w:szCs w:val="4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9073" w:type="dxa"/>
            <w:vAlign w:val="center"/>
          </w:tcPr>
          <w:p>
            <w:pPr>
              <w:pStyle w:val="13"/>
              <w:spacing w:before="60" w:after="60" w:line="0" w:lineRule="atLeast"/>
              <w:ind w:firstLine="0" w:firstLineChars="0"/>
              <w:rPr>
                <w:rFonts w:ascii="Times New Roman" w:hAnsi="Times New Roman" w:cs="Times New Roman"/>
                <w:b/>
                <w:color w:val="000000"/>
                <w:szCs w:val="24"/>
              </w:rPr>
            </w:pPr>
            <w:r>
              <w:rPr>
                <w:rFonts w:hint="eastAsia" w:ascii="Times New Roman" w:hAnsi="Times New Roman" w:eastAsia="黑体" w:cs="Arial"/>
                <w:sz w:val="28"/>
                <w:szCs w:val="28"/>
              </w:rPr>
              <w:t>一、</w:t>
            </w:r>
            <w:r>
              <w:rPr>
                <w:rFonts w:ascii="Times New Roman" w:hAnsi="Times New Roman" w:eastAsia="黑体" w:cs="Arial"/>
                <w:sz w:val="28"/>
                <w:szCs w:val="28"/>
              </w:rPr>
              <w:t>参测机构名称：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073" w:type="dxa"/>
            <w:vAlign w:val="center"/>
          </w:tcPr>
          <w:p>
            <w:pPr>
              <w:pStyle w:val="13"/>
              <w:spacing w:before="60" w:after="60" w:line="0" w:lineRule="atLeast"/>
              <w:ind w:firstLine="0" w:firstLineChars="0"/>
              <w:rPr>
                <w:rFonts w:ascii="Times New Roman" w:hAnsi="Times New Roman" w:eastAsia="黑体" w:cs="Arial"/>
                <w:sz w:val="28"/>
                <w:szCs w:val="28"/>
              </w:rPr>
            </w:pPr>
            <w:r>
              <w:rPr>
                <w:rFonts w:hint="eastAsia" w:ascii="Times New Roman" w:hAnsi="Times New Roman" w:eastAsia="黑体" w:cs="Arial"/>
                <w:sz w:val="28"/>
                <w:szCs w:val="28"/>
              </w:rPr>
              <w:t>二、</w:t>
            </w:r>
            <w:r>
              <w:rPr>
                <w:rFonts w:ascii="Times New Roman" w:hAnsi="Times New Roman" w:eastAsia="黑体" w:cs="Arial"/>
                <w:sz w:val="28"/>
                <w:szCs w:val="28"/>
              </w:rPr>
              <w:t>测试时间</w:t>
            </w:r>
          </w:p>
          <w:p>
            <w:pPr>
              <w:pStyle w:val="13"/>
              <w:spacing w:before="60" w:after="60" w:line="0" w:lineRule="atLeast"/>
              <w:ind w:firstLine="560"/>
              <w:rPr>
                <w:rFonts w:ascii="Times New Roman" w:hAnsi="Times New Roman" w:eastAsia="仿宋" w:cs="Times New Roman"/>
                <w:sz w:val="28"/>
                <w:szCs w:val="28"/>
              </w:rPr>
            </w:pPr>
            <w:r>
              <w:rPr>
                <w:rFonts w:ascii="Times New Roman" w:hAnsi="Times New Roman" w:eastAsia="仿宋" w:cs="Times New Roman"/>
                <w:sz w:val="28"/>
                <w:szCs w:val="28"/>
              </w:rPr>
              <w:sym w:font="Wingdings 2" w:char="00A3"/>
            </w:r>
            <w:r>
              <w:rPr>
                <w:rFonts w:ascii="Times New Roman" w:hAnsi="Times New Roman" w:eastAsia="仿宋" w:cs="Times New Roman"/>
                <w:sz w:val="28"/>
                <w:szCs w:val="28"/>
              </w:rPr>
              <w:t>第一</w:t>
            </w:r>
            <w:r>
              <w:rPr>
                <w:rFonts w:hint="eastAsia" w:ascii="Times New Roman" w:hAnsi="Times New Roman" w:eastAsia="仿宋" w:cs="Times New Roman"/>
                <w:sz w:val="28"/>
                <w:szCs w:val="28"/>
              </w:rPr>
              <w:t>轮仿真（2023年8月21日至2023年8月25日）</w:t>
            </w:r>
          </w:p>
          <w:p>
            <w:pPr>
              <w:pStyle w:val="13"/>
              <w:spacing w:before="60" w:after="60" w:line="0" w:lineRule="atLeast"/>
              <w:ind w:firstLine="560"/>
              <w:rPr>
                <w:rFonts w:ascii="Times New Roman" w:hAnsi="Times New Roman" w:cs="宋体"/>
                <w:b/>
                <w:bCs/>
                <w:color w:val="000000"/>
                <w:szCs w:val="24"/>
                <w:lang w:val="zh-CN"/>
              </w:rPr>
            </w:pPr>
            <w:r>
              <w:rPr>
                <w:rFonts w:ascii="Times New Roman" w:hAnsi="Times New Roman" w:eastAsia="仿宋" w:cs="Times New Roman"/>
                <w:sz w:val="28"/>
                <w:szCs w:val="28"/>
              </w:rPr>
              <w:sym w:font="Wingdings 2" w:char="00A3"/>
            </w:r>
            <w:r>
              <w:rPr>
                <w:rFonts w:ascii="Times New Roman" w:hAnsi="Times New Roman" w:eastAsia="仿宋" w:cs="Times New Roman"/>
                <w:sz w:val="28"/>
                <w:szCs w:val="28"/>
              </w:rPr>
              <w:t>第</w:t>
            </w:r>
            <w:r>
              <w:rPr>
                <w:rFonts w:hint="eastAsia" w:ascii="Times New Roman" w:hAnsi="Times New Roman" w:eastAsia="仿宋" w:cs="Times New Roman"/>
                <w:sz w:val="28"/>
                <w:szCs w:val="28"/>
              </w:rPr>
              <w:t>二轮仿真（2023 年8月28日至2023年9月1日）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073" w:type="dxa"/>
            <w:vAlign w:val="center"/>
          </w:tcPr>
          <w:p>
            <w:pPr>
              <w:widowControl w:val="0"/>
              <w:autoSpaceDE w:val="0"/>
              <w:autoSpaceDN w:val="0"/>
              <w:adjustRightInd w:val="0"/>
              <w:ind w:left="420" w:hanging="420"/>
              <w:jc w:val="both"/>
              <w:rPr>
                <w:rFonts w:ascii="Times New Roman" w:hAnsi="Times New Roman" w:cs="宋体"/>
                <w:color w:val="000000"/>
                <w:sz w:val="21"/>
                <w:szCs w:val="21"/>
                <w:lang w:val="zh-CN"/>
              </w:rPr>
            </w:pPr>
          </w:p>
          <w:p>
            <w:pPr>
              <w:widowControl w:val="0"/>
              <w:spacing w:before="60" w:after="60" w:line="0" w:lineRule="atLeast"/>
              <w:jc w:val="both"/>
              <w:rPr>
                <w:rFonts w:ascii="Times New Roman" w:hAnsi="Times New Roman" w:eastAsia="仿宋" w:cs="Times New Roman"/>
                <w:sz w:val="28"/>
                <w:szCs w:val="28"/>
              </w:rPr>
            </w:pPr>
            <w:r>
              <w:rPr>
                <w:rFonts w:hint="eastAsia" w:ascii="Times New Roman" w:hAnsi="Times New Roman" w:eastAsia="仿宋" w:cs="Times New Roman"/>
                <w:sz w:val="28"/>
                <w:szCs w:val="28"/>
                <w:lang w:val="zh-CN"/>
              </w:rPr>
              <w:t>1) 是否能正常发送并处理退市可转债转让、回售和转股申报。</w:t>
            </w:r>
          </w:p>
          <w:p>
            <w:pPr>
              <w:widowControl w:val="0"/>
              <w:spacing w:before="60" w:after="60" w:line="0" w:lineRule="atLeast"/>
              <w:jc w:val="both"/>
              <w:rPr>
                <w:rFonts w:ascii="Times New Roman" w:hAnsi="Times New Roman" w:eastAsia="仿宋" w:cs="Times New Roman"/>
                <w:sz w:val="28"/>
                <w:szCs w:val="28"/>
              </w:rPr>
            </w:pPr>
            <w:r>
              <w:rPr>
                <w:rFonts w:hint="eastAsia" w:ascii="Times New Roman" w:hAnsi="Times New Roman" w:eastAsia="仿宋" w:cs="Times New Roman"/>
                <w:sz w:val="28"/>
                <w:szCs w:val="28"/>
                <w:lang w:val="zh-CN"/>
              </w:rPr>
              <w:t>是□</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否□</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不涉及□</w:t>
            </w:r>
          </w:p>
          <w:p>
            <w:pPr>
              <w:widowControl w:val="0"/>
              <w:spacing w:before="60" w:after="60" w:line="0" w:lineRule="atLeast"/>
              <w:jc w:val="both"/>
              <w:rPr>
                <w:rFonts w:ascii="Times New Roman" w:hAnsi="Times New Roman" w:eastAsia="仿宋" w:cs="Times New Roman"/>
                <w:sz w:val="28"/>
                <w:szCs w:val="28"/>
                <w:lang w:val="zh-CN"/>
              </w:rPr>
            </w:pPr>
            <w:r>
              <w:rPr>
                <w:rFonts w:hint="eastAsia" w:ascii="Times New Roman" w:hAnsi="Times New Roman" w:eastAsia="仿宋" w:cs="Times New Roman"/>
                <w:sz w:val="28"/>
                <w:szCs w:val="28"/>
                <w:lang w:val="zh-CN"/>
              </w:rPr>
              <w:t>2)</w:t>
            </w:r>
            <w:r>
              <w:rPr>
                <w:rFonts w:hint="eastAsia" w:ascii="Times New Roman" w:hAnsi="Times New Roman" w:eastAsia="仿宋" w:cs="Times New Roman"/>
                <w:sz w:val="28"/>
                <w:szCs w:val="28"/>
                <w:lang w:val="zh-CN"/>
              </w:rPr>
              <w:tab/>
            </w:r>
            <w:r>
              <w:rPr>
                <w:rFonts w:hint="eastAsia" w:ascii="Times New Roman" w:hAnsi="Times New Roman" w:eastAsia="仿宋" w:cs="Times New Roman"/>
                <w:sz w:val="28"/>
                <w:szCs w:val="28"/>
                <w:lang w:val="zh-CN"/>
              </w:rPr>
              <w:t>是否能正确揭示退市可转债初始化行情与收盘行情。</w:t>
            </w:r>
          </w:p>
          <w:p>
            <w:pPr>
              <w:widowControl w:val="0"/>
              <w:spacing w:before="60" w:after="60" w:line="0" w:lineRule="atLeast"/>
              <w:jc w:val="both"/>
              <w:rPr>
                <w:rFonts w:ascii="Times New Roman" w:hAnsi="Times New Roman" w:eastAsia="仿宋" w:cs="Times New Roman"/>
                <w:sz w:val="28"/>
                <w:szCs w:val="28"/>
              </w:rPr>
            </w:pPr>
            <w:r>
              <w:rPr>
                <w:rFonts w:hint="eastAsia" w:ascii="Times New Roman" w:hAnsi="Times New Roman" w:eastAsia="仿宋" w:cs="Times New Roman"/>
                <w:sz w:val="28"/>
                <w:szCs w:val="28"/>
                <w:lang w:val="zh-CN"/>
              </w:rPr>
              <w:t>是□</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否□  不涉及□</w:t>
            </w:r>
          </w:p>
          <w:p>
            <w:pPr>
              <w:widowControl w:val="0"/>
              <w:spacing w:before="60" w:after="60" w:line="0" w:lineRule="atLeast"/>
              <w:jc w:val="both"/>
              <w:rPr>
                <w:rFonts w:ascii="Times New Roman" w:hAnsi="Times New Roman" w:eastAsia="仿宋" w:cs="Times New Roman"/>
                <w:sz w:val="28"/>
                <w:szCs w:val="28"/>
                <w:lang w:val="zh-CN"/>
              </w:rPr>
            </w:pPr>
            <w:r>
              <w:rPr>
                <w:rFonts w:hint="eastAsia" w:ascii="Times New Roman" w:hAnsi="Times New Roman" w:eastAsia="仿宋" w:cs="Times New Roman"/>
                <w:sz w:val="28"/>
                <w:szCs w:val="28"/>
              </w:rPr>
              <w:t>3</w:t>
            </w:r>
            <w:r>
              <w:rPr>
                <w:rFonts w:hint="eastAsia" w:ascii="Times New Roman" w:hAnsi="Times New Roman" w:eastAsia="仿宋" w:cs="Times New Roman"/>
                <w:sz w:val="28"/>
                <w:szCs w:val="28"/>
                <w:lang w:val="zh-CN"/>
              </w:rPr>
              <w:t>） 是否能根据退市可转债标的股票的投资者适当性信息进行退市可转债转让权限控制。</w:t>
            </w:r>
          </w:p>
          <w:p>
            <w:pPr>
              <w:widowControl w:val="0"/>
              <w:spacing w:before="60" w:after="60" w:line="0" w:lineRule="atLeast"/>
              <w:jc w:val="both"/>
              <w:rPr>
                <w:rFonts w:ascii="Times New Roman" w:hAnsi="Times New Roman" w:eastAsia="仿宋" w:cs="Times New Roman"/>
                <w:sz w:val="28"/>
                <w:szCs w:val="28"/>
              </w:rPr>
            </w:pPr>
            <w:r>
              <w:rPr>
                <w:rFonts w:hint="eastAsia" w:ascii="Times New Roman" w:hAnsi="Times New Roman" w:eastAsia="仿宋" w:cs="Times New Roman"/>
                <w:sz w:val="28"/>
                <w:szCs w:val="28"/>
                <w:lang w:val="zh-CN"/>
              </w:rPr>
              <w:t>是□</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否□  不涉及□</w:t>
            </w:r>
          </w:p>
          <w:p>
            <w:pPr>
              <w:widowControl w:val="0"/>
              <w:spacing w:before="60" w:after="60" w:line="0" w:lineRule="atLeast"/>
              <w:jc w:val="both"/>
              <w:rPr>
                <w:rFonts w:ascii="Times New Roman" w:hAnsi="Times New Roman" w:eastAsia="仿宋" w:cs="Times New Roman"/>
                <w:sz w:val="28"/>
                <w:szCs w:val="28"/>
              </w:rPr>
            </w:pPr>
            <w:r>
              <w:rPr>
                <w:rFonts w:hint="eastAsia" w:ascii="Times New Roman" w:hAnsi="Times New Roman" w:eastAsia="仿宋" w:cs="Times New Roman"/>
                <w:sz w:val="28"/>
                <w:szCs w:val="28"/>
              </w:rPr>
              <w:t>4</w:t>
            </w:r>
            <w:r>
              <w:rPr>
                <w:rFonts w:hint="eastAsia" w:ascii="Times New Roman" w:hAnsi="Times New Roman" w:eastAsia="仿宋" w:cs="Times New Roman"/>
                <w:sz w:val="28"/>
                <w:szCs w:val="28"/>
                <w:lang w:val="zh-CN"/>
              </w:rPr>
              <w:t>）是否能根据中国结算日终数据完成清算交收。</w:t>
            </w:r>
          </w:p>
          <w:p>
            <w:pPr>
              <w:widowControl w:val="0"/>
              <w:spacing w:before="60" w:after="60" w:line="0" w:lineRule="atLeast"/>
              <w:jc w:val="both"/>
              <w:rPr>
                <w:rFonts w:ascii="Times New Roman" w:hAnsi="Times New Roman" w:eastAsia="仿宋" w:cs="Times New Roman"/>
                <w:sz w:val="28"/>
                <w:szCs w:val="28"/>
              </w:rPr>
            </w:pPr>
            <w:r>
              <w:rPr>
                <w:rFonts w:hint="eastAsia" w:ascii="Times New Roman" w:hAnsi="Times New Roman" w:eastAsia="仿宋" w:cs="Times New Roman"/>
                <w:sz w:val="28"/>
                <w:szCs w:val="28"/>
                <w:lang w:val="zh-CN"/>
              </w:rPr>
              <w:t>是□</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否□</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不涉及□</w:t>
            </w:r>
          </w:p>
          <w:p>
            <w:pPr>
              <w:widowControl w:val="0"/>
              <w:spacing w:before="60" w:after="60" w:line="0" w:lineRule="atLeast"/>
              <w:jc w:val="both"/>
              <w:rPr>
                <w:rFonts w:ascii="Times New Roman" w:hAnsi="Times New Roman" w:eastAsia="仿宋" w:cs="Times New Roman"/>
                <w:sz w:val="28"/>
                <w:szCs w:val="28"/>
              </w:rPr>
            </w:pPr>
            <w:r>
              <w:rPr>
                <w:rFonts w:hint="eastAsia" w:ascii="Times New Roman" w:hAnsi="Times New Roman" w:eastAsia="仿宋" w:cs="Times New Roman"/>
                <w:sz w:val="28"/>
                <w:szCs w:val="28"/>
              </w:rPr>
              <w:t>5</w:t>
            </w:r>
            <w:r>
              <w:rPr>
                <w:rFonts w:hint="eastAsia" w:ascii="Times New Roman" w:hAnsi="Times New Roman" w:eastAsia="仿宋" w:cs="Times New Roman"/>
                <w:sz w:val="28"/>
                <w:szCs w:val="28"/>
                <w:lang w:val="zh-CN"/>
              </w:rPr>
              <w:t>）是否验证</w:t>
            </w:r>
            <w:r>
              <w:rPr>
                <w:rFonts w:hint="eastAsia" w:ascii="Times New Roman" w:hAnsi="Times New Roman" w:eastAsia="仿宋" w:cs="Times New Roman"/>
                <w:sz w:val="28"/>
                <w:szCs w:val="28"/>
              </w:rPr>
              <w:t>定向可转债、两网及退市</w:t>
            </w:r>
            <w:r>
              <w:rPr>
                <w:rFonts w:hint="eastAsia" w:ascii="Times New Roman" w:hAnsi="Times New Roman" w:eastAsia="仿宋" w:cs="Times New Roman"/>
                <w:sz w:val="28"/>
                <w:szCs w:val="28"/>
                <w:lang w:eastAsia="zh-CN"/>
              </w:rPr>
              <w:t>股票</w:t>
            </w:r>
            <w:r>
              <w:rPr>
                <w:rFonts w:hint="eastAsia" w:ascii="Times New Roman" w:hAnsi="Times New Roman" w:eastAsia="仿宋" w:cs="Times New Roman"/>
                <w:sz w:val="28"/>
                <w:szCs w:val="28"/>
              </w:rPr>
              <w:t>、</w:t>
            </w:r>
            <w:bookmarkStart w:id="0" w:name="_GoBack"/>
            <w:bookmarkEnd w:id="0"/>
            <w:r>
              <w:rPr>
                <w:rFonts w:hint="eastAsia" w:ascii="Times New Roman" w:hAnsi="Times New Roman" w:eastAsia="仿宋" w:cs="Times New Roman"/>
                <w:sz w:val="28"/>
                <w:szCs w:val="28"/>
              </w:rPr>
              <w:t>优先股、要约、融资融券及普通股票等业务未见异常</w:t>
            </w:r>
            <w:r>
              <w:rPr>
                <w:rFonts w:hint="eastAsia" w:ascii="Times New Roman" w:hAnsi="Times New Roman" w:eastAsia="仿宋" w:cs="Times New Roman"/>
                <w:sz w:val="28"/>
                <w:szCs w:val="28"/>
                <w:lang w:val="zh-CN"/>
              </w:rPr>
              <w:t>。</w:t>
            </w:r>
          </w:p>
          <w:p>
            <w:pPr>
              <w:widowControl w:val="0"/>
              <w:spacing w:before="60" w:after="60" w:line="0" w:lineRule="atLeast"/>
              <w:jc w:val="both"/>
              <w:rPr>
                <w:rFonts w:ascii="Times New Roman" w:hAnsi="Times New Roman" w:eastAsia="仿宋" w:cs="Times New Roman"/>
                <w:sz w:val="28"/>
                <w:szCs w:val="28"/>
                <w:lang w:val="zh-CN"/>
              </w:rPr>
            </w:pPr>
            <w:r>
              <w:rPr>
                <w:rFonts w:hint="eastAsia" w:ascii="Times New Roman" w:hAnsi="Times New Roman" w:eastAsia="仿宋" w:cs="Times New Roman"/>
                <w:sz w:val="28"/>
                <w:szCs w:val="28"/>
                <w:lang w:val="zh-CN"/>
              </w:rPr>
              <w:t>是□</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否□</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不涉及□</w:t>
            </w:r>
          </w:p>
          <w:p>
            <w:pPr>
              <w:widowControl w:val="0"/>
              <w:spacing w:before="60" w:after="60" w:line="0" w:lineRule="atLeast"/>
              <w:jc w:val="both"/>
              <w:rPr>
                <w:rFonts w:ascii="Times New Roman" w:hAnsi="Times New Roman" w:eastAsia="仿宋" w:cs="Times New Roman"/>
                <w:sz w:val="28"/>
                <w:szCs w:val="28"/>
              </w:rPr>
            </w:pPr>
            <w:r>
              <w:rPr>
                <w:rFonts w:hint="eastAsia" w:ascii="Times New Roman" w:hAnsi="Times New Roman" w:eastAsia="仿宋" w:cs="Times New Roman"/>
                <w:sz w:val="28"/>
                <w:szCs w:val="28"/>
              </w:rPr>
              <w:t>6</w:t>
            </w:r>
            <w:r>
              <w:rPr>
                <w:rFonts w:hint="eastAsia" w:ascii="Times New Roman" w:hAnsi="Times New Roman" w:eastAsia="仿宋" w:cs="Times New Roman"/>
                <w:sz w:val="28"/>
                <w:szCs w:val="28"/>
                <w:lang w:val="zh-CN"/>
              </w:rPr>
              <w:t>）周边系统是否满足技术文档要求。</w:t>
            </w:r>
          </w:p>
          <w:p>
            <w:pPr>
              <w:widowControl w:val="0"/>
              <w:spacing w:before="60" w:after="60" w:line="0" w:lineRule="atLeast"/>
              <w:jc w:val="both"/>
              <w:rPr>
                <w:rFonts w:ascii="Times New Roman" w:hAnsi="Times New Roman" w:eastAsia="仿宋" w:cs="Times New Roman"/>
                <w:sz w:val="28"/>
                <w:szCs w:val="28"/>
                <w:lang w:val="zh-CN"/>
              </w:rPr>
            </w:pPr>
            <w:r>
              <w:rPr>
                <w:rFonts w:hint="eastAsia" w:ascii="Times New Roman" w:hAnsi="Times New Roman" w:eastAsia="仿宋" w:cs="Times New Roman"/>
                <w:sz w:val="28"/>
                <w:szCs w:val="28"/>
                <w:lang w:val="zh-CN"/>
              </w:rPr>
              <w:t>是□</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否□</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不涉及□</w:t>
            </w:r>
          </w:p>
          <w:p>
            <w:pPr>
              <w:widowControl w:val="0"/>
              <w:spacing w:before="60" w:after="60" w:line="0" w:lineRule="atLeast"/>
              <w:jc w:val="both"/>
              <w:rPr>
                <w:rFonts w:ascii="Times New Roman" w:hAnsi="Times New Roman" w:eastAsia="仿宋" w:cs="Times New Roman"/>
                <w:sz w:val="28"/>
                <w:szCs w:val="28"/>
              </w:rPr>
            </w:pPr>
          </w:p>
          <w:p>
            <w:pPr>
              <w:widowControl w:val="0"/>
              <w:autoSpaceDE w:val="0"/>
              <w:autoSpaceDN w:val="0"/>
              <w:adjustRightInd w:val="0"/>
              <w:jc w:val="both"/>
              <w:rPr>
                <w:rFonts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9073" w:type="dxa"/>
            <w:vAlign w:val="center"/>
          </w:tcPr>
          <w:p>
            <w:pPr>
              <w:adjustRightInd w:val="0"/>
              <w:snapToGrid w:val="0"/>
              <w:jc w:val="both"/>
              <w:rPr>
                <w:rFonts w:ascii="Times New Roman" w:hAnsi="Times New Roman" w:cs="Times New Roman"/>
                <w:b/>
                <w:color w:val="000000"/>
                <w:szCs w:val="24"/>
              </w:rPr>
            </w:pPr>
            <w:r>
              <w:rPr>
                <w:rFonts w:ascii="Times New Roman" w:hAnsi="Times New Roman" w:cs="Times New Roman"/>
                <w:b/>
                <w:color w:val="000000"/>
                <w:szCs w:val="24"/>
              </w:rPr>
              <w:t>问题记录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9073" w:type="dxa"/>
            <w:vAlign w:val="center"/>
          </w:tcPr>
          <w:p>
            <w:pPr>
              <w:widowControl w:val="0"/>
              <w:numPr>
                <w:ilvl w:val="0"/>
                <w:numId w:val="1"/>
              </w:numPr>
              <w:jc w:val="both"/>
              <w:rPr>
                <w:rFonts w:ascii="Times New Roman" w:hAnsi="Times New Roman" w:cs="Times New Roman"/>
                <w:color w:val="000000"/>
                <w:sz w:val="21"/>
                <w:szCs w:val="21"/>
              </w:rPr>
            </w:pPr>
          </w:p>
          <w:p>
            <w:pPr>
              <w:widowControl w:val="0"/>
              <w:numPr>
                <w:ilvl w:val="0"/>
                <w:numId w:val="1"/>
              </w:numPr>
              <w:jc w:val="both"/>
              <w:rPr>
                <w:rFonts w:ascii="Times New Roman" w:hAnsi="Times New Roman" w:cs="Times New Roman"/>
                <w:color w:val="000000"/>
                <w:sz w:val="21"/>
                <w:szCs w:val="21"/>
              </w:rPr>
            </w:pPr>
          </w:p>
          <w:p>
            <w:pPr>
              <w:ind w:firstLine="420" w:firstLineChars="200"/>
              <w:jc w:val="both"/>
              <w:rPr>
                <w:rFonts w:ascii="Times New Roman" w:hAnsi="Times New Roman" w:cs="Times New Roman"/>
                <w:i/>
                <w:color w:val="000000"/>
                <w:sz w:val="21"/>
                <w:szCs w:val="21"/>
              </w:rPr>
            </w:pPr>
            <w:r>
              <w:rPr>
                <w:rFonts w:ascii="Times New Roman" w:hAnsi="Times New Roman" w:cs="Times New Roman"/>
                <w:i/>
                <w:color w:val="000000"/>
                <w:sz w:val="21"/>
                <w:szCs w:val="21"/>
              </w:rPr>
              <w:t>注：测试中发现的问题，请在本栏描述。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9073" w:type="dxa"/>
            <w:vAlign w:val="center"/>
          </w:tcPr>
          <w:p>
            <w:pPr>
              <w:adjustRightInd w:val="0"/>
              <w:snapToGrid w:val="0"/>
              <w:jc w:val="both"/>
              <w:rPr>
                <w:rFonts w:ascii="Times New Roman" w:hAnsi="Times New Roman" w:cs="Times New Roman"/>
                <w:b/>
                <w:color w:val="000000"/>
                <w:szCs w:val="24"/>
              </w:rPr>
            </w:pPr>
            <w:r>
              <w:rPr>
                <w:rFonts w:ascii="Times New Roman" w:hAnsi="Times New Roman" w:cs="Times New Roman"/>
                <w:b/>
                <w:color w:val="000000"/>
                <w:szCs w:val="24"/>
              </w:rPr>
              <w:t>测试结论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9073" w:type="dxa"/>
            <w:vAlign w:val="center"/>
          </w:tcPr>
          <w:p>
            <w:pPr>
              <w:widowControl w:val="0"/>
              <w:spacing w:before="60" w:after="60" w:line="0" w:lineRule="atLeast"/>
              <w:jc w:val="both"/>
              <w:rPr>
                <w:rFonts w:ascii="Times New Roman" w:hAnsi="Times New Roman" w:eastAsia="仿宋" w:cs="Times New Roman"/>
                <w:sz w:val="28"/>
                <w:szCs w:val="28"/>
                <w:lang w:val="zh-CN"/>
              </w:rPr>
            </w:pPr>
            <w:r>
              <w:rPr>
                <w:rFonts w:hint="eastAsia" w:ascii="Times New Roman" w:hAnsi="Times New Roman" w:eastAsia="仿宋" w:cs="Times New Roman"/>
                <w:sz w:val="28"/>
                <w:szCs w:val="28"/>
                <w:lang w:val="zh-CN"/>
              </w:rPr>
              <w:t xml:space="preserve">测试结论：完全通过□    部分通过□     失败□     </w:t>
            </w:r>
          </w:p>
          <w:p>
            <w:pPr>
              <w:widowControl w:val="0"/>
              <w:spacing w:before="60" w:after="60" w:line="0" w:lineRule="atLeast"/>
              <w:jc w:val="both"/>
              <w:rPr>
                <w:rFonts w:ascii="Times New Roman" w:hAnsi="Times New Roman" w:eastAsia="仿宋" w:cs="Times New Roman"/>
                <w:sz w:val="28"/>
                <w:szCs w:val="28"/>
                <w:lang w:val="zh-CN"/>
              </w:rPr>
            </w:pPr>
          </w:p>
          <w:p>
            <w:pPr>
              <w:widowControl w:val="0"/>
              <w:spacing w:before="60" w:after="60" w:line="0" w:lineRule="atLeast"/>
              <w:jc w:val="both"/>
              <w:rPr>
                <w:rFonts w:ascii="Times New Roman" w:hAnsi="Times New Roman" w:eastAsia="仿宋" w:cs="Times New Roman"/>
                <w:sz w:val="28"/>
                <w:szCs w:val="28"/>
                <w:lang w:val="zh-CN"/>
              </w:rPr>
            </w:pPr>
            <w:r>
              <w:rPr>
                <w:rFonts w:hint="eastAsia" w:ascii="Times New Roman" w:hAnsi="Times New Roman" w:eastAsia="仿宋" w:cs="Times New Roman"/>
                <w:sz w:val="28"/>
                <w:szCs w:val="28"/>
                <w:lang w:val="zh-CN"/>
              </w:rPr>
              <w:t>特别说明：</w:t>
            </w:r>
          </w:p>
          <w:p>
            <w:pPr>
              <w:widowControl w:val="0"/>
              <w:spacing w:before="60" w:after="60" w:line="0" w:lineRule="atLeast"/>
              <w:jc w:val="both"/>
              <w:rPr>
                <w:rFonts w:ascii="Times New Roman" w:hAnsi="Times New Roman" w:cs="Times New Roman"/>
                <w:color w:val="000000"/>
                <w:sz w:val="21"/>
                <w:szCs w:val="21"/>
              </w:rPr>
            </w:pPr>
            <w:r>
              <w:rPr>
                <w:rFonts w:hint="eastAsia" w:ascii="Times New Roman" w:hAnsi="Times New Roman" w:eastAsia="仿宋" w:cs="Times New Roman"/>
                <w:sz w:val="28"/>
                <w:szCs w:val="28"/>
                <w:lang w:val="zh-CN"/>
              </w:rPr>
              <w:t xml:space="preserve">如果测试结论是部分通过或失败，请说明原因、后续系统完善所需时间及应对策略。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9" w:hRule="atLeast"/>
          <w:jc w:val="center"/>
        </w:trPr>
        <w:tc>
          <w:tcPr>
            <w:tcW w:w="9073" w:type="dxa"/>
            <w:vAlign w:val="center"/>
          </w:tcPr>
          <w:p>
            <w:pPr>
              <w:rPr>
                <w:rFonts w:ascii="Times New Roman" w:hAnsi="Times New Roman" w:cs="Times New Roman"/>
                <w:b/>
                <w:bCs/>
                <w:color w:val="000000"/>
                <w:sz w:val="21"/>
                <w:szCs w:val="21"/>
              </w:rPr>
            </w:pPr>
            <w:r>
              <w:rPr>
                <w:rFonts w:ascii="Times New Roman" w:hAnsi="Times New Roman" w:cs="Times New Roman"/>
                <w:b/>
                <w:bCs/>
                <w:color w:val="000000"/>
                <w:sz w:val="21"/>
                <w:szCs w:val="21"/>
              </w:rPr>
              <w:t>测试负责人：                       联系电话（固话和手机）：</w:t>
            </w:r>
          </w:p>
        </w:tc>
      </w:tr>
    </w:tbl>
    <w:p>
      <w:pPr>
        <w:widowControl w:val="0"/>
        <w:spacing w:line="0" w:lineRule="atLeast"/>
        <w:jc w:val="both"/>
        <w:rPr>
          <w:rFonts w:ascii="Times New Roman" w:hAnsi="Times New Roman" w:eastAsia="楷体" w:cs="Times New Roman"/>
          <w:szCs w:val="28"/>
        </w:rPr>
      </w:pPr>
      <w:r>
        <w:rPr>
          <w:rFonts w:hint="eastAsia" w:ascii="Times New Roman" w:hAnsi="Times New Roman" w:eastAsia="楷体" w:cs="Times New Roman"/>
          <w:szCs w:val="28"/>
        </w:rPr>
        <w:t>说明：测试结束后，各证券公司应收集各自技术系统的测试情况，并于测试结束当日（第一轮：2023年8月25日，第二轮：2023年9月1日）17:00之前通过电子邮件提交测试报告（无需盖章）。各参测信息商、基金公司、QFII、RQFII应按上述时间要求通过电子邮件向全国股转公司提交测试报告（无需盖章），邮件主题和附件名称均为：机构名称+退市可转债</w:t>
      </w:r>
      <w:r>
        <w:rPr>
          <w:rFonts w:hint="eastAsia" w:ascii="Times New Roman" w:hAnsi="Times New Roman" w:eastAsia="楷体" w:cs="Times New Roman"/>
          <w:szCs w:val="28"/>
          <w:lang w:val="en"/>
        </w:rPr>
        <w:t>业务第</w:t>
      </w:r>
      <w:r>
        <w:rPr>
          <w:rFonts w:hint="eastAsia" w:ascii="Times New Roman" w:hAnsi="Times New Roman" w:eastAsia="楷体" w:cs="Times New Roman"/>
          <w:szCs w:val="28"/>
        </w:rPr>
        <w:t>N轮仿真测试报告，收件邮箱为：</w:t>
      </w:r>
      <w:r>
        <w:fldChar w:fldCharType="begin"/>
      </w:r>
      <w:r>
        <w:instrText xml:space="preserve"> HYPERLINK "mailto:techservice@neeq.com.cn" </w:instrText>
      </w:r>
      <w:r>
        <w:fldChar w:fldCharType="separate"/>
      </w:r>
      <w:r>
        <w:rPr>
          <w:rFonts w:hint="eastAsia" w:ascii="Times New Roman" w:hAnsi="Times New Roman" w:eastAsia="楷体" w:cs="Times New Roman"/>
          <w:szCs w:val="28"/>
        </w:rPr>
        <w:t>techservice@neeq.com.cn</w:t>
      </w:r>
      <w:r>
        <w:rPr>
          <w:rFonts w:hint="eastAsia" w:ascii="Times New Roman" w:hAnsi="Times New Roman" w:eastAsia="楷体" w:cs="Times New Roman"/>
          <w:szCs w:val="28"/>
        </w:rPr>
        <w:fldChar w:fldCharType="end"/>
      </w:r>
      <w:r>
        <w:rPr>
          <w:rFonts w:hint="eastAsia" w:ascii="Times New Roman" w:hAnsi="Times New Roman" w:eastAsia="楷体" w:cs="Times New Roman"/>
          <w:szCs w:val="28"/>
        </w:rPr>
        <w:t>。</w:t>
      </w:r>
    </w:p>
    <w:sectPr>
      <w:footerReference r:id="rId3" w:type="default"/>
      <w:footerReference r:id="rId4" w:type="even"/>
      <w:pgSz w:w="11906" w:h="16838"/>
      <w:pgMar w:top="1758" w:right="1588" w:bottom="1758" w:left="1588" w:header="907" w:footer="907" w:gutter="0"/>
      <w:pgNumType w:fmt="numberInDash"/>
      <w:cols w:space="720" w:num="1"/>
      <w:docGrid w:type="linesAndChar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大标宋简体">
    <w:altName w:val="方正书宋_GBK"/>
    <w:panose1 w:val="02010601030101010101"/>
    <w:charset w:val="86"/>
    <w:family w:val="auto"/>
    <w:pitch w:val="default"/>
    <w:sig w:usb0="00000000" w:usb1="00000000" w:usb2="0000001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Wingdings 2">
    <w:panose1 w:val="05020102010507070707"/>
    <w:charset w:val="02"/>
    <w:family w:val="roman"/>
    <w:pitch w:val="default"/>
    <w:sig w:usb0="00000000" w:usb1="00000000" w:usb2="00000000" w:usb3="00000000" w:csb0="8000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1829279"/>
    </w:sdtPr>
    <w:sdtEndPr>
      <w:rPr>
        <w:rFonts w:asciiTheme="minorEastAsia" w:hAnsiTheme="minorEastAsia" w:eastAsiaTheme="minorEastAsia"/>
        <w:sz w:val="28"/>
        <w:szCs w:val="28"/>
      </w:rPr>
    </w:sdtEndPr>
    <w:sdtContent>
      <w:p>
        <w:pPr>
          <w:pStyle w:val="6"/>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8575139"/>
    </w:sdtPr>
    <w:sdtEndPr>
      <w:rPr>
        <w:rFonts w:asciiTheme="minorEastAsia" w:hAnsiTheme="minorEastAsia" w:eastAsiaTheme="minorEastAsia"/>
        <w:sz w:val="28"/>
        <w:szCs w:val="28"/>
      </w:rPr>
    </w:sdtEndPr>
    <w:sdtContent>
      <w:p>
        <w:pPr>
          <w:pStyle w:val="6"/>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6C05AB"/>
    <w:multiLevelType w:val="multilevel"/>
    <w:tmpl w:val="6D6C05AB"/>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bordersDoNotSurroundHeader w:val="true"/>
  <w:bordersDoNotSurroundFooter w:val="true"/>
  <w:documentProtection w:enforcement="0"/>
  <w:defaultTabStop w:val="420"/>
  <w:evenAndOddHeaders w:val="true"/>
  <w:drawingGridHorizontalSpacing w:val="120"/>
  <w:drawingGridVerticalSpacing w:val="163"/>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8BD"/>
    <w:rsid w:val="00010DBC"/>
    <w:rsid w:val="00022D71"/>
    <w:rsid w:val="00036C81"/>
    <w:rsid w:val="00047534"/>
    <w:rsid w:val="00071E73"/>
    <w:rsid w:val="00073E37"/>
    <w:rsid w:val="000839B8"/>
    <w:rsid w:val="0008561D"/>
    <w:rsid w:val="00093082"/>
    <w:rsid w:val="000A0F22"/>
    <w:rsid w:val="000A1B36"/>
    <w:rsid w:val="000C7B85"/>
    <w:rsid w:val="000D3E49"/>
    <w:rsid w:val="000D584F"/>
    <w:rsid w:val="000E6AB0"/>
    <w:rsid w:val="000F0236"/>
    <w:rsid w:val="000F2CCB"/>
    <w:rsid w:val="000F5AC5"/>
    <w:rsid w:val="001026EC"/>
    <w:rsid w:val="00105BB3"/>
    <w:rsid w:val="001110A0"/>
    <w:rsid w:val="00111651"/>
    <w:rsid w:val="00125487"/>
    <w:rsid w:val="00131AD9"/>
    <w:rsid w:val="001349CD"/>
    <w:rsid w:val="00135EEC"/>
    <w:rsid w:val="001475B5"/>
    <w:rsid w:val="00155C9F"/>
    <w:rsid w:val="00157335"/>
    <w:rsid w:val="00183A0E"/>
    <w:rsid w:val="001A4C22"/>
    <w:rsid w:val="001A5FCF"/>
    <w:rsid w:val="001F25F1"/>
    <w:rsid w:val="0022015C"/>
    <w:rsid w:val="00224E2B"/>
    <w:rsid w:val="00255946"/>
    <w:rsid w:val="0026188A"/>
    <w:rsid w:val="0027497F"/>
    <w:rsid w:val="00277A25"/>
    <w:rsid w:val="002908FE"/>
    <w:rsid w:val="002B2165"/>
    <w:rsid w:val="002C0AA7"/>
    <w:rsid w:val="002D3965"/>
    <w:rsid w:val="002D77D4"/>
    <w:rsid w:val="002E2BF4"/>
    <w:rsid w:val="002E3919"/>
    <w:rsid w:val="00320938"/>
    <w:rsid w:val="003377DE"/>
    <w:rsid w:val="003442B3"/>
    <w:rsid w:val="00352057"/>
    <w:rsid w:val="00353154"/>
    <w:rsid w:val="00356901"/>
    <w:rsid w:val="00363EF9"/>
    <w:rsid w:val="0037067B"/>
    <w:rsid w:val="003731AE"/>
    <w:rsid w:val="0039656E"/>
    <w:rsid w:val="003A58BF"/>
    <w:rsid w:val="003D7C29"/>
    <w:rsid w:val="003E3AF3"/>
    <w:rsid w:val="003F02EB"/>
    <w:rsid w:val="003F7E93"/>
    <w:rsid w:val="00403CA8"/>
    <w:rsid w:val="00403D3B"/>
    <w:rsid w:val="00410694"/>
    <w:rsid w:val="00420EB0"/>
    <w:rsid w:val="0042562B"/>
    <w:rsid w:val="004312F9"/>
    <w:rsid w:val="00441AFD"/>
    <w:rsid w:val="0044291A"/>
    <w:rsid w:val="004443E0"/>
    <w:rsid w:val="00446D4E"/>
    <w:rsid w:val="0045594B"/>
    <w:rsid w:val="004721F3"/>
    <w:rsid w:val="00473E65"/>
    <w:rsid w:val="004B38A5"/>
    <w:rsid w:val="004B3E44"/>
    <w:rsid w:val="004C0763"/>
    <w:rsid w:val="004C5EB6"/>
    <w:rsid w:val="004D1432"/>
    <w:rsid w:val="004F3625"/>
    <w:rsid w:val="005020FD"/>
    <w:rsid w:val="005054FF"/>
    <w:rsid w:val="00511688"/>
    <w:rsid w:val="00512C68"/>
    <w:rsid w:val="00521F59"/>
    <w:rsid w:val="005251BF"/>
    <w:rsid w:val="00532D7E"/>
    <w:rsid w:val="0054351F"/>
    <w:rsid w:val="005704F5"/>
    <w:rsid w:val="005A0E98"/>
    <w:rsid w:val="0060046C"/>
    <w:rsid w:val="006230E4"/>
    <w:rsid w:val="00631170"/>
    <w:rsid w:val="006313DE"/>
    <w:rsid w:val="00631CD1"/>
    <w:rsid w:val="00640157"/>
    <w:rsid w:val="006442FB"/>
    <w:rsid w:val="006561A8"/>
    <w:rsid w:val="00664B00"/>
    <w:rsid w:val="006835A5"/>
    <w:rsid w:val="00687867"/>
    <w:rsid w:val="006A7719"/>
    <w:rsid w:val="006B2891"/>
    <w:rsid w:val="006E26E3"/>
    <w:rsid w:val="0071796D"/>
    <w:rsid w:val="00732877"/>
    <w:rsid w:val="00740269"/>
    <w:rsid w:val="00745F42"/>
    <w:rsid w:val="00754C47"/>
    <w:rsid w:val="00755304"/>
    <w:rsid w:val="00755BE7"/>
    <w:rsid w:val="00766CAD"/>
    <w:rsid w:val="00773482"/>
    <w:rsid w:val="00777620"/>
    <w:rsid w:val="00777725"/>
    <w:rsid w:val="00781C1F"/>
    <w:rsid w:val="007941AD"/>
    <w:rsid w:val="00795795"/>
    <w:rsid w:val="00796962"/>
    <w:rsid w:val="007A139C"/>
    <w:rsid w:val="007A4430"/>
    <w:rsid w:val="007B5118"/>
    <w:rsid w:val="007C0DFA"/>
    <w:rsid w:val="007C552D"/>
    <w:rsid w:val="007D17B7"/>
    <w:rsid w:val="0080605A"/>
    <w:rsid w:val="00814AB4"/>
    <w:rsid w:val="00822B95"/>
    <w:rsid w:val="00831088"/>
    <w:rsid w:val="008315BC"/>
    <w:rsid w:val="008374E7"/>
    <w:rsid w:val="00853FB6"/>
    <w:rsid w:val="0088000E"/>
    <w:rsid w:val="008828D2"/>
    <w:rsid w:val="008950CB"/>
    <w:rsid w:val="008B231E"/>
    <w:rsid w:val="008B53D9"/>
    <w:rsid w:val="008D36E9"/>
    <w:rsid w:val="008F7C60"/>
    <w:rsid w:val="009268B0"/>
    <w:rsid w:val="009268C2"/>
    <w:rsid w:val="00950C8E"/>
    <w:rsid w:val="00975624"/>
    <w:rsid w:val="00976D26"/>
    <w:rsid w:val="009D4B1F"/>
    <w:rsid w:val="009E6114"/>
    <w:rsid w:val="00A14DB1"/>
    <w:rsid w:val="00A14E2F"/>
    <w:rsid w:val="00A33717"/>
    <w:rsid w:val="00A529BC"/>
    <w:rsid w:val="00A52AB6"/>
    <w:rsid w:val="00A85109"/>
    <w:rsid w:val="00A86A40"/>
    <w:rsid w:val="00AA2DC3"/>
    <w:rsid w:val="00AB27F6"/>
    <w:rsid w:val="00AB77D1"/>
    <w:rsid w:val="00AC1026"/>
    <w:rsid w:val="00AD233B"/>
    <w:rsid w:val="00AD40B4"/>
    <w:rsid w:val="00AD6073"/>
    <w:rsid w:val="00AE093B"/>
    <w:rsid w:val="00AF1799"/>
    <w:rsid w:val="00B10E20"/>
    <w:rsid w:val="00B2721E"/>
    <w:rsid w:val="00B30166"/>
    <w:rsid w:val="00B348BD"/>
    <w:rsid w:val="00B51D87"/>
    <w:rsid w:val="00B53084"/>
    <w:rsid w:val="00B537AD"/>
    <w:rsid w:val="00B6474D"/>
    <w:rsid w:val="00B66D7D"/>
    <w:rsid w:val="00B75399"/>
    <w:rsid w:val="00BC49B5"/>
    <w:rsid w:val="00BC5765"/>
    <w:rsid w:val="00BC60A3"/>
    <w:rsid w:val="00BD0536"/>
    <w:rsid w:val="00BE4048"/>
    <w:rsid w:val="00BF6110"/>
    <w:rsid w:val="00C128B4"/>
    <w:rsid w:val="00C221D0"/>
    <w:rsid w:val="00C253FC"/>
    <w:rsid w:val="00C4374D"/>
    <w:rsid w:val="00C53134"/>
    <w:rsid w:val="00C5715A"/>
    <w:rsid w:val="00C66750"/>
    <w:rsid w:val="00C80F74"/>
    <w:rsid w:val="00C81296"/>
    <w:rsid w:val="00C90C4A"/>
    <w:rsid w:val="00C9302F"/>
    <w:rsid w:val="00C945C1"/>
    <w:rsid w:val="00C94C3D"/>
    <w:rsid w:val="00C96496"/>
    <w:rsid w:val="00C96FD8"/>
    <w:rsid w:val="00CC26F6"/>
    <w:rsid w:val="00CC3CAB"/>
    <w:rsid w:val="00CD4068"/>
    <w:rsid w:val="00CF5C6F"/>
    <w:rsid w:val="00D001B1"/>
    <w:rsid w:val="00D023BB"/>
    <w:rsid w:val="00D23C86"/>
    <w:rsid w:val="00D3047A"/>
    <w:rsid w:val="00D438F9"/>
    <w:rsid w:val="00D57717"/>
    <w:rsid w:val="00D62B42"/>
    <w:rsid w:val="00D779CC"/>
    <w:rsid w:val="00D80991"/>
    <w:rsid w:val="00D95EFD"/>
    <w:rsid w:val="00D96384"/>
    <w:rsid w:val="00DA0887"/>
    <w:rsid w:val="00DB0817"/>
    <w:rsid w:val="00DC29B9"/>
    <w:rsid w:val="00DC6F76"/>
    <w:rsid w:val="00DE7D1E"/>
    <w:rsid w:val="00E02A0C"/>
    <w:rsid w:val="00E057FD"/>
    <w:rsid w:val="00E13D4D"/>
    <w:rsid w:val="00E42048"/>
    <w:rsid w:val="00E446F4"/>
    <w:rsid w:val="00E53D55"/>
    <w:rsid w:val="00E60EB1"/>
    <w:rsid w:val="00E62A19"/>
    <w:rsid w:val="00E736AE"/>
    <w:rsid w:val="00E751C4"/>
    <w:rsid w:val="00E80C62"/>
    <w:rsid w:val="00E8780F"/>
    <w:rsid w:val="00E93F7A"/>
    <w:rsid w:val="00E95E00"/>
    <w:rsid w:val="00ED605A"/>
    <w:rsid w:val="00EF1652"/>
    <w:rsid w:val="00EF7CC1"/>
    <w:rsid w:val="00F2294B"/>
    <w:rsid w:val="00F321C9"/>
    <w:rsid w:val="00F5408A"/>
    <w:rsid w:val="00F54DD0"/>
    <w:rsid w:val="00F55664"/>
    <w:rsid w:val="00F7695C"/>
    <w:rsid w:val="00F77E4D"/>
    <w:rsid w:val="00FA71FA"/>
    <w:rsid w:val="00FC028F"/>
    <w:rsid w:val="00FC2E48"/>
    <w:rsid w:val="00FC303A"/>
    <w:rsid w:val="00FD5253"/>
    <w:rsid w:val="00FD5C12"/>
    <w:rsid w:val="04DD4D41"/>
    <w:rsid w:val="065B15E4"/>
    <w:rsid w:val="14472F9B"/>
    <w:rsid w:val="1972401A"/>
    <w:rsid w:val="1ADD75E3"/>
    <w:rsid w:val="1EFFB77F"/>
    <w:rsid w:val="1FFFEC2E"/>
    <w:rsid w:val="202B1BD0"/>
    <w:rsid w:val="2B6134B5"/>
    <w:rsid w:val="35D21E1F"/>
    <w:rsid w:val="385E803D"/>
    <w:rsid w:val="396D4E42"/>
    <w:rsid w:val="3B6EA34E"/>
    <w:rsid w:val="3DDA2C67"/>
    <w:rsid w:val="3F1F171D"/>
    <w:rsid w:val="3FEA2599"/>
    <w:rsid w:val="42BF022A"/>
    <w:rsid w:val="44E67CEF"/>
    <w:rsid w:val="45DE94B0"/>
    <w:rsid w:val="490F0B64"/>
    <w:rsid w:val="49DC7913"/>
    <w:rsid w:val="4D07739D"/>
    <w:rsid w:val="4EE7ECD1"/>
    <w:rsid w:val="4FFF3F3D"/>
    <w:rsid w:val="53D17AAE"/>
    <w:rsid w:val="5E1B2CA8"/>
    <w:rsid w:val="5EBC24CD"/>
    <w:rsid w:val="5FA94430"/>
    <w:rsid w:val="63FF2049"/>
    <w:rsid w:val="6C7D62BA"/>
    <w:rsid w:val="6D7C2B3B"/>
    <w:rsid w:val="6FBBA08D"/>
    <w:rsid w:val="70E7271A"/>
    <w:rsid w:val="7377DC02"/>
    <w:rsid w:val="76AB595F"/>
    <w:rsid w:val="775DC621"/>
    <w:rsid w:val="775DF6C5"/>
    <w:rsid w:val="77EDB4BD"/>
    <w:rsid w:val="7BD7030C"/>
    <w:rsid w:val="7CEF0A80"/>
    <w:rsid w:val="7DBE7DFD"/>
    <w:rsid w:val="7DDA01F5"/>
    <w:rsid w:val="7EEBEC3C"/>
    <w:rsid w:val="7F2FD498"/>
    <w:rsid w:val="7FD909E7"/>
    <w:rsid w:val="7FDFB60F"/>
    <w:rsid w:val="7FEF2010"/>
    <w:rsid w:val="AB3F114C"/>
    <w:rsid w:val="ADDD31DF"/>
    <w:rsid w:val="BFDE7AB5"/>
    <w:rsid w:val="CFFEAD88"/>
    <w:rsid w:val="D7EDDA7D"/>
    <w:rsid w:val="DD373AF2"/>
    <w:rsid w:val="DED98AE6"/>
    <w:rsid w:val="DF6F2C94"/>
    <w:rsid w:val="DFFC0726"/>
    <w:rsid w:val="E77B57DF"/>
    <w:rsid w:val="EFF7770C"/>
    <w:rsid w:val="F6FB0CA0"/>
    <w:rsid w:val="F73FBB4B"/>
    <w:rsid w:val="F7BDB638"/>
    <w:rsid w:val="FABFF48B"/>
    <w:rsid w:val="FAD5440C"/>
    <w:rsid w:val="FAEED81E"/>
    <w:rsid w:val="FB7E3938"/>
    <w:rsid w:val="FB7FC308"/>
    <w:rsid w:val="FBB7FC55"/>
    <w:rsid w:val="FDFFF0C1"/>
    <w:rsid w:val="FEC7AC80"/>
    <w:rsid w:val="FEFF556C"/>
    <w:rsid w:val="FF7A4EBC"/>
    <w:rsid w:val="FFEE92C2"/>
    <w:rsid w:val="FFF7A420"/>
    <w:rsid w:val="FFFFA37C"/>
    <w:rsid w:val="FFFFE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黑体"/>
      <w:kern w:val="2"/>
      <w:sz w:val="24"/>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qFormat/>
    <w:uiPriority w:val="39"/>
    <w:pPr>
      <w:spacing w:line="400" w:lineRule="exact"/>
      <w:ind w:left="2520" w:leftChars="1200" w:firstLine="200" w:firstLineChars="200"/>
      <w:jc w:val="both"/>
    </w:pPr>
    <w:rPr>
      <w:rFonts w:ascii="Times New Roman" w:hAnsi="Times New Roman" w:eastAsia="仿宋" w:cs="Times New Roman"/>
      <w:sz w:val="21"/>
      <w:szCs w:val="24"/>
    </w:rPr>
  </w:style>
  <w:style w:type="paragraph" w:styleId="3">
    <w:name w:val="Normal Indent"/>
    <w:basedOn w:val="1"/>
    <w:qFormat/>
    <w:uiPriority w:val="0"/>
    <w:pPr>
      <w:spacing w:afterLines="50" w:line="300" w:lineRule="auto"/>
      <w:ind w:firstLine="420" w:firstLineChars="200"/>
    </w:pPr>
    <w:rPr>
      <w:rFonts w:ascii="Times New Roman" w:hAnsi="Times New Roman" w:cs="Times New Roman"/>
      <w:szCs w:val="24"/>
    </w:rPr>
  </w:style>
  <w:style w:type="paragraph" w:styleId="4">
    <w:name w:val="annotation text"/>
    <w:basedOn w:val="1"/>
    <w:link w:val="16"/>
    <w:semiHidden/>
    <w:unhideWhenUsed/>
    <w:qFormat/>
    <w:uiPriority w:val="99"/>
  </w:style>
  <w:style w:type="paragraph" w:styleId="5">
    <w:name w:val="Balloon Text"/>
    <w:basedOn w:val="1"/>
    <w:link w:val="18"/>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7"/>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semiHidden/>
    <w:unhideWhenUsed/>
    <w:qFormat/>
    <w:uiPriority w:val="99"/>
    <w:rPr>
      <w:sz w:val="21"/>
      <w:szCs w:val="21"/>
    </w:rPr>
  </w:style>
  <w:style w:type="paragraph" w:styleId="13">
    <w:name w:val="List Paragraph"/>
    <w:basedOn w:val="1"/>
    <w:qFormat/>
    <w:uiPriority w:val="34"/>
    <w:pPr>
      <w:ind w:firstLine="420" w:firstLineChars="200"/>
    </w:pPr>
  </w:style>
  <w:style w:type="character" w:customStyle="1" w:styleId="14">
    <w:name w:val="页眉 Char"/>
    <w:basedOn w:val="11"/>
    <w:link w:val="7"/>
    <w:qFormat/>
    <w:uiPriority w:val="99"/>
    <w:rPr>
      <w:rFonts w:ascii="Calibri" w:hAnsi="Calibri" w:eastAsia="宋体" w:cs="黑体"/>
      <w:sz w:val="18"/>
      <w:szCs w:val="18"/>
    </w:rPr>
  </w:style>
  <w:style w:type="character" w:customStyle="1" w:styleId="15">
    <w:name w:val="页脚 Char"/>
    <w:basedOn w:val="11"/>
    <w:link w:val="6"/>
    <w:qFormat/>
    <w:uiPriority w:val="99"/>
    <w:rPr>
      <w:rFonts w:ascii="Calibri" w:hAnsi="Calibri" w:eastAsia="宋体" w:cs="黑体"/>
      <w:sz w:val="18"/>
      <w:szCs w:val="18"/>
    </w:rPr>
  </w:style>
  <w:style w:type="character" w:customStyle="1" w:styleId="16">
    <w:name w:val="批注文字 Char"/>
    <w:basedOn w:val="11"/>
    <w:link w:val="4"/>
    <w:semiHidden/>
    <w:qFormat/>
    <w:uiPriority w:val="99"/>
    <w:rPr>
      <w:rFonts w:ascii="Calibri" w:hAnsi="Calibri" w:eastAsia="宋体" w:cs="黑体"/>
      <w:sz w:val="24"/>
    </w:rPr>
  </w:style>
  <w:style w:type="character" w:customStyle="1" w:styleId="17">
    <w:name w:val="批注主题 Char"/>
    <w:basedOn w:val="16"/>
    <w:link w:val="8"/>
    <w:semiHidden/>
    <w:qFormat/>
    <w:uiPriority w:val="99"/>
    <w:rPr>
      <w:rFonts w:ascii="Calibri" w:hAnsi="Calibri" w:eastAsia="宋体" w:cs="黑体"/>
      <w:b/>
      <w:bCs/>
      <w:sz w:val="24"/>
    </w:rPr>
  </w:style>
  <w:style w:type="character" w:customStyle="1" w:styleId="18">
    <w:name w:val="批注框文本 Char"/>
    <w:basedOn w:val="11"/>
    <w:link w:val="5"/>
    <w:semiHidden/>
    <w:qFormat/>
    <w:uiPriority w:val="99"/>
    <w:rPr>
      <w:rFonts w:ascii="Calibri" w:hAnsi="Calibri" w:eastAsia="宋体" w:cs="黑体"/>
      <w:sz w:val="18"/>
      <w:szCs w:val="18"/>
    </w:rPr>
  </w:style>
  <w:style w:type="paragraph" w:customStyle="1" w:styleId="19">
    <w:name w:val="修订1"/>
    <w:hidden/>
    <w:semiHidden/>
    <w:qFormat/>
    <w:uiPriority w:val="99"/>
    <w:rPr>
      <w:rFonts w:ascii="Calibri" w:hAnsi="Calibri" w:eastAsia="宋体" w:cs="黑体"/>
      <w:kern w:val="2"/>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117</Words>
  <Characters>670</Characters>
  <Lines>5</Lines>
  <Paragraphs>1</Paragraphs>
  <TotalTime>30</TotalTime>
  <ScaleCrop>false</ScaleCrop>
  <LinksUpToDate>false</LinksUpToDate>
  <CharactersWithSpaces>786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2021-12-12T12:54:00Z</dcterms:created>
  <dc:creator>付昱霖fyl</dc:creator>
  <cp:lastModifiedBy>fuyl</cp:lastModifiedBy>
  <dcterms:modified xsi:type="dcterms:W3CDTF">2023-08-17T14:48:51Z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A8D0766D757F40149F14BBFC003B11F9</vt:lpwstr>
  </property>
</Properties>
</file>