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65"/>
          <w:tab w:val="left" w:pos="6855"/>
        </w:tabs>
        <w:spacing w:line="600" w:lineRule="exact"/>
        <w:jc w:val="center"/>
        <w:rPr>
          <w:rFonts w:hint="eastAsia" w:ascii="Times New Roman" w:hAnsi="Times New Roman" w:eastAsia="方正大标宋简体" w:cs="Times New Roman"/>
          <w:color w:val="000000"/>
          <w:sz w:val="44"/>
          <w:szCs w:val="42"/>
        </w:rPr>
      </w:pPr>
      <w:bookmarkStart w:id="12" w:name="_GoBack"/>
      <w:bookmarkEnd w:id="12"/>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全国中小企业股份转让系统</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民营高技术服务指数编制方案</w:t>
      </w:r>
    </w:p>
    <w:p>
      <w:pPr>
        <w:spacing w:line="560" w:lineRule="exact"/>
        <w:jc w:val="center"/>
        <w:rPr>
          <w:rFonts w:ascii="Times New Roman" w:hAnsi="Times New Roman" w:eastAsia="黑体" w:cs="Times New Roman"/>
          <w:b/>
          <w:sz w:val="44"/>
        </w:rPr>
      </w:pPr>
    </w:p>
    <w:p>
      <w:pPr>
        <w:pStyle w:val="22"/>
        <w:spacing w:before="156" w:beforeLines="50" w:after="156" w:afterLines="50" w:line="560" w:lineRule="exact"/>
        <w:jc w:val="left"/>
        <w:rPr>
          <w:rFonts w:ascii="Times New Roman" w:hAnsi="Times New Roman"/>
        </w:rPr>
      </w:pPr>
      <w:bookmarkStart w:id="0" w:name="_Toc529433002"/>
      <w:r>
        <w:rPr>
          <w:rFonts w:ascii="Times New Roman" w:hAnsi="Times New Roman"/>
        </w:rPr>
        <w:t>1、引言</w:t>
      </w:r>
      <w:bookmarkEnd w:id="0"/>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为进一步完善市场功能、提高市场运行质量，便于投资者参与市场，全国中小企业股份转让系统有限责任公司与中证指数有限公司共同编制全国中小企业股份转让系统民营高技术服务指数，于2019年1月1</w:t>
      </w:r>
      <w:r>
        <w:rPr>
          <w:rFonts w:hint="eastAsia" w:ascii="Times New Roman" w:hAnsi="Times New Roman" w:eastAsia="仿宋_GB2312" w:cs="Times New Roman"/>
          <w:sz w:val="28"/>
        </w:rPr>
        <w:t>4</w:t>
      </w:r>
      <w:r>
        <w:rPr>
          <w:rFonts w:ascii="Times New Roman" w:hAnsi="Times New Roman" w:eastAsia="仿宋_GB2312" w:cs="Times New Roman"/>
          <w:sz w:val="28"/>
        </w:rPr>
        <w:t>日正式发布指数行情。</w:t>
      </w:r>
    </w:p>
    <w:p>
      <w:pPr>
        <w:pStyle w:val="22"/>
        <w:spacing w:before="156" w:beforeLines="50" w:after="156" w:afterLines="50" w:line="560" w:lineRule="exact"/>
        <w:jc w:val="left"/>
        <w:rPr>
          <w:rFonts w:ascii="Times New Roman" w:hAnsi="Times New Roman"/>
        </w:rPr>
      </w:pPr>
      <w:r>
        <w:rPr>
          <w:rFonts w:ascii="Times New Roman" w:hAnsi="Times New Roman"/>
        </w:rPr>
        <w:t>2、指数名称和代码</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指数代码：899303</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指数简称：三板服务</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指数名称：全国中小企业股份转让系统民营高技术服务指数</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英文简称：NEEQ POHTSI</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英文名称：NEEQ Private</w:t>
      </w:r>
      <w:r>
        <w:rPr>
          <w:rFonts w:hint="eastAsia" w:ascii="Times New Roman" w:hAnsi="Times New Roman" w:eastAsia="仿宋_GB2312" w:cs="Times New Roman"/>
          <w:sz w:val="28"/>
        </w:rPr>
        <w:t>-o</w:t>
      </w:r>
      <w:r>
        <w:rPr>
          <w:rFonts w:ascii="Times New Roman" w:hAnsi="Times New Roman" w:eastAsia="仿宋_GB2312" w:cs="Times New Roman"/>
          <w:sz w:val="28"/>
        </w:rPr>
        <w:t>wned High-Tech Service Index</w:t>
      </w:r>
    </w:p>
    <w:p>
      <w:pPr>
        <w:pStyle w:val="22"/>
        <w:spacing w:before="156" w:beforeLines="50" w:after="156" w:afterLines="50" w:line="560" w:lineRule="exact"/>
        <w:jc w:val="left"/>
        <w:rPr>
          <w:rFonts w:ascii="Times New Roman" w:hAnsi="Times New Roman"/>
        </w:rPr>
      </w:pPr>
      <w:bookmarkStart w:id="1" w:name="_Toc529433003"/>
      <w:r>
        <w:rPr>
          <w:rFonts w:ascii="Times New Roman" w:hAnsi="Times New Roman"/>
        </w:rPr>
        <w:t>3、样本空间</w:t>
      </w:r>
      <w:bookmarkEnd w:id="1"/>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三板服务指数样本空间由在审核截止日同时满足以下条件的全国中小企业股份转让系统的挂牌公司组成：</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属于民营企业；</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属于高技术服务业；</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流通股本不为零；</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非</w:t>
      </w:r>
      <w:r>
        <w:rPr>
          <w:rFonts w:ascii="Times New Roman" w:hAnsi="Times New Roman" w:eastAsia="仿宋" w:cs="Times New Roman"/>
          <w:sz w:val="28"/>
          <w:szCs w:val="28"/>
        </w:rPr>
        <w:t>ST</w:t>
      </w:r>
      <w:r>
        <w:rPr>
          <w:rFonts w:hint="eastAsia" w:ascii="Times New Roman" w:hAnsi="Times New Roman" w:eastAsia="仿宋" w:cs="Times New Roman"/>
          <w:sz w:val="28"/>
          <w:szCs w:val="28"/>
        </w:rPr>
        <w:t>的挂牌公司。</w:t>
      </w:r>
    </w:p>
    <w:p>
      <w:pPr>
        <w:pStyle w:val="22"/>
        <w:spacing w:before="156" w:beforeLines="50" w:after="156" w:afterLines="50" w:line="560" w:lineRule="exact"/>
        <w:jc w:val="left"/>
        <w:rPr>
          <w:rFonts w:ascii="Times New Roman" w:hAnsi="Times New Roman"/>
        </w:rPr>
      </w:pPr>
      <w:bookmarkStart w:id="2" w:name="_Toc529433004"/>
      <w:r>
        <w:rPr>
          <w:rFonts w:ascii="Times New Roman" w:hAnsi="Times New Roman"/>
        </w:rPr>
        <w:t>4、选样方法</w:t>
      </w:r>
      <w:bookmarkEnd w:id="2"/>
    </w:p>
    <w:p>
      <w:pPr>
        <w:spacing w:line="560" w:lineRule="exact"/>
        <w:ind w:firstLine="560" w:firstLineChars="200"/>
        <w:rPr>
          <w:rFonts w:ascii="Times New Roman" w:hAnsi="Times New Roman" w:eastAsia="仿宋" w:cs="Times New Roman"/>
          <w:b/>
          <w:sz w:val="28"/>
        </w:rPr>
      </w:pPr>
      <w:r>
        <w:rPr>
          <w:rFonts w:ascii="Times New Roman" w:hAnsi="Times New Roman" w:eastAsia="仿宋" w:cs="Times New Roman"/>
          <w:sz w:val="28"/>
          <w:szCs w:val="28"/>
        </w:rPr>
        <w:t>三板服务指数样本按照以下方法选择经营状况良好、无违法违规事件、财务报告无重大问题、股票价格无明显异常波动或市场操纵的挂牌公司：</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对样本空间内挂牌公司依据最近一年经审计的营业收入、研发强度由高到低进行排名，所得排名相加得到综合排名；</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选取排名靠前的200只股票组成指数样本股。</w:t>
      </w:r>
    </w:p>
    <w:p>
      <w:pPr>
        <w:pStyle w:val="22"/>
        <w:spacing w:before="156" w:beforeLines="50" w:after="156" w:afterLines="50" w:line="560" w:lineRule="exact"/>
        <w:jc w:val="left"/>
        <w:rPr>
          <w:rFonts w:ascii="Times New Roman" w:hAnsi="Times New Roman"/>
        </w:rPr>
      </w:pPr>
      <w:bookmarkStart w:id="3" w:name="_Toc529433005"/>
      <w:r>
        <w:rPr>
          <w:rFonts w:ascii="Times New Roman" w:hAnsi="Times New Roman"/>
        </w:rPr>
        <w:t>5、指数计算</w:t>
      </w:r>
      <w:bookmarkEnd w:id="3"/>
    </w:p>
    <w:p>
      <w:pPr>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sz w:val="28"/>
        </w:rPr>
        <w:t>参照三板医药指数。</w:t>
      </w:r>
    </w:p>
    <w:p>
      <w:pPr>
        <w:pStyle w:val="22"/>
        <w:spacing w:before="156" w:beforeLines="50" w:after="156" w:afterLines="50" w:line="560" w:lineRule="exact"/>
        <w:jc w:val="left"/>
        <w:rPr>
          <w:rFonts w:ascii="Times New Roman" w:hAnsi="Times New Roman"/>
        </w:rPr>
      </w:pPr>
      <w:bookmarkStart w:id="4" w:name="_Toc529433006"/>
      <w:r>
        <w:rPr>
          <w:rFonts w:ascii="Times New Roman" w:hAnsi="Times New Roman"/>
        </w:rPr>
        <w:t>6、指数修正</w:t>
      </w:r>
      <w:bookmarkEnd w:id="4"/>
    </w:p>
    <w:p>
      <w:pPr>
        <w:spacing w:line="560" w:lineRule="exact"/>
        <w:ind w:firstLine="560" w:firstLineChars="200"/>
        <w:rPr>
          <w:rFonts w:ascii="Times New Roman" w:hAnsi="Times New Roman" w:eastAsia="仿宋" w:cs="Times New Roman"/>
          <w:sz w:val="28"/>
        </w:rPr>
      </w:pPr>
      <w:r>
        <w:rPr>
          <w:rFonts w:ascii="Times New Roman" w:hAnsi="Times New Roman" w:eastAsia="仿宋_GB2312" w:cs="Times New Roman"/>
          <w:sz w:val="28"/>
        </w:rPr>
        <w:t>参照三板医药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5" w:name="_Toc529433007"/>
      <w:r>
        <w:rPr>
          <w:rFonts w:ascii="Times New Roman" w:hAnsi="Times New Roman" w:eastAsia="仿宋"/>
        </w:rPr>
        <w:t>7、</w:t>
      </w:r>
      <w:r>
        <w:rPr>
          <w:rFonts w:ascii="Times New Roman" w:hAnsi="Times New Roman"/>
        </w:rPr>
        <w:t>样本股的定期审核</w:t>
      </w:r>
      <w:bookmarkEnd w:id="5"/>
    </w:p>
    <w:p>
      <w:pPr>
        <w:spacing w:line="560" w:lineRule="exact"/>
        <w:ind w:firstLine="560" w:firstLineChars="200"/>
        <w:rPr>
          <w:rFonts w:ascii="Times New Roman" w:hAnsi="Times New Roman" w:eastAsia="仿宋" w:cs="Times New Roman"/>
          <w:sz w:val="28"/>
        </w:rPr>
      </w:pPr>
      <w:r>
        <w:rPr>
          <w:rFonts w:ascii="Times New Roman" w:hAnsi="Times New Roman" w:eastAsia="仿宋_GB2312" w:cs="Times New Roman"/>
          <w:sz w:val="28"/>
        </w:rPr>
        <w:t>参照三板医药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6" w:name="_Toc529433008"/>
      <w:r>
        <w:rPr>
          <w:rFonts w:ascii="Times New Roman" w:hAnsi="Times New Roman"/>
        </w:rPr>
        <w:t>8、样本股的临时调整</w:t>
      </w:r>
      <w:bookmarkEnd w:id="6"/>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对新挂牌民营高技术服务业公司和定期调整时样本空间内所有挂牌公司依据最近一年经审计的营业收入、研发强度由高到低进行排名，所得排名相加得到综合排名，对于符合样本空间条件、且综合排名在前10名的新挂牌公司股票，启用快速进入规则，即在其挂牌下月第二个星期五的下一</w:t>
      </w:r>
      <w:r>
        <w:rPr>
          <w:rFonts w:hint="eastAsia" w:ascii="Times New Roman" w:hAnsi="Times New Roman" w:eastAsia="仿宋" w:cs="Times New Roman"/>
          <w:sz w:val="28"/>
        </w:rPr>
        <w:t>交易</w:t>
      </w:r>
      <w:r>
        <w:rPr>
          <w:rFonts w:ascii="Times New Roman" w:hAnsi="Times New Roman" w:eastAsia="仿宋" w:cs="Times New Roman"/>
          <w:sz w:val="28"/>
        </w:rPr>
        <w:t>日将其纳入指数。</w:t>
      </w:r>
    </w:p>
    <w:p>
      <w:pPr>
        <w:spacing w:line="560" w:lineRule="exact"/>
        <w:ind w:firstLine="560" w:firstLineChars="200"/>
        <w:rPr>
          <w:rFonts w:ascii="Times New Roman" w:hAnsi="Times New Roman" w:eastAsia="仿宋_GB2312" w:cs="Times New Roman"/>
          <w:sz w:val="28"/>
        </w:rPr>
      </w:pPr>
      <w:r>
        <w:rPr>
          <w:rFonts w:ascii="Times New Roman" w:hAnsi="Times New Roman" w:eastAsia="仿宋" w:cs="Times New Roman"/>
          <w:sz w:val="28"/>
        </w:rPr>
        <w:t>其他参照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7" w:name="_Toc529433009"/>
      <w:r>
        <w:rPr>
          <w:rFonts w:ascii="Times New Roman" w:hAnsi="Times New Roman"/>
        </w:rPr>
        <w:t>9、样本股备选名单</w:t>
      </w:r>
      <w:bookmarkEnd w:id="7"/>
    </w:p>
    <w:p>
      <w:pPr>
        <w:spacing w:line="560" w:lineRule="exact"/>
        <w:ind w:firstLine="560" w:firstLineChars="200"/>
        <w:rPr>
          <w:rFonts w:ascii="Times New Roman" w:hAnsi="Times New Roman" w:eastAsia="仿宋" w:cs="Times New Roman"/>
          <w:sz w:val="28"/>
        </w:rPr>
      </w:pPr>
      <w:r>
        <w:rPr>
          <w:rFonts w:ascii="Times New Roman" w:hAnsi="Times New Roman" w:eastAsia="仿宋_GB2312" w:cs="Times New Roman"/>
          <w:sz w:val="28"/>
        </w:rPr>
        <w:t>参照三板医药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8" w:name="_Toc529433010"/>
      <w:r>
        <w:rPr>
          <w:rFonts w:ascii="Times New Roman" w:hAnsi="Times New Roman"/>
        </w:rPr>
        <w:t>10、样本股股本维护</w:t>
      </w:r>
      <w:bookmarkEnd w:id="8"/>
    </w:p>
    <w:p>
      <w:pPr>
        <w:spacing w:line="560" w:lineRule="exact"/>
        <w:ind w:firstLine="560" w:firstLineChars="200"/>
        <w:rPr>
          <w:rFonts w:ascii="Times New Roman" w:hAnsi="Times New Roman" w:eastAsia="仿宋" w:cs="Times New Roman"/>
          <w:sz w:val="28"/>
        </w:rPr>
      </w:pPr>
      <w:r>
        <w:rPr>
          <w:rFonts w:ascii="Times New Roman" w:hAnsi="Times New Roman" w:eastAsia="仿宋_GB2312" w:cs="Times New Roman"/>
          <w:sz w:val="28"/>
        </w:rPr>
        <w:t>参照三板医药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9" w:name="_Toc529433011"/>
      <w:bookmarkStart w:id="10" w:name="_Toc145754986"/>
      <w:r>
        <w:rPr>
          <w:rFonts w:ascii="Times New Roman" w:hAnsi="Times New Roman"/>
        </w:rPr>
        <w:t>11、信息披露</w:t>
      </w:r>
      <w:bookmarkEnd w:id="9"/>
      <w:bookmarkEnd w:id="10"/>
    </w:p>
    <w:p>
      <w:pPr>
        <w:spacing w:line="560" w:lineRule="exact"/>
        <w:ind w:firstLine="560" w:firstLineChars="200"/>
        <w:rPr>
          <w:rFonts w:ascii="Times New Roman" w:hAnsi="Times New Roman" w:eastAsia="仿宋" w:cs="Times New Roman"/>
          <w:sz w:val="28"/>
        </w:rPr>
      </w:pPr>
      <w:r>
        <w:rPr>
          <w:rFonts w:ascii="Times New Roman" w:hAnsi="Times New Roman" w:eastAsia="仿宋_GB2312" w:cs="Times New Roman"/>
          <w:sz w:val="28"/>
        </w:rPr>
        <w:t>参照三板医药</w:t>
      </w:r>
      <w:r>
        <w:rPr>
          <w:rFonts w:ascii="Times New Roman" w:hAnsi="Times New Roman" w:eastAsia="仿宋" w:cs="Times New Roman"/>
          <w:sz w:val="28"/>
        </w:rPr>
        <w:t>指数。</w:t>
      </w:r>
    </w:p>
    <w:p>
      <w:pPr>
        <w:spacing w:line="560" w:lineRule="exact"/>
        <w:ind w:firstLine="560" w:firstLineChars="200"/>
        <w:rPr>
          <w:rFonts w:ascii="Times New Roman" w:hAnsi="Times New Roman" w:eastAsia="仿宋" w:cs="Times New Roman"/>
          <w:sz w:val="28"/>
        </w:rPr>
      </w:pPr>
    </w:p>
    <w:p>
      <w:pPr>
        <w:spacing w:line="560" w:lineRule="exact"/>
        <w:ind w:firstLine="560" w:firstLineChars="200"/>
        <w:rPr>
          <w:rFonts w:ascii="Times New Roman" w:hAnsi="Times New Roman" w:eastAsia="仿宋" w:cs="Times New Roman"/>
          <w:sz w:val="28"/>
        </w:rPr>
      </w:pPr>
    </w:p>
    <w:p>
      <w:pPr>
        <w:widowControl/>
        <w:jc w:val="left"/>
        <w:rPr>
          <w:rFonts w:ascii="Times New Roman" w:hAnsi="Times New Roman" w:eastAsia="仿宋" w:cs="Times New Roman"/>
          <w:sz w:val="28"/>
        </w:rPr>
      </w:pPr>
      <w:r>
        <w:rPr>
          <w:rFonts w:ascii="Times New Roman" w:hAnsi="Times New Roman" w:eastAsia="仿宋" w:cs="Times New Roman"/>
          <w:sz w:val="28"/>
        </w:rPr>
        <w:br w:type="page"/>
      </w:r>
    </w:p>
    <w:p>
      <w:pPr>
        <w:pStyle w:val="3"/>
        <w:spacing w:before="156" w:beforeLines="50" w:after="156" w:afterLines="50" w:line="560" w:lineRule="exact"/>
        <w:rPr>
          <w:rFonts w:ascii="Times New Roman" w:hAnsi="Times New Roman"/>
          <w:b w:val="0"/>
        </w:rPr>
      </w:pPr>
      <w:bookmarkStart w:id="11" w:name="_Toc529433013"/>
      <w:r>
        <w:rPr>
          <w:rFonts w:ascii="Times New Roman" w:hAnsi="Times New Roman"/>
          <w:b w:val="0"/>
        </w:rPr>
        <w:t>附录A：名词解释</w:t>
      </w:r>
      <w:bookmarkEnd w:id="11"/>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全国中小企业股份转让系统 –（俗称</w:t>
      </w:r>
      <w:r>
        <w:rPr>
          <w:rFonts w:hint="eastAsia" w:ascii="Times New Roman" w:hAnsi="Times New Roman" w:eastAsia="仿宋" w:cs="Times New Roman"/>
          <w:sz w:val="28"/>
        </w:rPr>
        <w:t>“</w:t>
      </w:r>
      <w:r>
        <w:rPr>
          <w:rFonts w:ascii="Times New Roman" w:hAnsi="Times New Roman" w:eastAsia="仿宋" w:cs="Times New Roman"/>
          <w:sz w:val="28"/>
        </w:rPr>
        <w:t>新三板</w:t>
      </w:r>
      <w:r>
        <w:rPr>
          <w:rFonts w:hint="eastAsia" w:ascii="Times New Roman" w:hAnsi="Times New Roman" w:eastAsia="仿宋" w:cs="Times New Roman"/>
          <w:sz w:val="28"/>
        </w:rPr>
        <w:t>”</w:t>
      </w:r>
      <w:r>
        <w:rPr>
          <w:rFonts w:ascii="Times New Roman" w:hAnsi="Times New Roman" w:eastAsia="仿宋" w:cs="Times New Roman"/>
          <w:sz w:val="28"/>
        </w:rPr>
        <w:t>）是经国务院批准设立的全国性证券交易场所，全国中小企业股份转让系统有限责任公司为其运营管理机构。</w:t>
      </w:r>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ST股票 – 指由于财务会计报告被出具否定意见或者无法表示意见的审计报告、期末净资产为负值等原因，被全国中小企业股份转让系统根据业务规则实行风险警示的股票。</w:t>
      </w:r>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除息除权报价 – 由挂牌公司分红、送股等行为引起，由全国中小企业股份转让系统在该股票除权（息）</w:t>
      </w:r>
      <w:r>
        <w:rPr>
          <w:rFonts w:hint="eastAsia" w:ascii="Times New Roman" w:hAnsi="Times New Roman" w:eastAsia="仿宋" w:cs="Times New Roman"/>
          <w:sz w:val="28"/>
        </w:rPr>
        <w:t>交易</w:t>
      </w:r>
      <w:r>
        <w:rPr>
          <w:rFonts w:ascii="Times New Roman" w:hAnsi="Times New Roman" w:eastAsia="仿宋" w:cs="Times New Roman"/>
          <w:sz w:val="28"/>
        </w:rPr>
        <w:t>日开盘时发布的参考价格，用以提示交易系统中该挂牌公司因派息或发行股本增加，其内在价值已被摊薄。</w:t>
      </w:r>
    </w:p>
    <w:p>
      <w:pPr>
        <w:numPr>
          <w:ilvl w:val="1"/>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派息</w:t>
      </w:r>
    </w:p>
    <w:p>
      <w:pPr>
        <w:spacing w:line="560" w:lineRule="exact"/>
        <w:ind w:left="840"/>
        <w:rPr>
          <w:rFonts w:ascii="Times New Roman" w:hAnsi="Times New Roman" w:eastAsia="仿宋" w:cs="Times New Roman"/>
          <w:sz w:val="24"/>
          <w:szCs w:val="24"/>
        </w:rPr>
      </w:pPr>
      <m:oMathPara>
        <m:oMathParaPr>
          <m:jc m:val="left"/>
        </m:oMathParaPr>
        <m:oMath>
          <m:r>
            <m:rPr>
              <m:sty m:val="p"/>
            </m:rPr>
            <w:rPr>
              <w:rFonts w:ascii="Cambria Math" w:hAnsi="Cambria Math" w:eastAsia="仿宋" w:cs="Times New Roman"/>
              <w:sz w:val="24"/>
              <w:szCs w:val="24"/>
              <w:lang w:val="zh-CN"/>
            </w:rPr>
            <m:t>除息报价=除</m:t>
          </m:r>
          <m:r>
            <m:rPr>
              <m:sty m:val="p"/>
            </m:rPr>
            <w:rPr>
              <w:rFonts w:hint="eastAsia" w:ascii="Cambria Math" w:hAnsi="Cambria Math" w:eastAsia="仿宋" w:cs="Times New Roman"/>
              <w:sz w:val="24"/>
              <w:szCs w:val="24"/>
              <w:lang w:val="zh-CN"/>
            </w:rPr>
            <m:t>息</m:t>
          </m:r>
          <m:r>
            <m:rPr>
              <m:sty m:val="p"/>
            </m:rPr>
            <w:rPr>
              <w:rFonts w:ascii="Cambria Math" w:hAnsi="Cambria Math" w:eastAsia="仿宋" w:cs="Times New Roman"/>
              <w:sz w:val="24"/>
              <w:szCs w:val="24"/>
              <w:lang w:val="zh-CN"/>
            </w:rPr>
            <m:t>前日收盘价−每股红利</m:t>
          </m:r>
        </m:oMath>
      </m:oMathPara>
    </w:p>
    <w:p>
      <w:pPr>
        <w:numPr>
          <w:ilvl w:val="1"/>
          <w:numId w:val="2"/>
        </w:numPr>
        <w:spacing w:line="276" w:lineRule="auto"/>
        <w:rPr>
          <w:rFonts w:ascii="Times New Roman" w:hAnsi="Times New Roman" w:eastAsia="仿宋" w:cs="Times New Roman"/>
          <w:sz w:val="28"/>
        </w:rPr>
      </w:pPr>
      <w:r>
        <w:rPr>
          <w:rFonts w:ascii="Times New Roman" w:hAnsi="Times New Roman" w:eastAsia="仿宋" w:cs="Times New Roman"/>
          <w:sz w:val="28"/>
        </w:rPr>
        <w:t>送股</w:t>
      </w:r>
    </w:p>
    <w:p>
      <w:pPr>
        <w:spacing w:line="276" w:lineRule="auto"/>
        <w:rPr>
          <w:rFonts w:ascii="Times New Roman" w:hAnsi="Times New Roman" w:eastAsia="仿宋" w:cs="Times New Roman"/>
          <w:sz w:val="24"/>
          <w:szCs w:val="24"/>
          <w:lang w:val="zh-CN" w:eastAsia="zh-CN"/>
        </w:rPr>
      </w:pPr>
      <m:oMathPara>
        <m:oMathParaPr>
          <m:jc m:val="left"/>
        </m:oMathParaPr>
        <m:oMath>
          <m:r>
            <m:rPr>
              <m:sty m:val="p"/>
            </m:rPr>
            <w:rPr>
              <w:rFonts w:ascii="Cambria Math" w:hAnsi="Cambria Math" w:eastAsia="仿宋" w:cs="Times New Roman"/>
              <w:sz w:val="24"/>
              <w:szCs w:val="24"/>
              <w:lang w:val="zh-CN"/>
            </w:rPr>
            <m:t xml:space="preserve">                除权报价=</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除权前日收盘价</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1+送股比例</m:t>
              </m:r>
              <m:ctrlPr>
                <w:rPr>
                  <w:rFonts w:ascii="Cambria Math" w:hAnsi="Cambria Math" w:eastAsia="仿宋" w:cs="Times New Roman"/>
                  <w:sz w:val="24"/>
                  <w:szCs w:val="24"/>
                  <w:lang w:val="zh-CN"/>
                </w:rPr>
              </m:ctrlPr>
            </m:den>
          </m:f>
        </m:oMath>
      </m:oMathPara>
    </w:p>
    <w:p>
      <w:pPr>
        <w:numPr>
          <w:ilvl w:val="1"/>
          <w:numId w:val="2"/>
        </w:numPr>
        <w:spacing w:line="276" w:lineRule="auto"/>
        <w:rPr>
          <w:rFonts w:ascii="Times New Roman" w:hAnsi="Times New Roman" w:eastAsia="仿宋" w:cs="Times New Roman"/>
          <w:position w:val="-26"/>
          <w:sz w:val="28"/>
        </w:rPr>
      </w:pPr>
      <w:r>
        <w:rPr>
          <w:rFonts w:ascii="Times New Roman" w:hAnsi="Times New Roman" w:eastAsia="仿宋" w:cs="Times New Roman"/>
          <w:position w:val="-26"/>
          <w:sz w:val="28"/>
        </w:rPr>
        <w:t>拆股和缩股</w:t>
      </w:r>
    </w:p>
    <w:p>
      <w:pPr>
        <w:spacing w:line="276" w:lineRule="auto"/>
        <w:ind w:left="840"/>
        <w:rPr>
          <w:rFonts w:ascii="Times New Roman" w:hAnsi="Times New Roman" w:eastAsia="仿宋" w:cs="Times New Roman"/>
          <w:sz w:val="32"/>
          <w:lang w:val="zh-CN"/>
        </w:rPr>
      </w:pPr>
      <m:oMathPara>
        <m:oMathParaPr>
          <m:jc m:val="left"/>
        </m:oMathParaPr>
        <m:oMath>
          <m:r>
            <m:rPr>
              <m:sty m:val="p"/>
            </m:rPr>
            <w:rPr>
              <w:rFonts w:ascii="Cambria Math" w:hAnsi="Cambria Math" w:eastAsia="仿宋" w:cs="Times New Roman"/>
              <w:sz w:val="24"/>
              <w:szCs w:val="24"/>
              <w:lang w:val="zh-CN"/>
            </w:rPr>
            <m:t>除权报价=除权前日收盘价×</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除权前日总股本</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除权日总股本</m:t>
              </m:r>
              <m:ctrlPr>
                <w:rPr>
                  <w:rFonts w:ascii="Cambria Math" w:hAnsi="Cambria Math" w:eastAsia="仿宋" w:cs="Times New Roman"/>
                  <w:sz w:val="24"/>
                  <w:szCs w:val="24"/>
                  <w:lang w:val="zh-CN"/>
                </w:rPr>
              </m:ctrlPr>
            </m:den>
          </m:f>
        </m:oMath>
      </m:oMathPara>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研发强度 – 用挂牌公司最近一年经审计的研发费用与最近一年经审计的营业收入的比值作为衡量挂牌公司研发强度的数据。</w:t>
      </w:r>
    </w:p>
    <w:p>
      <w:pPr>
        <w:spacing w:line="276" w:lineRule="auto"/>
        <w:rPr>
          <w:rFonts w:ascii="Times New Roman" w:hAnsi="Times New Roman" w:eastAsia="仿宋" w:cs="Times New Roman"/>
          <w:sz w:val="24"/>
          <w:szCs w:val="24"/>
          <w:lang w:val="zh-CN" w:eastAsia="zh-CN"/>
        </w:rPr>
      </w:pPr>
      <m:oMathPara>
        <m:oMathParaPr>
          <m:jc m:val="left"/>
        </m:oMathParaPr>
        <m:oMath>
          <m:r>
            <m:rPr>
              <m:sty m:val="p"/>
            </m:rPr>
            <w:rPr>
              <w:rFonts w:ascii="Cambria Math" w:hAnsi="Cambria Math" w:eastAsia="仿宋" w:cs="Times New Roman"/>
              <w:sz w:val="24"/>
              <w:szCs w:val="24"/>
              <w:lang w:val="zh-CN"/>
            </w:rPr>
            <m:t xml:space="preserve">                研发强度=</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最近一年经审计的研发费用</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最近一年经审计的营业收入</m:t>
              </m:r>
              <m:ctrlPr>
                <w:rPr>
                  <w:rFonts w:ascii="Cambria Math" w:hAnsi="Cambria Math" w:eastAsia="仿宋" w:cs="Times New Roman"/>
                  <w:sz w:val="24"/>
                  <w:szCs w:val="24"/>
                  <w:lang w:val="zh-CN"/>
                </w:rPr>
              </m:ctrlPr>
            </m:den>
          </m:f>
        </m:oMath>
      </m:oMathPara>
    </w:p>
    <w:p>
      <w:pPr>
        <w:pStyle w:val="43"/>
        <w:numPr>
          <w:ilvl w:val="0"/>
          <w:numId w:val="2"/>
        </w:numPr>
        <w:ind w:firstLineChars="0"/>
        <w:rPr>
          <w:rFonts w:ascii="Times New Roman" w:hAnsi="Times New Roman" w:eastAsia="仿宋" w:cs="Times New Roman"/>
          <w:sz w:val="28"/>
        </w:rPr>
      </w:pPr>
      <w:r>
        <w:rPr>
          <w:rFonts w:ascii="Times New Roman" w:hAnsi="Times New Roman" w:eastAsia="仿宋" w:cs="Times New Roman"/>
          <w:sz w:val="28"/>
        </w:rPr>
        <w:t>民营企业 – 主要依据挂牌公司定期报告和股权变动公告判断该公司是否为民营企业。具体将非国有挂牌公司归属为民营企业。</w:t>
      </w:r>
    </w:p>
    <w:p>
      <w:pPr>
        <w:widowControl/>
        <w:jc w:val="left"/>
        <w:rPr>
          <w:rFonts w:ascii="Times New Roman" w:hAnsi="Times New Roman" w:eastAsia="仿宋" w:cs="Times New Roman"/>
          <w:sz w:val="28"/>
        </w:rPr>
      </w:pPr>
      <w:r>
        <w:rPr>
          <w:rFonts w:ascii="Times New Roman" w:hAnsi="Times New Roman" w:eastAsia="仿宋" w:cs="Times New Roman"/>
          <w:sz w:val="28"/>
        </w:rPr>
        <w:br w:type="page"/>
      </w:r>
    </w:p>
    <w:p>
      <w:pPr>
        <w:pStyle w:val="3"/>
        <w:spacing w:before="156" w:beforeLines="50" w:after="156" w:afterLines="50" w:line="560" w:lineRule="exact"/>
        <w:rPr>
          <w:rFonts w:ascii="Times New Roman" w:hAnsi="Times New Roman"/>
          <w:b w:val="0"/>
          <w:lang w:eastAsia="zh-CN"/>
        </w:rPr>
      </w:pPr>
      <w:r>
        <w:rPr>
          <w:rFonts w:ascii="Times New Roman" w:hAnsi="Times New Roman"/>
          <w:b w:val="0"/>
        </w:rPr>
        <w:t>附录B：</w:t>
      </w:r>
      <w:r>
        <w:rPr>
          <w:rFonts w:ascii="Times New Roman" w:hAnsi="Times New Roman"/>
          <w:b w:val="0"/>
          <w:lang w:eastAsia="zh-CN"/>
        </w:rPr>
        <w:t>高技术服务业行业划分说明</w:t>
      </w:r>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高技术服务业分类是在国家统计局《高技术产业（服务业）分类（2018）》的框架下，结合挂牌公司创新驱动特征，以全国股转公司《挂牌公司管理型行业分类指引</w:t>
      </w:r>
      <w:r>
        <w:rPr>
          <w:rFonts w:hint="eastAsia" w:ascii="Times New Roman" w:hAnsi="Times New Roman" w:eastAsia="仿宋" w:cs="Times New Roman"/>
          <w:sz w:val="28"/>
        </w:rPr>
        <w:t>（202</w:t>
      </w:r>
      <w:r>
        <w:rPr>
          <w:rFonts w:ascii="Times New Roman" w:hAnsi="Times New Roman" w:eastAsia="仿宋" w:cs="Times New Roman"/>
          <w:sz w:val="28"/>
        </w:rPr>
        <w:t>3</w:t>
      </w:r>
      <w:r>
        <w:rPr>
          <w:rFonts w:hint="eastAsia" w:ascii="Times New Roman" w:hAnsi="Times New Roman" w:eastAsia="仿宋" w:cs="Times New Roman"/>
          <w:sz w:val="28"/>
        </w:rPr>
        <w:t>年修订）</w:t>
      </w:r>
      <w:r>
        <w:rPr>
          <w:rFonts w:ascii="Times New Roman" w:hAnsi="Times New Roman" w:eastAsia="仿宋" w:cs="Times New Roman"/>
          <w:sz w:val="28"/>
        </w:rPr>
        <w:t>》为依据筛选的部分行业。具体见表一。</w:t>
      </w:r>
    </w:p>
    <w:p>
      <w:pPr>
        <w:spacing w:line="560" w:lineRule="exact"/>
        <w:jc w:val="center"/>
        <w:rPr>
          <w:rFonts w:ascii="Times New Roman" w:hAnsi="Times New Roman" w:eastAsia="仿宋" w:cs="Times New Roman"/>
          <w:b/>
          <w:sz w:val="30"/>
          <w:szCs w:val="30"/>
        </w:rPr>
      </w:pPr>
      <w:r>
        <w:rPr>
          <w:rFonts w:ascii="Times New Roman" w:hAnsi="Times New Roman" w:eastAsia="仿宋" w:cs="Times New Roman"/>
          <w:b/>
          <w:sz w:val="30"/>
          <w:szCs w:val="30"/>
        </w:rPr>
        <w:t>表一 高技术服务业管理型行业分类及代码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高技术服务</w:t>
            </w:r>
            <w:r>
              <w:rPr>
                <w:rFonts w:ascii="Times New Roman" w:hAnsi="Times New Roman" w:eastAsia="仿宋" w:cs="Times New Roman"/>
                <w:b/>
                <w:szCs w:val="21"/>
              </w:rPr>
              <w:t>业小类代码</w:t>
            </w:r>
          </w:p>
        </w:tc>
        <w:tc>
          <w:tcPr>
            <w:tcW w:w="2593"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高技术服务</w:t>
            </w:r>
            <w:r>
              <w:rPr>
                <w:rFonts w:ascii="Times New Roman" w:hAnsi="Times New Roman" w:eastAsia="仿宋" w:cs="Times New Roman"/>
                <w:b/>
                <w:szCs w:val="21"/>
              </w:rPr>
              <w:t>业小类行业</w:t>
            </w:r>
          </w:p>
        </w:tc>
        <w:tc>
          <w:tcPr>
            <w:tcW w:w="1517"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高技术服务</w:t>
            </w:r>
            <w:r>
              <w:rPr>
                <w:rFonts w:ascii="Times New Roman" w:hAnsi="Times New Roman" w:eastAsia="仿宋" w:cs="Times New Roman"/>
                <w:b/>
                <w:szCs w:val="21"/>
              </w:rPr>
              <w:t>业小类代码</w:t>
            </w:r>
          </w:p>
        </w:tc>
        <w:tc>
          <w:tcPr>
            <w:tcW w:w="2631"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高技术服务</w:t>
            </w:r>
            <w:r>
              <w:rPr>
                <w:rFonts w:ascii="Times New Roman" w:hAnsi="Times New Roman" w:eastAsia="仿宋" w:cs="Times New Roman"/>
                <w:b/>
                <w:szCs w:val="21"/>
              </w:rPr>
              <w:t>业小类行业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6311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固定电信服务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检验检疫服务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6312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移动电信服务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6319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其他电信服务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计量服务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6321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有线广播电视传输服务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标准化服务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6322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无线广播电视传输服务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认证认可服务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6331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广播电视卫星传输服务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7459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其他质检技术服务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6339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其他卫星传输服务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7461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环境保护监测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6410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互联网接入及相关服务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7462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生态资源监测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6421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互联网搜索服务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7463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野生动物疫源疫病防控监测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6422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互联网游戏服务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7471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能源矿产地质勘查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6429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互联网其他信息服务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7472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固体矿产地质勘查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6431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互联网生产服务平台</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7473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水、二氧化碳等矿产地质勘查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6432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互联网生活服务平台</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7474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基础地质勘查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6433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互联网科技创新平台</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7475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地质勘查技术服务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6434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互联网公共服务平台</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工程管理服务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6439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其他互联网平台</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工程监理服务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6440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互联网安全服务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工程勘察活动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6450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互联网数据服务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工程设计活动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6490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其他互联网服务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规划设计管理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6511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基础软件开发</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7486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土地规划服务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6512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支撑软件开发</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7491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工业设计服务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6513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应用软件开发</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7492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专业设计服务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6519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其他软件开发</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农林牧渔技术推广服务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6520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集成电路设计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生物技术推广服务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6531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信息系统集成服务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新材料技术推广服务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6532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物联网技术服务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节能技术推广服务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6540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运行维护服务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新能源技术推广服务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6550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信息处理和存储支持服务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环保技术推广服务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6560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信息技术咨询服务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7517</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三维（3D)打印技术推广服务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6571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地理遥感信息服务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7519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6572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动漫、游戏数字内容服务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7520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知识产权服务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6579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其他数字内容服务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7530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科技中介服务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6591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呼叫中心</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7540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创业空间服务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6599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其他未列明信息技术服务业</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7590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其他科技推广服务业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6930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非金融机构支付服务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水污染治理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ascii="Times New Roman" w:hAnsi="Times New Roman" w:eastAsia="仿宋"/>
              </w:rPr>
              <w:t>7231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律师</w:t>
            </w:r>
            <w:r>
              <w:rPr>
                <w:rFonts w:ascii="Times New Roman" w:hAnsi="Times New Roman" w:eastAsia="仿宋"/>
              </w:rPr>
              <w:t>及相关法律</w:t>
            </w:r>
            <w:r>
              <w:rPr>
                <w:rFonts w:hint="eastAsia" w:ascii="Times New Roman" w:hAnsi="Times New Roman" w:eastAsia="仿宋"/>
              </w:rPr>
              <w:t>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大气污染治理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7239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其他法律服务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固体废物治理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7295</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信用服务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危险废物治理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7310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自然科学研究和试验发展</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放射性废物治理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7320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工程和技术研究和试验发展</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土壤污染治理与修复服务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7330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农业科学研究和试验发展</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7727</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噪声与振动控制服务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7340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医学研究和试验发展</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7729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其他污染治理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7410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气象服务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8625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电子出版物出版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rPr>
            </w:pPr>
            <w:r>
              <w:rPr>
                <w:rFonts w:hint="eastAsia" w:ascii="Times New Roman" w:hAnsi="Times New Roman" w:eastAsia="仿宋"/>
              </w:rPr>
              <w:t>7420</w:t>
            </w:r>
          </w:p>
        </w:tc>
        <w:tc>
          <w:tcPr>
            <w:tcW w:w="2593" w:type="dxa"/>
            <w:vAlign w:val="center"/>
          </w:tcPr>
          <w:p>
            <w:pPr>
              <w:rPr>
                <w:rFonts w:ascii="Times New Roman" w:hAnsi="Times New Roman" w:eastAsia="仿宋"/>
              </w:rPr>
            </w:pPr>
            <w:r>
              <w:rPr>
                <w:rFonts w:hint="eastAsia" w:ascii="Times New Roman" w:hAnsi="Times New Roman" w:eastAsia="仿宋"/>
              </w:rPr>
              <w:t>地震服务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8626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rPr>
            </w:pPr>
            <w:r>
              <w:rPr>
                <w:rFonts w:hint="eastAsia" w:ascii="Times New Roman" w:hAnsi="Times New Roman" w:eastAsia="仿宋"/>
              </w:rPr>
              <w:t>7431</w:t>
            </w:r>
          </w:p>
        </w:tc>
        <w:tc>
          <w:tcPr>
            <w:tcW w:w="2593" w:type="dxa"/>
            <w:vAlign w:val="center"/>
          </w:tcPr>
          <w:p>
            <w:pPr>
              <w:rPr>
                <w:rFonts w:ascii="Times New Roman" w:hAnsi="Times New Roman" w:eastAsia="仿宋"/>
              </w:rPr>
            </w:pPr>
            <w:r>
              <w:rPr>
                <w:rFonts w:hint="eastAsia" w:ascii="Times New Roman" w:hAnsi="Times New Roman" w:eastAsia="仿宋"/>
              </w:rPr>
              <w:t>海洋气象服务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8710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rPr>
            </w:pPr>
            <w:r>
              <w:rPr>
                <w:rFonts w:hint="eastAsia" w:ascii="Times New Roman" w:hAnsi="Times New Roman" w:eastAsia="仿宋"/>
              </w:rPr>
              <w:t>7432</w:t>
            </w:r>
          </w:p>
        </w:tc>
        <w:tc>
          <w:tcPr>
            <w:tcW w:w="2593" w:type="dxa"/>
            <w:vAlign w:val="center"/>
          </w:tcPr>
          <w:p>
            <w:pPr>
              <w:rPr>
                <w:rFonts w:ascii="Times New Roman" w:hAnsi="Times New Roman" w:eastAsia="仿宋"/>
              </w:rPr>
            </w:pPr>
            <w:r>
              <w:rPr>
                <w:rFonts w:hint="eastAsia" w:ascii="Times New Roman" w:hAnsi="Times New Roman" w:eastAsia="仿宋"/>
              </w:rPr>
              <w:t>海洋环境服务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8720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rPr>
            </w:pPr>
            <w:r>
              <w:rPr>
                <w:rFonts w:hint="eastAsia" w:ascii="Times New Roman" w:hAnsi="Times New Roman" w:eastAsia="仿宋"/>
              </w:rPr>
              <w:t>7439</w:t>
            </w:r>
          </w:p>
        </w:tc>
        <w:tc>
          <w:tcPr>
            <w:tcW w:w="2593" w:type="dxa"/>
            <w:vAlign w:val="center"/>
          </w:tcPr>
          <w:p>
            <w:pPr>
              <w:rPr>
                <w:rFonts w:ascii="Times New Roman" w:hAnsi="Times New Roman" w:eastAsia="仿宋"/>
              </w:rPr>
            </w:pPr>
            <w:r>
              <w:rPr>
                <w:rFonts w:hint="eastAsia" w:ascii="Times New Roman" w:hAnsi="Times New Roman" w:eastAsia="仿宋"/>
              </w:rPr>
              <w:t>其他海洋服务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8740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广播电视集成播控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rPr>
            </w:pPr>
            <w:r>
              <w:rPr>
                <w:rFonts w:hint="eastAsia" w:ascii="Times New Roman" w:hAnsi="Times New Roman" w:eastAsia="仿宋"/>
              </w:rPr>
              <w:t>7441</w:t>
            </w:r>
          </w:p>
        </w:tc>
        <w:tc>
          <w:tcPr>
            <w:tcW w:w="2593" w:type="dxa"/>
            <w:vAlign w:val="center"/>
          </w:tcPr>
          <w:p>
            <w:pPr>
              <w:rPr>
                <w:rFonts w:ascii="Times New Roman" w:hAnsi="Times New Roman" w:eastAsia="仿宋"/>
              </w:rPr>
            </w:pPr>
            <w:r>
              <w:rPr>
                <w:rFonts w:hint="eastAsia" w:ascii="Times New Roman" w:hAnsi="Times New Roman" w:eastAsia="仿宋"/>
              </w:rPr>
              <w:t>遥感测绘服务</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8890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其他文化艺术业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rPr>
            </w:pPr>
            <w:r>
              <w:rPr>
                <w:rFonts w:hint="eastAsia" w:ascii="Times New Roman" w:hAnsi="Times New Roman" w:eastAsia="仿宋"/>
              </w:rPr>
              <w:t>7449</w:t>
            </w:r>
          </w:p>
        </w:tc>
        <w:tc>
          <w:tcPr>
            <w:tcW w:w="2593" w:type="dxa"/>
            <w:vAlign w:val="center"/>
          </w:tcPr>
          <w:p>
            <w:pPr>
              <w:rPr>
                <w:rFonts w:ascii="Times New Roman" w:hAnsi="Times New Roman" w:eastAsia="仿宋"/>
              </w:rPr>
            </w:pPr>
            <w:r>
              <w:rPr>
                <w:rFonts w:hint="eastAsia" w:ascii="Times New Roman" w:hAnsi="Times New Roman" w:eastAsia="仿宋"/>
              </w:rPr>
              <w:t>其他测绘地理信息服务</w:t>
            </w:r>
          </w:p>
        </w:tc>
        <w:tc>
          <w:tcPr>
            <w:tcW w:w="1517" w:type="dxa"/>
            <w:vAlign w:val="center"/>
          </w:tcPr>
          <w:p>
            <w:pPr>
              <w:jc w:val="center"/>
              <w:rPr>
                <w:rFonts w:ascii="Times New Roman" w:hAnsi="Times New Roman" w:eastAsia="仿宋"/>
              </w:rPr>
            </w:pPr>
          </w:p>
        </w:tc>
        <w:tc>
          <w:tcPr>
            <w:tcW w:w="2631" w:type="dxa"/>
            <w:vAlign w:val="center"/>
          </w:tcPr>
          <w:p>
            <w:pPr>
              <w:rPr>
                <w:rFonts w:ascii="Times New Roman" w:hAnsi="Times New Roman" w:eastAsia="仿宋"/>
              </w:rPr>
            </w:pPr>
          </w:p>
        </w:tc>
      </w:tr>
    </w:tbl>
    <w:p>
      <w:pPr>
        <w:spacing w:line="560" w:lineRule="exact"/>
        <w:rPr>
          <w:rFonts w:ascii="Times New Roman" w:hAnsi="Times New Roman" w:eastAsia="仿宋" w:cs="Times New Roman"/>
          <w:sz w:val="28"/>
        </w:rPr>
      </w:pPr>
    </w:p>
    <w:sectPr>
      <w:footerReference r:id="rId3" w:type="default"/>
      <w:footerReference r:id="rId4" w:type="even"/>
      <w:pgSz w:w="11906" w:h="16838"/>
      <w:pgMar w:top="2098" w:right="1588"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536433"/>
      <w:docPartObj>
        <w:docPartGallery w:val="AutoText"/>
      </w:docPartObj>
    </w:sdtPr>
    <w:sdtEndPr>
      <w:rPr>
        <w:rFonts w:asciiTheme="minorEastAsia" w:hAnsiTheme="minorEastAsia"/>
        <w:sz w:val="28"/>
        <w:szCs w:val="28"/>
      </w:rPr>
    </w:sdtEndPr>
    <w:sdtContent>
      <w:p>
        <w:pPr>
          <w:pStyle w:val="1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07817434"/>
      <w:docPartObj>
        <w:docPartGallery w:val="AutoText"/>
      </w:docPartObj>
    </w:sdtPr>
    <w:sdtEndPr>
      <w:rPr>
        <w:rFonts w:asciiTheme="minorEastAsia" w:hAnsiTheme="minorEastAsia"/>
        <w:sz w:val="28"/>
        <w:szCs w:val="28"/>
      </w:rPr>
    </w:sdtEndPr>
    <w:sdtContent>
      <w:p>
        <w:pPr>
          <w:pStyle w:val="1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63377"/>
    <w:multiLevelType w:val="multilevel"/>
    <w:tmpl w:val="1A963377"/>
    <w:lvl w:ilvl="0" w:tentative="0">
      <w:start w:val="0"/>
      <w:numFmt w:val="bullet"/>
      <w:lvlText w:val="□"/>
      <w:lvlJc w:val="left"/>
      <w:pPr>
        <w:ind w:left="980" w:hanging="420"/>
      </w:pPr>
      <w:rPr>
        <w:rFonts w:hint="eastAsia" w:ascii="仿宋" w:hAnsi="仿宋" w:eastAsia="仿宋" w:cs="Times New Roman"/>
        <w:b w:val="0"/>
        <w:i w:val="0"/>
        <w:strike w:val="0"/>
        <w:dstrike w:val="0"/>
        <w:color w:val="000000" w:themeColor="text1"/>
        <w:sz w:val="18"/>
        <w:szCs w:val="18"/>
        <w:u w:val="none" w:color="000000"/>
        <w:shd w:val="clear" w:color="auto" w:fill="auto"/>
        <w:vertAlign w:val="baseline"/>
        <w14:textFill>
          <w14:solidFill>
            <w14:schemeClr w14:val="tx1"/>
          </w14:solidFill>
        </w14:textFil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CA5"/>
    <w:rsid w:val="00015205"/>
    <w:rsid w:val="00020CC5"/>
    <w:rsid w:val="000242B8"/>
    <w:rsid w:val="000251BE"/>
    <w:rsid w:val="00027410"/>
    <w:rsid w:val="00032A15"/>
    <w:rsid w:val="00043F92"/>
    <w:rsid w:val="0005058B"/>
    <w:rsid w:val="00050DD9"/>
    <w:rsid w:val="00052215"/>
    <w:rsid w:val="000553F2"/>
    <w:rsid w:val="00057B66"/>
    <w:rsid w:val="0007037A"/>
    <w:rsid w:val="00071433"/>
    <w:rsid w:val="00073AAF"/>
    <w:rsid w:val="00073C8F"/>
    <w:rsid w:val="0008093D"/>
    <w:rsid w:val="00082605"/>
    <w:rsid w:val="0008271C"/>
    <w:rsid w:val="00084F39"/>
    <w:rsid w:val="000868D7"/>
    <w:rsid w:val="00094D2E"/>
    <w:rsid w:val="000972ED"/>
    <w:rsid w:val="000977C2"/>
    <w:rsid w:val="000A0C9C"/>
    <w:rsid w:val="000A195C"/>
    <w:rsid w:val="000A5780"/>
    <w:rsid w:val="000A69F3"/>
    <w:rsid w:val="000B02C4"/>
    <w:rsid w:val="000B2746"/>
    <w:rsid w:val="000B5C42"/>
    <w:rsid w:val="000B69B7"/>
    <w:rsid w:val="000B7332"/>
    <w:rsid w:val="000C04CF"/>
    <w:rsid w:val="000C2A6C"/>
    <w:rsid w:val="000C3BF3"/>
    <w:rsid w:val="000C5A47"/>
    <w:rsid w:val="000E12F8"/>
    <w:rsid w:val="000E3BB6"/>
    <w:rsid w:val="000F0E30"/>
    <w:rsid w:val="000F175A"/>
    <w:rsid w:val="000F25F2"/>
    <w:rsid w:val="000F49E6"/>
    <w:rsid w:val="000F50AA"/>
    <w:rsid w:val="000F73D4"/>
    <w:rsid w:val="000F7E25"/>
    <w:rsid w:val="0010166B"/>
    <w:rsid w:val="001036C9"/>
    <w:rsid w:val="001063F6"/>
    <w:rsid w:val="00112F61"/>
    <w:rsid w:val="00113174"/>
    <w:rsid w:val="00113330"/>
    <w:rsid w:val="001138FE"/>
    <w:rsid w:val="00116AF0"/>
    <w:rsid w:val="001176BC"/>
    <w:rsid w:val="001204A8"/>
    <w:rsid w:val="001260C0"/>
    <w:rsid w:val="001270E3"/>
    <w:rsid w:val="00127EDE"/>
    <w:rsid w:val="00133345"/>
    <w:rsid w:val="00133C35"/>
    <w:rsid w:val="00134C61"/>
    <w:rsid w:val="00135F12"/>
    <w:rsid w:val="00137AA3"/>
    <w:rsid w:val="00151E15"/>
    <w:rsid w:val="001549ED"/>
    <w:rsid w:val="0015598E"/>
    <w:rsid w:val="0015632F"/>
    <w:rsid w:val="001566A2"/>
    <w:rsid w:val="00157448"/>
    <w:rsid w:val="00160A93"/>
    <w:rsid w:val="001746E0"/>
    <w:rsid w:val="00176C5B"/>
    <w:rsid w:val="00180D33"/>
    <w:rsid w:val="00184377"/>
    <w:rsid w:val="0019139D"/>
    <w:rsid w:val="001A1861"/>
    <w:rsid w:val="001A5913"/>
    <w:rsid w:val="001A7809"/>
    <w:rsid w:val="001B0DA3"/>
    <w:rsid w:val="001B589D"/>
    <w:rsid w:val="001C1FAB"/>
    <w:rsid w:val="001C42D1"/>
    <w:rsid w:val="001D08F7"/>
    <w:rsid w:val="001D281D"/>
    <w:rsid w:val="001D40D9"/>
    <w:rsid w:val="001D436B"/>
    <w:rsid w:val="001D72C3"/>
    <w:rsid w:val="001E0B1D"/>
    <w:rsid w:val="001E1964"/>
    <w:rsid w:val="001E4325"/>
    <w:rsid w:val="001E4766"/>
    <w:rsid w:val="001E6157"/>
    <w:rsid w:val="001E69F5"/>
    <w:rsid w:val="001E6B9E"/>
    <w:rsid w:val="001E7767"/>
    <w:rsid w:val="001F23E9"/>
    <w:rsid w:val="001F7FF4"/>
    <w:rsid w:val="00201E46"/>
    <w:rsid w:val="0020215A"/>
    <w:rsid w:val="00210A3C"/>
    <w:rsid w:val="00213F0D"/>
    <w:rsid w:val="0021741B"/>
    <w:rsid w:val="00225928"/>
    <w:rsid w:val="002260A8"/>
    <w:rsid w:val="00226FEA"/>
    <w:rsid w:val="002308EA"/>
    <w:rsid w:val="00230B18"/>
    <w:rsid w:val="0023111F"/>
    <w:rsid w:val="00231F9D"/>
    <w:rsid w:val="0023216E"/>
    <w:rsid w:val="002344E7"/>
    <w:rsid w:val="00241443"/>
    <w:rsid w:val="0024336E"/>
    <w:rsid w:val="00251D4F"/>
    <w:rsid w:val="002552E7"/>
    <w:rsid w:val="0025670D"/>
    <w:rsid w:val="00260CB0"/>
    <w:rsid w:val="00261E93"/>
    <w:rsid w:val="002637BD"/>
    <w:rsid w:val="00265F1D"/>
    <w:rsid w:val="00272FCA"/>
    <w:rsid w:val="00275227"/>
    <w:rsid w:val="00280879"/>
    <w:rsid w:val="00291807"/>
    <w:rsid w:val="0029445B"/>
    <w:rsid w:val="00295F95"/>
    <w:rsid w:val="002A02F4"/>
    <w:rsid w:val="002A04E9"/>
    <w:rsid w:val="002A086B"/>
    <w:rsid w:val="002C240C"/>
    <w:rsid w:val="002C4566"/>
    <w:rsid w:val="002C7033"/>
    <w:rsid w:val="002C7443"/>
    <w:rsid w:val="002D4C17"/>
    <w:rsid w:val="002E0043"/>
    <w:rsid w:val="002E5434"/>
    <w:rsid w:val="002E71DD"/>
    <w:rsid w:val="002F05EA"/>
    <w:rsid w:val="002F68B4"/>
    <w:rsid w:val="00302DA3"/>
    <w:rsid w:val="00305386"/>
    <w:rsid w:val="00305AF9"/>
    <w:rsid w:val="00315CEE"/>
    <w:rsid w:val="00326A53"/>
    <w:rsid w:val="0033474A"/>
    <w:rsid w:val="003363C7"/>
    <w:rsid w:val="00340102"/>
    <w:rsid w:val="00341281"/>
    <w:rsid w:val="00341BA4"/>
    <w:rsid w:val="0034719B"/>
    <w:rsid w:val="00351FE3"/>
    <w:rsid w:val="00355B3F"/>
    <w:rsid w:val="00355DB6"/>
    <w:rsid w:val="00364C68"/>
    <w:rsid w:val="00366A32"/>
    <w:rsid w:val="003676F8"/>
    <w:rsid w:val="003759D5"/>
    <w:rsid w:val="003807D3"/>
    <w:rsid w:val="00382A98"/>
    <w:rsid w:val="00384F2C"/>
    <w:rsid w:val="003875DB"/>
    <w:rsid w:val="00390E61"/>
    <w:rsid w:val="00391B54"/>
    <w:rsid w:val="0039252C"/>
    <w:rsid w:val="0039429B"/>
    <w:rsid w:val="003942B0"/>
    <w:rsid w:val="0039586F"/>
    <w:rsid w:val="0039701B"/>
    <w:rsid w:val="003A13EC"/>
    <w:rsid w:val="003A4F5B"/>
    <w:rsid w:val="003B3485"/>
    <w:rsid w:val="003B5562"/>
    <w:rsid w:val="003B574F"/>
    <w:rsid w:val="003B7C88"/>
    <w:rsid w:val="003C5793"/>
    <w:rsid w:val="003C6E42"/>
    <w:rsid w:val="003D6EFC"/>
    <w:rsid w:val="003E2D23"/>
    <w:rsid w:val="003E385B"/>
    <w:rsid w:val="003E3AB4"/>
    <w:rsid w:val="003E4731"/>
    <w:rsid w:val="003E4DD6"/>
    <w:rsid w:val="003E63B8"/>
    <w:rsid w:val="003E6E5D"/>
    <w:rsid w:val="003E70AD"/>
    <w:rsid w:val="003E7509"/>
    <w:rsid w:val="003F239E"/>
    <w:rsid w:val="003F6F3A"/>
    <w:rsid w:val="003F74B5"/>
    <w:rsid w:val="004000B0"/>
    <w:rsid w:val="00400BA0"/>
    <w:rsid w:val="00402035"/>
    <w:rsid w:val="00414E16"/>
    <w:rsid w:val="0041533E"/>
    <w:rsid w:val="00416BED"/>
    <w:rsid w:val="00423872"/>
    <w:rsid w:val="00426DCD"/>
    <w:rsid w:val="00427F83"/>
    <w:rsid w:val="00432939"/>
    <w:rsid w:val="00446344"/>
    <w:rsid w:val="0044670E"/>
    <w:rsid w:val="004467D3"/>
    <w:rsid w:val="004501FE"/>
    <w:rsid w:val="004518AB"/>
    <w:rsid w:val="00452720"/>
    <w:rsid w:val="00452856"/>
    <w:rsid w:val="004545D9"/>
    <w:rsid w:val="00455229"/>
    <w:rsid w:val="0045596E"/>
    <w:rsid w:val="00457D66"/>
    <w:rsid w:val="0046117C"/>
    <w:rsid w:val="00470A82"/>
    <w:rsid w:val="00476763"/>
    <w:rsid w:val="00481076"/>
    <w:rsid w:val="00486B09"/>
    <w:rsid w:val="00497DD6"/>
    <w:rsid w:val="004A0E74"/>
    <w:rsid w:val="004A2526"/>
    <w:rsid w:val="004A2A06"/>
    <w:rsid w:val="004A2CFB"/>
    <w:rsid w:val="004A3CF7"/>
    <w:rsid w:val="004A3F0D"/>
    <w:rsid w:val="004A5AF8"/>
    <w:rsid w:val="004A5EB7"/>
    <w:rsid w:val="004A6FE8"/>
    <w:rsid w:val="004B296E"/>
    <w:rsid w:val="004B5D4B"/>
    <w:rsid w:val="004B5EBD"/>
    <w:rsid w:val="004B5F1B"/>
    <w:rsid w:val="004C6605"/>
    <w:rsid w:val="004D346D"/>
    <w:rsid w:val="004D4299"/>
    <w:rsid w:val="004D475D"/>
    <w:rsid w:val="004E42AC"/>
    <w:rsid w:val="004E516C"/>
    <w:rsid w:val="004F156E"/>
    <w:rsid w:val="004F3716"/>
    <w:rsid w:val="004F5738"/>
    <w:rsid w:val="00503222"/>
    <w:rsid w:val="00505A34"/>
    <w:rsid w:val="00506613"/>
    <w:rsid w:val="00512811"/>
    <w:rsid w:val="00512A20"/>
    <w:rsid w:val="00512E23"/>
    <w:rsid w:val="00514964"/>
    <w:rsid w:val="00517F44"/>
    <w:rsid w:val="00522082"/>
    <w:rsid w:val="0052312E"/>
    <w:rsid w:val="00535D2F"/>
    <w:rsid w:val="00543B14"/>
    <w:rsid w:val="005464C4"/>
    <w:rsid w:val="0054654F"/>
    <w:rsid w:val="0055114E"/>
    <w:rsid w:val="005527BB"/>
    <w:rsid w:val="00556A44"/>
    <w:rsid w:val="00562821"/>
    <w:rsid w:val="00564766"/>
    <w:rsid w:val="00564CFA"/>
    <w:rsid w:val="0057347E"/>
    <w:rsid w:val="00574D67"/>
    <w:rsid w:val="0057557C"/>
    <w:rsid w:val="00575D62"/>
    <w:rsid w:val="005762F9"/>
    <w:rsid w:val="00576C7C"/>
    <w:rsid w:val="00577655"/>
    <w:rsid w:val="0058296E"/>
    <w:rsid w:val="00584BA8"/>
    <w:rsid w:val="005902FB"/>
    <w:rsid w:val="005914EE"/>
    <w:rsid w:val="005935D0"/>
    <w:rsid w:val="00596C39"/>
    <w:rsid w:val="005A5FE7"/>
    <w:rsid w:val="005B171F"/>
    <w:rsid w:val="005B4AB8"/>
    <w:rsid w:val="005C790F"/>
    <w:rsid w:val="005D64B2"/>
    <w:rsid w:val="005E52D1"/>
    <w:rsid w:val="005F06D8"/>
    <w:rsid w:val="005F0E88"/>
    <w:rsid w:val="005F4F29"/>
    <w:rsid w:val="006019EA"/>
    <w:rsid w:val="00601B40"/>
    <w:rsid w:val="00605A68"/>
    <w:rsid w:val="00610E8B"/>
    <w:rsid w:val="00611DAB"/>
    <w:rsid w:val="00613C35"/>
    <w:rsid w:val="006152A0"/>
    <w:rsid w:val="0061604A"/>
    <w:rsid w:val="00623035"/>
    <w:rsid w:val="00630AC1"/>
    <w:rsid w:val="00631AC8"/>
    <w:rsid w:val="0063320C"/>
    <w:rsid w:val="00635DBB"/>
    <w:rsid w:val="0063671C"/>
    <w:rsid w:val="00637167"/>
    <w:rsid w:val="006415E4"/>
    <w:rsid w:val="00643BBC"/>
    <w:rsid w:val="00653854"/>
    <w:rsid w:val="0065539A"/>
    <w:rsid w:val="006568E8"/>
    <w:rsid w:val="00656C1A"/>
    <w:rsid w:val="006620F8"/>
    <w:rsid w:val="0066360D"/>
    <w:rsid w:val="0066454F"/>
    <w:rsid w:val="00672A06"/>
    <w:rsid w:val="00672B5B"/>
    <w:rsid w:val="00673FAA"/>
    <w:rsid w:val="00676710"/>
    <w:rsid w:val="006833AA"/>
    <w:rsid w:val="00683518"/>
    <w:rsid w:val="006841B8"/>
    <w:rsid w:val="00684761"/>
    <w:rsid w:val="006931BB"/>
    <w:rsid w:val="00695518"/>
    <w:rsid w:val="00695E5C"/>
    <w:rsid w:val="006A073D"/>
    <w:rsid w:val="006A560D"/>
    <w:rsid w:val="006A5C6A"/>
    <w:rsid w:val="006A5D8F"/>
    <w:rsid w:val="006A6C3B"/>
    <w:rsid w:val="006A7307"/>
    <w:rsid w:val="006B1398"/>
    <w:rsid w:val="006B44C6"/>
    <w:rsid w:val="006B47B6"/>
    <w:rsid w:val="006B5E9D"/>
    <w:rsid w:val="006B6325"/>
    <w:rsid w:val="006B684C"/>
    <w:rsid w:val="006C64D2"/>
    <w:rsid w:val="006C7559"/>
    <w:rsid w:val="006E18AC"/>
    <w:rsid w:val="006E3600"/>
    <w:rsid w:val="006E7FA5"/>
    <w:rsid w:val="006F3317"/>
    <w:rsid w:val="006F4BBF"/>
    <w:rsid w:val="006F5F33"/>
    <w:rsid w:val="007007A2"/>
    <w:rsid w:val="00703116"/>
    <w:rsid w:val="00707924"/>
    <w:rsid w:val="007109B4"/>
    <w:rsid w:val="007168B4"/>
    <w:rsid w:val="00724A96"/>
    <w:rsid w:val="00725083"/>
    <w:rsid w:val="00726EF5"/>
    <w:rsid w:val="00733736"/>
    <w:rsid w:val="007364AE"/>
    <w:rsid w:val="00736768"/>
    <w:rsid w:val="00737544"/>
    <w:rsid w:val="007412B8"/>
    <w:rsid w:val="007542F6"/>
    <w:rsid w:val="0075668A"/>
    <w:rsid w:val="00756E95"/>
    <w:rsid w:val="00757DBC"/>
    <w:rsid w:val="0076118E"/>
    <w:rsid w:val="007621FC"/>
    <w:rsid w:val="0076388E"/>
    <w:rsid w:val="00774757"/>
    <w:rsid w:val="00775BB6"/>
    <w:rsid w:val="00777A56"/>
    <w:rsid w:val="0078182F"/>
    <w:rsid w:val="007824CE"/>
    <w:rsid w:val="007835A8"/>
    <w:rsid w:val="00791889"/>
    <w:rsid w:val="007932D0"/>
    <w:rsid w:val="007934D4"/>
    <w:rsid w:val="007A1595"/>
    <w:rsid w:val="007A5E74"/>
    <w:rsid w:val="007C2518"/>
    <w:rsid w:val="007C5202"/>
    <w:rsid w:val="007C53D7"/>
    <w:rsid w:val="007C7608"/>
    <w:rsid w:val="007C79A5"/>
    <w:rsid w:val="007D217B"/>
    <w:rsid w:val="007D7602"/>
    <w:rsid w:val="007F01A3"/>
    <w:rsid w:val="007F0D4A"/>
    <w:rsid w:val="007F2FBB"/>
    <w:rsid w:val="007F472D"/>
    <w:rsid w:val="007F5E30"/>
    <w:rsid w:val="007F78B4"/>
    <w:rsid w:val="00804CD9"/>
    <w:rsid w:val="0080523C"/>
    <w:rsid w:val="00810B26"/>
    <w:rsid w:val="00827890"/>
    <w:rsid w:val="00835E25"/>
    <w:rsid w:val="008407A5"/>
    <w:rsid w:val="008522F1"/>
    <w:rsid w:val="008625C6"/>
    <w:rsid w:val="0086575F"/>
    <w:rsid w:val="008665F9"/>
    <w:rsid w:val="008668F5"/>
    <w:rsid w:val="00871E1D"/>
    <w:rsid w:val="0087621D"/>
    <w:rsid w:val="008809F8"/>
    <w:rsid w:val="00880CE8"/>
    <w:rsid w:val="00881F88"/>
    <w:rsid w:val="00886E49"/>
    <w:rsid w:val="00893BA5"/>
    <w:rsid w:val="00897C2C"/>
    <w:rsid w:val="008A0124"/>
    <w:rsid w:val="008A11DB"/>
    <w:rsid w:val="008A35D0"/>
    <w:rsid w:val="008A408F"/>
    <w:rsid w:val="008A6ADF"/>
    <w:rsid w:val="008B20CE"/>
    <w:rsid w:val="008B2331"/>
    <w:rsid w:val="008B59D7"/>
    <w:rsid w:val="008C018B"/>
    <w:rsid w:val="008C1AC0"/>
    <w:rsid w:val="008C2386"/>
    <w:rsid w:val="008C4BAF"/>
    <w:rsid w:val="008C571A"/>
    <w:rsid w:val="008C6025"/>
    <w:rsid w:val="008D2163"/>
    <w:rsid w:val="008D7436"/>
    <w:rsid w:val="008E5CA5"/>
    <w:rsid w:val="008F2608"/>
    <w:rsid w:val="008F36D2"/>
    <w:rsid w:val="008F4CBB"/>
    <w:rsid w:val="00901AF4"/>
    <w:rsid w:val="0090669A"/>
    <w:rsid w:val="00907378"/>
    <w:rsid w:val="0092509C"/>
    <w:rsid w:val="00926A55"/>
    <w:rsid w:val="00933A59"/>
    <w:rsid w:val="00936C2F"/>
    <w:rsid w:val="00940CAF"/>
    <w:rsid w:val="00941140"/>
    <w:rsid w:val="00942EF5"/>
    <w:rsid w:val="00942F56"/>
    <w:rsid w:val="0094670B"/>
    <w:rsid w:val="00946D99"/>
    <w:rsid w:val="0094781A"/>
    <w:rsid w:val="0095085B"/>
    <w:rsid w:val="009558DA"/>
    <w:rsid w:val="0095689D"/>
    <w:rsid w:val="00960131"/>
    <w:rsid w:val="009644D6"/>
    <w:rsid w:val="00964AD6"/>
    <w:rsid w:val="00965746"/>
    <w:rsid w:val="009661FA"/>
    <w:rsid w:val="00973461"/>
    <w:rsid w:val="0098223A"/>
    <w:rsid w:val="00982A80"/>
    <w:rsid w:val="009836FB"/>
    <w:rsid w:val="0098596A"/>
    <w:rsid w:val="00986FB0"/>
    <w:rsid w:val="0098700A"/>
    <w:rsid w:val="009904C8"/>
    <w:rsid w:val="00992334"/>
    <w:rsid w:val="00995145"/>
    <w:rsid w:val="00996F4D"/>
    <w:rsid w:val="009A1BA2"/>
    <w:rsid w:val="009A2840"/>
    <w:rsid w:val="009A2A9A"/>
    <w:rsid w:val="009A5148"/>
    <w:rsid w:val="009B01A2"/>
    <w:rsid w:val="009B1B4F"/>
    <w:rsid w:val="009B2D09"/>
    <w:rsid w:val="009B4FE1"/>
    <w:rsid w:val="009C48BA"/>
    <w:rsid w:val="009C4CC6"/>
    <w:rsid w:val="009C71B7"/>
    <w:rsid w:val="009D4B76"/>
    <w:rsid w:val="009D5E03"/>
    <w:rsid w:val="009E0F74"/>
    <w:rsid w:val="009F1FC3"/>
    <w:rsid w:val="009F20C3"/>
    <w:rsid w:val="009F2E47"/>
    <w:rsid w:val="009F5FB2"/>
    <w:rsid w:val="00A01494"/>
    <w:rsid w:val="00A05A46"/>
    <w:rsid w:val="00A07D04"/>
    <w:rsid w:val="00A10926"/>
    <w:rsid w:val="00A1554C"/>
    <w:rsid w:val="00A247B3"/>
    <w:rsid w:val="00A27360"/>
    <w:rsid w:val="00A3673B"/>
    <w:rsid w:val="00A37062"/>
    <w:rsid w:val="00A4089A"/>
    <w:rsid w:val="00A42EE4"/>
    <w:rsid w:val="00A43296"/>
    <w:rsid w:val="00A43787"/>
    <w:rsid w:val="00A454E4"/>
    <w:rsid w:val="00A525B8"/>
    <w:rsid w:val="00A60C8A"/>
    <w:rsid w:val="00A620FB"/>
    <w:rsid w:val="00A65980"/>
    <w:rsid w:val="00A65A99"/>
    <w:rsid w:val="00A66293"/>
    <w:rsid w:val="00A72803"/>
    <w:rsid w:val="00A75115"/>
    <w:rsid w:val="00A76231"/>
    <w:rsid w:val="00A8104F"/>
    <w:rsid w:val="00A81F75"/>
    <w:rsid w:val="00A85C3E"/>
    <w:rsid w:val="00A85DC6"/>
    <w:rsid w:val="00A86F50"/>
    <w:rsid w:val="00A87627"/>
    <w:rsid w:val="00A90918"/>
    <w:rsid w:val="00A9101A"/>
    <w:rsid w:val="00A91376"/>
    <w:rsid w:val="00A91395"/>
    <w:rsid w:val="00A92CDD"/>
    <w:rsid w:val="00A94B74"/>
    <w:rsid w:val="00A9645C"/>
    <w:rsid w:val="00A9697F"/>
    <w:rsid w:val="00A97C5B"/>
    <w:rsid w:val="00A97D25"/>
    <w:rsid w:val="00AB37FB"/>
    <w:rsid w:val="00AC00F6"/>
    <w:rsid w:val="00AC208B"/>
    <w:rsid w:val="00AD3F50"/>
    <w:rsid w:val="00AD53A5"/>
    <w:rsid w:val="00AE1FA3"/>
    <w:rsid w:val="00AE50F5"/>
    <w:rsid w:val="00AF11E3"/>
    <w:rsid w:val="00AF3F42"/>
    <w:rsid w:val="00B0392D"/>
    <w:rsid w:val="00B12F00"/>
    <w:rsid w:val="00B131D4"/>
    <w:rsid w:val="00B13A1E"/>
    <w:rsid w:val="00B13F8B"/>
    <w:rsid w:val="00B14947"/>
    <w:rsid w:val="00B157AE"/>
    <w:rsid w:val="00B229D2"/>
    <w:rsid w:val="00B30D5A"/>
    <w:rsid w:val="00B312C9"/>
    <w:rsid w:val="00B32AFC"/>
    <w:rsid w:val="00B4232B"/>
    <w:rsid w:val="00B460D4"/>
    <w:rsid w:val="00B46E86"/>
    <w:rsid w:val="00B52595"/>
    <w:rsid w:val="00B534D9"/>
    <w:rsid w:val="00B60822"/>
    <w:rsid w:val="00B665C9"/>
    <w:rsid w:val="00B700E8"/>
    <w:rsid w:val="00B7659F"/>
    <w:rsid w:val="00B80464"/>
    <w:rsid w:val="00B81E16"/>
    <w:rsid w:val="00B83499"/>
    <w:rsid w:val="00B85D32"/>
    <w:rsid w:val="00B86939"/>
    <w:rsid w:val="00B872D5"/>
    <w:rsid w:val="00B91A2F"/>
    <w:rsid w:val="00BA2B94"/>
    <w:rsid w:val="00BA2E53"/>
    <w:rsid w:val="00BA6FE6"/>
    <w:rsid w:val="00BA7754"/>
    <w:rsid w:val="00BB405C"/>
    <w:rsid w:val="00BB6005"/>
    <w:rsid w:val="00BB69DD"/>
    <w:rsid w:val="00BC0FE8"/>
    <w:rsid w:val="00BC1645"/>
    <w:rsid w:val="00BC336D"/>
    <w:rsid w:val="00BC5A2A"/>
    <w:rsid w:val="00BC7AAE"/>
    <w:rsid w:val="00BD1CA0"/>
    <w:rsid w:val="00BD78C8"/>
    <w:rsid w:val="00BE6F68"/>
    <w:rsid w:val="00BF0144"/>
    <w:rsid w:val="00BF2ECD"/>
    <w:rsid w:val="00BF4D71"/>
    <w:rsid w:val="00C10B78"/>
    <w:rsid w:val="00C114C0"/>
    <w:rsid w:val="00C1217D"/>
    <w:rsid w:val="00C1249C"/>
    <w:rsid w:val="00C14170"/>
    <w:rsid w:val="00C1549F"/>
    <w:rsid w:val="00C2109A"/>
    <w:rsid w:val="00C2141B"/>
    <w:rsid w:val="00C2232A"/>
    <w:rsid w:val="00C33AAC"/>
    <w:rsid w:val="00C37724"/>
    <w:rsid w:val="00C378CF"/>
    <w:rsid w:val="00C40796"/>
    <w:rsid w:val="00C44558"/>
    <w:rsid w:val="00C463B4"/>
    <w:rsid w:val="00C474E7"/>
    <w:rsid w:val="00C568A5"/>
    <w:rsid w:val="00C6226D"/>
    <w:rsid w:val="00C664BD"/>
    <w:rsid w:val="00C71F78"/>
    <w:rsid w:val="00C7347A"/>
    <w:rsid w:val="00C7505D"/>
    <w:rsid w:val="00C82353"/>
    <w:rsid w:val="00C837C7"/>
    <w:rsid w:val="00C901CF"/>
    <w:rsid w:val="00C9266D"/>
    <w:rsid w:val="00C94024"/>
    <w:rsid w:val="00C94124"/>
    <w:rsid w:val="00CB03FF"/>
    <w:rsid w:val="00CB0762"/>
    <w:rsid w:val="00CB2DAE"/>
    <w:rsid w:val="00CB52FF"/>
    <w:rsid w:val="00CB5A95"/>
    <w:rsid w:val="00CB5FFE"/>
    <w:rsid w:val="00CC15DC"/>
    <w:rsid w:val="00CC4F88"/>
    <w:rsid w:val="00CC506E"/>
    <w:rsid w:val="00CD2264"/>
    <w:rsid w:val="00CD3B14"/>
    <w:rsid w:val="00CD42AD"/>
    <w:rsid w:val="00CD4588"/>
    <w:rsid w:val="00CE2DAF"/>
    <w:rsid w:val="00CF290F"/>
    <w:rsid w:val="00D005D1"/>
    <w:rsid w:val="00D07E15"/>
    <w:rsid w:val="00D145CF"/>
    <w:rsid w:val="00D24323"/>
    <w:rsid w:val="00D2756B"/>
    <w:rsid w:val="00D3045E"/>
    <w:rsid w:val="00D36745"/>
    <w:rsid w:val="00D37A4B"/>
    <w:rsid w:val="00D4136F"/>
    <w:rsid w:val="00D417BB"/>
    <w:rsid w:val="00D43408"/>
    <w:rsid w:val="00D4496B"/>
    <w:rsid w:val="00D45372"/>
    <w:rsid w:val="00D45534"/>
    <w:rsid w:val="00D45C3F"/>
    <w:rsid w:val="00D47932"/>
    <w:rsid w:val="00D52065"/>
    <w:rsid w:val="00D525C9"/>
    <w:rsid w:val="00D5386E"/>
    <w:rsid w:val="00D53B6D"/>
    <w:rsid w:val="00D564D3"/>
    <w:rsid w:val="00D56B0A"/>
    <w:rsid w:val="00D63BC8"/>
    <w:rsid w:val="00D72433"/>
    <w:rsid w:val="00D72787"/>
    <w:rsid w:val="00D73591"/>
    <w:rsid w:val="00D7513E"/>
    <w:rsid w:val="00D8461E"/>
    <w:rsid w:val="00D863F9"/>
    <w:rsid w:val="00D875D0"/>
    <w:rsid w:val="00D87A2F"/>
    <w:rsid w:val="00D946BE"/>
    <w:rsid w:val="00D95DF9"/>
    <w:rsid w:val="00D96095"/>
    <w:rsid w:val="00D97459"/>
    <w:rsid w:val="00DA070F"/>
    <w:rsid w:val="00DA19B6"/>
    <w:rsid w:val="00DA1C74"/>
    <w:rsid w:val="00DA31DD"/>
    <w:rsid w:val="00DA59ED"/>
    <w:rsid w:val="00DC0C09"/>
    <w:rsid w:val="00DC1D6D"/>
    <w:rsid w:val="00DC1D88"/>
    <w:rsid w:val="00DC5BBA"/>
    <w:rsid w:val="00DC7862"/>
    <w:rsid w:val="00DD2077"/>
    <w:rsid w:val="00DD2591"/>
    <w:rsid w:val="00DD3611"/>
    <w:rsid w:val="00DD610C"/>
    <w:rsid w:val="00DE30AD"/>
    <w:rsid w:val="00DF24A7"/>
    <w:rsid w:val="00DF32C1"/>
    <w:rsid w:val="00E04095"/>
    <w:rsid w:val="00E061F7"/>
    <w:rsid w:val="00E067EA"/>
    <w:rsid w:val="00E137F7"/>
    <w:rsid w:val="00E144F4"/>
    <w:rsid w:val="00E20B5D"/>
    <w:rsid w:val="00E260F1"/>
    <w:rsid w:val="00E276B0"/>
    <w:rsid w:val="00E36CBF"/>
    <w:rsid w:val="00E50EF3"/>
    <w:rsid w:val="00E52398"/>
    <w:rsid w:val="00E64C95"/>
    <w:rsid w:val="00E657FF"/>
    <w:rsid w:val="00E67932"/>
    <w:rsid w:val="00E73E4E"/>
    <w:rsid w:val="00E82340"/>
    <w:rsid w:val="00E82F46"/>
    <w:rsid w:val="00E919C1"/>
    <w:rsid w:val="00E93ABC"/>
    <w:rsid w:val="00E95605"/>
    <w:rsid w:val="00E9616C"/>
    <w:rsid w:val="00EA18A6"/>
    <w:rsid w:val="00EA2CD8"/>
    <w:rsid w:val="00EA2D7F"/>
    <w:rsid w:val="00EB01B3"/>
    <w:rsid w:val="00EC1203"/>
    <w:rsid w:val="00EC1F20"/>
    <w:rsid w:val="00EC57E8"/>
    <w:rsid w:val="00EC6D66"/>
    <w:rsid w:val="00ED0A3F"/>
    <w:rsid w:val="00ED2D50"/>
    <w:rsid w:val="00ED449D"/>
    <w:rsid w:val="00EE0133"/>
    <w:rsid w:val="00EE4BA8"/>
    <w:rsid w:val="00EE5A91"/>
    <w:rsid w:val="00EF1CBD"/>
    <w:rsid w:val="00EF729B"/>
    <w:rsid w:val="00F046B8"/>
    <w:rsid w:val="00F05D9E"/>
    <w:rsid w:val="00F1007A"/>
    <w:rsid w:val="00F12573"/>
    <w:rsid w:val="00F16236"/>
    <w:rsid w:val="00F30E07"/>
    <w:rsid w:val="00F3130E"/>
    <w:rsid w:val="00F35ECA"/>
    <w:rsid w:val="00F41471"/>
    <w:rsid w:val="00F4154B"/>
    <w:rsid w:val="00F4315E"/>
    <w:rsid w:val="00F43350"/>
    <w:rsid w:val="00F43E4D"/>
    <w:rsid w:val="00F56D75"/>
    <w:rsid w:val="00F60736"/>
    <w:rsid w:val="00F607B3"/>
    <w:rsid w:val="00F61C2C"/>
    <w:rsid w:val="00F644A0"/>
    <w:rsid w:val="00F66201"/>
    <w:rsid w:val="00F720EE"/>
    <w:rsid w:val="00F7372A"/>
    <w:rsid w:val="00F74969"/>
    <w:rsid w:val="00F77670"/>
    <w:rsid w:val="00F80F81"/>
    <w:rsid w:val="00F82BFB"/>
    <w:rsid w:val="00F84552"/>
    <w:rsid w:val="00F85695"/>
    <w:rsid w:val="00F86AAC"/>
    <w:rsid w:val="00FA0DE3"/>
    <w:rsid w:val="00FA28AB"/>
    <w:rsid w:val="00FA39D8"/>
    <w:rsid w:val="00FA4FDE"/>
    <w:rsid w:val="00FB276E"/>
    <w:rsid w:val="00FB44CF"/>
    <w:rsid w:val="00FB7AD3"/>
    <w:rsid w:val="00FB7DBA"/>
    <w:rsid w:val="00FC2D7D"/>
    <w:rsid w:val="00FC4E30"/>
    <w:rsid w:val="00FC593F"/>
    <w:rsid w:val="00FD073C"/>
    <w:rsid w:val="00FD0CF3"/>
    <w:rsid w:val="00FD5F61"/>
    <w:rsid w:val="00FD6522"/>
    <w:rsid w:val="00FD694F"/>
    <w:rsid w:val="00FE1831"/>
    <w:rsid w:val="00FE1BB6"/>
    <w:rsid w:val="00FE5624"/>
    <w:rsid w:val="00FE7E4D"/>
    <w:rsid w:val="00FF0C9D"/>
    <w:rsid w:val="00FF2051"/>
    <w:rsid w:val="00FF4BAB"/>
    <w:rsid w:val="00FF4D36"/>
    <w:rsid w:val="00FF7020"/>
    <w:rsid w:val="00FF7F22"/>
    <w:rsid w:val="FFFDD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lang w:val="zh-CN" w:eastAsia="zh-CN"/>
    </w:rPr>
  </w:style>
  <w:style w:type="paragraph" w:styleId="4">
    <w:name w:val="heading 3"/>
    <w:basedOn w:val="1"/>
    <w:next w:val="1"/>
    <w:link w:val="39"/>
    <w:qFormat/>
    <w:uiPriority w:val="0"/>
    <w:pPr>
      <w:keepNext/>
      <w:spacing w:after="100" w:afterAutospacing="1" w:line="720" w:lineRule="auto"/>
      <w:jc w:val="center"/>
      <w:outlineLvl w:val="2"/>
    </w:pPr>
    <w:rPr>
      <w:rFonts w:ascii="黑体" w:hAnsi="Times New Roman" w:eastAsia="黑体" w:cs="Times New Roman"/>
      <w:b/>
      <w:sz w:val="44"/>
      <w:szCs w:val="20"/>
      <w:lang w:val="zh-CN" w:eastAsia="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rPr>
      <w:rFonts w:ascii="Times New Roman" w:hAnsi="Times New Roman" w:eastAsia="宋体" w:cs="Times New Roman"/>
      <w:szCs w:val="20"/>
    </w:rPr>
  </w:style>
  <w:style w:type="paragraph" w:styleId="6">
    <w:name w:val="annotation text"/>
    <w:basedOn w:val="1"/>
    <w:link w:val="48"/>
    <w:semiHidden/>
    <w:qFormat/>
    <w:uiPriority w:val="0"/>
    <w:pPr>
      <w:jc w:val="left"/>
    </w:pPr>
    <w:rPr>
      <w:rFonts w:ascii="Times New Roman" w:hAnsi="Times New Roman" w:eastAsia="宋体" w:cs="Times New Roman"/>
      <w:szCs w:val="20"/>
      <w:lang w:val="zh-CN" w:eastAsia="zh-CN"/>
    </w:rPr>
  </w:style>
  <w:style w:type="paragraph" w:styleId="7">
    <w:name w:val="Body Text Indent"/>
    <w:basedOn w:val="1"/>
    <w:link w:val="50"/>
    <w:qFormat/>
    <w:uiPriority w:val="0"/>
    <w:pPr>
      <w:tabs>
        <w:tab w:val="left" w:pos="1751"/>
        <w:tab w:val="left" w:pos="8336"/>
      </w:tabs>
      <w:spacing w:line="300" w:lineRule="atLeast"/>
      <w:ind w:firstLine="560" w:firstLineChars="200"/>
      <w:jc w:val="left"/>
    </w:pPr>
    <w:rPr>
      <w:rFonts w:ascii="仿宋_GB2312" w:hAnsi="Times New Roman" w:eastAsia="仿宋_GB2312" w:cs="Times New Roman"/>
      <w:sz w:val="28"/>
      <w:szCs w:val="20"/>
      <w:lang w:val="zh-CN" w:eastAsia="zh-CN"/>
    </w:rPr>
  </w:style>
  <w:style w:type="paragraph" w:styleId="8">
    <w:name w:val="toc 5"/>
    <w:basedOn w:val="1"/>
    <w:next w:val="1"/>
    <w:semiHidden/>
    <w:qFormat/>
    <w:uiPriority w:val="0"/>
    <w:pPr>
      <w:ind w:left="1680" w:leftChars="800"/>
    </w:pPr>
    <w:rPr>
      <w:rFonts w:ascii="Times New Roman" w:hAnsi="Times New Roman" w:eastAsia="宋体" w:cs="Times New Roman"/>
      <w:szCs w:val="20"/>
    </w:rPr>
  </w:style>
  <w:style w:type="paragraph" w:styleId="9">
    <w:name w:val="toc 3"/>
    <w:basedOn w:val="1"/>
    <w:next w:val="1"/>
    <w:semiHidden/>
    <w:qFormat/>
    <w:uiPriority w:val="0"/>
    <w:pPr>
      <w:ind w:left="840" w:leftChars="400"/>
    </w:pPr>
    <w:rPr>
      <w:rFonts w:ascii="Times New Roman" w:hAnsi="Times New Roman" w:eastAsia="宋体" w:cs="Times New Roman"/>
      <w:szCs w:val="20"/>
    </w:rPr>
  </w:style>
  <w:style w:type="paragraph" w:styleId="10">
    <w:name w:val="toc 8"/>
    <w:basedOn w:val="1"/>
    <w:next w:val="1"/>
    <w:semiHidden/>
    <w:qFormat/>
    <w:uiPriority w:val="0"/>
    <w:pPr>
      <w:ind w:left="2940" w:leftChars="1400"/>
    </w:pPr>
    <w:rPr>
      <w:rFonts w:ascii="Times New Roman" w:hAnsi="Times New Roman" w:eastAsia="宋体" w:cs="Times New Roman"/>
      <w:szCs w:val="20"/>
    </w:rPr>
  </w:style>
  <w:style w:type="paragraph" w:styleId="11">
    <w:name w:val="Body Text Indent 2"/>
    <w:basedOn w:val="1"/>
    <w:link w:val="49"/>
    <w:qFormat/>
    <w:uiPriority w:val="0"/>
    <w:pPr>
      <w:spacing w:before="100" w:line="360" w:lineRule="auto"/>
      <w:ind w:firstLine="560" w:firstLineChars="200"/>
    </w:pPr>
    <w:rPr>
      <w:rFonts w:ascii="仿宋_GB2312" w:hAnsi="宋体" w:eastAsia="仿宋_GB2312" w:cs="Times New Roman"/>
      <w:sz w:val="28"/>
      <w:szCs w:val="20"/>
      <w:lang w:val="zh-CN" w:eastAsia="zh-CN"/>
    </w:rPr>
  </w:style>
  <w:style w:type="paragraph" w:styleId="12">
    <w:name w:val="endnote text"/>
    <w:basedOn w:val="1"/>
    <w:link w:val="44"/>
    <w:semiHidden/>
    <w:unhideWhenUsed/>
    <w:qFormat/>
    <w:uiPriority w:val="99"/>
    <w:pPr>
      <w:snapToGrid w:val="0"/>
      <w:jc w:val="left"/>
    </w:pPr>
  </w:style>
  <w:style w:type="paragraph" w:styleId="13">
    <w:name w:val="Balloon Text"/>
    <w:basedOn w:val="1"/>
    <w:link w:val="42"/>
    <w:semiHidden/>
    <w:unhideWhenUsed/>
    <w:qFormat/>
    <w:uiPriority w:val="0"/>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eastAsia="宋体" w:cs="Times New Roman"/>
      <w:szCs w:val="20"/>
    </w:rPr>
  </w:style>
  <w:style w:type="paragraph" w:styleId="17">
    <w:name w:val="toc 4"/>
    <w:basedOn w:val="1"/>
    <w:next w:val="1"/>
    <w:semiHidden/>
    <w:qFormat/>
    <w:uiPriority w:val="0"/>
    <w:pPr>
      <w:ind w:left="1260" w:leftChars="600"/>
    </w:pPr>
    <w:rPr>
      <w:rFonts w:ascii="Times New Roman" w:hAnsi="Times New Roman" w:eastAsia="宋体" w:cs="Times New Roman"/>
      <w:szCs w:val="20"/>
    </w:rPr>
  </w:style>
  <w:style w:type="paragraph" w:styleId="18">
    <w:name w:val="footnote text"/>
    <w:basedOn w:val="1"/>
    <w:link w:val="45"/>
    <w:semiHidden/>
    <w:unhideWhenUsed/>
    <w:qFormat/>
    <w:uiPriority w:val="99"/>
    <w:pPr>
      <w:snapToGrid w:val="0"/>
      <w:jc w:val="left"/>
    </w:pPr>
    <w:rPr>
      <w:sz w:val="18"/>
      <w:szCs w:val="18"/>
    </w:rPr>
  </w:style>
  <w:style w:type="paragraph" w:styleId="19">
    <w:name w:val="toc 6"/>
    <w:basedOn w:val="1"/>
    <w:next w:val="1"/>
    <w:semiHidden/>
    <w:qFormat/>
    <w:uiPriority w:val="0"/>
    <w:pPr>
      <w:ind w:left="2100" w:leftChars="1000"/>
    </w:pPr>
    <w:rPr>
      <w:rFonts w:ascii="Times New Roman" w:hAnsi="Times New Roman" w:eastAsia="宋体" w:cs="Times New Roman"/>
      <w:szCs w:val="20"/>
    </w:rPr>
  </w:style>
  <w:style w:type="paragraph" w:styleId="20">
    <w:name w:val="toc 2"/>
    <w:basedOn w:val="1"/>
    <w:next w:val="1"/>
    <w:qFormat/>
    <w:uiPriority w:val="39"/>
    <w:pPr>
      <w:ind w:left="420" w:leftChars="200"/>
    </w:pPr>
    <w:rPr>
      <w:rFonts w:ascii="Times New Roman" w:hAnsi="Times New Roman" w:eastAsia="宋体" w:cs="Times New Roman"/>
      <w:szCs w:val="20"/>
    </w:rPr>
  </w:style>
  <w:style w:type="paragraph" w:styleId="21">
    <w:name w:val="toc 9"/>
    <w:basedOn w:val="1"/>
    <w:next w:val="1"/>
    <w:semiHidden/>
    <w:qFormat/>
    <w:uiPriority w:val="0"/>
    <w:pPr>
      <w:ind w:left="3360" w:leftChars="1600"/>
    </w:pPr>
    <w:rPr>
      <w:rFonts w:ascii="Times New Roman" w:hAnsi="Times New Roman" w:eastAsia="宋体" w:cs="Times New Roman"/>
      <w:szCs w:val="20"/>
    </w:rPr>
  </w:style>
  <w:style w:type="paragraph" w:styleId="22">
    <w:name w:val="Title"/>
    <w:basedOn w:val="1"/>
    <w:next w:val="1"/>
    <w:link w:val="54"/>
    <w:qFormat/>
    <w:uiPriority w:val="0"/>
    <w:pPr>
      <w:spacing w:before="240" w:after="60"/>
      <w:jc w:val="center"/>
      <w:outlineLvl w:val="0"/>
    </w:pPr>
    <w:rPr>
      <w:rFonts w:ascii="Calibri Light" w:hAnsi="Calibri Light" w:eastAsia="宋体" w:cs="Times New Roman"/>
      <w:b/>
      <w:bCs/>
      <w:sz w:val="32"/>
      <w:szCs w:val="32"/>
    </w:rPr>
  </w:style>
  <w:style w:type="paragraph" w:styleId="23">
    <w:name w:val="annotation subject"/>
    <w:basedOn w:val="6"/>
    <w:next w:val="6"/>
    <w:link w:val="56"/>
    <w:semiHidden/>
    <w:unhideWhenUsed/>
    <w:qFormat/>
    <w:uiPriority w:val="99"/>
    <w:rPr>
      <w:rFonts w:asciiTheme="minorHAnsi" w:hAnsiTheme="minorHAnsi" w:eastAsiaTheme="minorEastAsia" w:cstheme="minorBidi"/>
      <w:b/>
      <w:bCs/>
      <w:szCs w:val="22"/>
      <w:lang w:val="en-US" w:eastAsia="zh-CN"/>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endnote reference"/>
    <w:basedOn w:val="26"/>
    <w:semiHidden/>
    <w:unhideWhenUsed/>
    <w:qFormat/>
    <w:uiPriority w:val="99"/>
    <w:rPr>
      <w:vertAlign w:val="superscript"/>
    </w:rPr>
  </w:style>
  <w:style w:type="character" w:styleId="29">
    <w:name w:val="page number"/>
    <w:basedOn w:val="26"/>
    <w:qFormat/>
    <w:uiPriority w:val="0"/>
  </w:style>
  <w:style w:type="character" w:styleId="30">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1">
    <w:name w:val="Emphasis"/>
    <w:qFormat/>
    <w:uiPriority w:val="0"/>
    <w:rPr>
      <w:i/>
    </w:rPr>
  </w:style>
  <w:style w:type="character" w:styleId="32">
    <w:name w:val="Hyperlink"/>
    <w:qFormat/>
    <w:uiPriority w:val="99"/>
    <w:rPr>
      <w:dstrike/>
      <w:color w:val="000000"/>
      <w:sz w:val="18"/>
      <w:u w:val="none"/>
    </w:rPr>
  </w:style>
  <w:style w:type="character" w:styleId="33">
    <w:name w:val="annotation reference"/>
    <w:semiHidden/>
    <w:qFormat/>
    <w:uiPriority w:val="0"/>
    <w:rPr>
      <w:sz w:val="21"/>
    </w:rPr>
  </w:style>
  <w:style w:type="character" w:styleId="34">
    <w:name w:val="footnote reference"/>
    <w:basedOn w:val="26"/>
    <w:semiHidden/>
    <w:unhideWhenUsed/>
    <w:qFormat/>
    <w:uiPriority w:val="99"/>
    <w:rPr>
      <w:vertAlign w:val="superscript"/>
    </w:rPr>
  </w:style>
  <w:style w:type="character" w:customStyle="1" w:styleId="35">
    <w:name w:val="页眉 Char"/>
    <w:basedOn w:val="26"/>
    <w:link w:val="15"/>
    <w:qFormat/>
    <w:uiPriority w:val="99"/>
    <w:rPr>
      <w:sz w:val="18"/>
      <w:szCs w:val="18"/>
    </w:rPr>
  </w:style>
  <w:style w:type="character" w:customStyle="1" w:styleId="36">
    <w:name w:val="页脚 Char"/>
    <w:basedOn w:val="26"/>
    <w:link w:val="14"/>
    <w:qFormat/>
    <w:uiPriority w:val="99"/>
    <w:rPr>
      <w:sz w:val="18"/>
      <w:szCs w:val="18"/>
    </w:rPr>
  </w:style>
  <w:style w:type="character" w:customStyle="1" w:styleId="37">
    <w:name w:val="标题 1 Char"/>
    <w:basedOn w:val="26"/>
    <w:link w:val="2"/>
    <w:qFormat/>
    <w:uiPriority w:val="0"/>
    <w:rPr>
      <w:b/>
      <w:bCs/>
      <w:kern w:val="44"/>
      <w:sz w:val="44"/>
      <w:szCs w:val="44"/>
    </w:rPr>
  </w:style>
  <w:style w:type="character" w:customStyle="1" w:styleId="38">
    <w:name w:val="标题 2 Char"/>
    <w:basedOn w:val="26"/>
    <w:link w:val="3"/>
    <w:qFormat/>
    <w:uiPriority w:val="0"/>
    <w:rPr>
      <w:rFonts w:ascii="Arial" w:hAnsi="Arial" w:eastAsia="黑体" w:cs="Times New Roman"/>
      <w:b/>
      <w:sz w:val="32"/>
      <w:szCs w:val="20"/>
      <w:lang w:val="zh-CN" w:eastAsia="zh-CN"/>
    </w:rPr>
  </w:style>
  <w:style w:type="character" w:customStyle="1" w:styleId="39">
    <w:name w:val="标题 3 Char"/>
    <w:basedOn w:val="26"/>
    <w:link w:val="4"/>
    <w:qFormat/>
    <w:uiPriority w:val="0"/>
    <w:rPr>
      <w:rFonts w:ascii="黑体" w:hAnsi="Times New Roman" w:eastAsia="黑体" w:cs="Times New Roman"/>
      <w:b/>
      <w:sz w:val="44"/>
      <w:szCs w:val="20"/>
      <w:lang w:val="zh-CN" w:eastAsia="zh-CN"/>
    </w:rPr>
  </w:style>
  <w:style w:type="table" w:customStyle="1" w:styleId="40">
    <w:name w:val="浅色底纹1"/>
    <w:basedOn w:val="24"/>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1">
    <w:name w:val="浅色底纹 - 强调文字颜色 11"/>
    <w:basedOn w:val="24"/>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character" w:customStyle="1" w:styleId="42">
    <w:name w:val="批注框文本 Char"/>
    <w:basedOn w:val="26"/>
    <w:link w:val="13"/>
    <w:semiHidden/>
    <w:qFormat/>
    <w:uiPriority w:val="0"/>
    <w:rPr>
      <w:sz w:val="18"/>
      <w:szCs w:val="18"/>
    </w:rPr>
  </w:style>
  <w:style w:type="paragraph" w:styleId="43">
    <w:name w:val="List Paragraph"/>
    <w:basedOn w:val="1"/>
    <w:qFormat/>
    <w:uiPriority w:val="34"/>
    <w:pPr>
      <w:ind w:firstLine="420" w:firstLineChars="200"/>
    </w:pPr>
  </w:style>
  <w:style w:type="character" w:customStyle="1" w:styleId="44">
    <w:name w:val="尾注文本 Char"/>
    <w:basedOn w:val="26"/>
    <w:link w:val="12"/>
    <w:semiHidden/>
    <w:qFormat/>
    <w:uiPriority w:val="99"/>
  </w:style>
  <w:style w:type="character" w:customStyle="1" w:styleId="45">
    <w:name w:val="脚注文本 Char"/>
    <w:basedOn w:val="26"/>
    <w:link w:val="18"/>
    <w:semiHidden/>
    <w:qFormat/>
    <w:uiPriority w:val="99"/>
    <w:rPr>
      <w:sz w:val="18"/>
      <w:szCs w:val="18"/>
    </w:rPr>
  </w:style>
  <w:style w:type="character" w:styleId="46">
    <w:name w:val="Placeholder Text"/>
    <w:basedOn w:val="26"/>
    <w:semiHidden/>
    <w:qFormat/>
    <w:uiPriority w:val="99"/>
    <w:rPr>
      <w:color w:val="808080"/>
    </w:rPr>
  </w:style>
  <w:style w:type="character" w:customStyle="1" w:styleId="47">
    <w:name w:val="f141"/>
    <w:qFormat/>
    <w:uiPriority w:val="0"/>
    <w:rPr>
      <w:sz w:val="22"/>
    </w:rPr>
  </w:style>
  <w:style w:type="character" w:customStyle="1" w:styleId="48">
    <w:name w:val="批注文字 Char"/>
    <w:basedOn w:val="26"/>
    <w:link w:val="6"/>
    <w:semiHidden/>
    <w:qFormat/>
    <w:uiPriority w:val="0"/>
    <w:rPr>
      <w:rFonts w:ascii="Times New Roman" w:hAnsi="Times New Roman" w:eastAsia="宋体" w:cs="Times New Roman"/>
      <w:szCs w:val="20"/>
      <w:lang w:val="zh-CN" w:eastAsia="zh-CN"/>
    </w:rPr>
  </w:style>
  <w:style w:type="character" w:customStyle="1" w:styleId="49">
    <w:name w:val="正文文本缩进 2 Char"/>
    <w:basedOn w:val="26"/>
    <w:link w:val="11"/>
    <w:qFormat/>
    <w:uiPriority w:val="0"/>
    <w:rPr>
      <w:rFonts w:ascii="仿宋_GB2312" w:hAnsi="宋体" w:eastAsia="仿宋_GB2312" w:cs="Times New Roman"/>
      <w:sz w:val="28"/>
      <w:szCs w:val="20"/>
      <w:lang w:val="zh-CN" w:eastAsia="zh-CN"/>
    </w:rPr>
  </w:style>
  <w:style w:type="character" w:customStyle="1" w:styleId="50">
    <w:name w:val="正文文本缩进 Char"/>
    <w:basedOn w:val="26"/>
    <w:link w:val="7"/>
    <w:qFormat/>
    <w:uiPriority w:val="0"/>
    <w:rPr>
      <w:rFonts w:ascii="仿宋_GB2312" w:hAnsi="Times New Roman" w:eastAsia="仿宋_GB2312" w:cs="Times New Roman"/>
      <w:sz w:val="28"/>
      <w:szCs w:val="20"/>
      <w:lang w:val="zh-CN" w:eastAsia="zh-CN"/>
    </w:rPr>
  </w:style>
  <w:style w:type="paragraph" w:customStyle="1" w:styleId="51">
    <w:name w:val="Default"/>
    <w:qFormat/>
    <w:uiPriority w:val="0"/>
    <w:pPr>
      <w:widowControl w:val="0"/>
      <w:autoSpaceDE w:val="0"/>
      <w:autoSpaceDN w:val="0"/>
      <w:adjustRightInd w:val="0"/>
    </w:pPr>
    <w:rPr>
      <w:rFonts w:ascii="黑体" w:hAnsi="Times New Roman" w:eastAsia="黑体" w:cs="Times New Roman"/>
      <w:color w:val="000000"/>
      <w:kern w:val="0"/>
      <w:sz w:val="24"/>
      <w:szCs w:val="20"/>
      <w:lang w:val="en-US" w:eastAsia="zh-CN" w:bidi="ar-SA"/>
    </w:rPr>
  </w:style>
  <w:style w:type="paragraph" w:customStyle="1" w:styleId="52">
    <w:name w:val="MTDisplayEquation"/>
    <w:basedOn w:val="1"/>
    <w:next w:val="1"/>
    <w:qFormat/>
    <w:uiPriority w:val="0"/>
    <w:pPr>
      <w:tabs>
        <w:tab w:val="center" w:pos="4160"/>
        <w:tab w:val="right" w:pos="8300"/>
      </w:tabs>
      <w:autoSpaceDE w:val="0"/>
      <w:autoSpaceDN w:val="0"/>
      <w:adjustRightInd w:val="0"/>
      <w:spacing w:before="312" w:after="312" w:line="360" w:lineRule="auto"/>
      <w:ind w:firstLine="560" w:firstLineChars="200"/>
      <w:jc w:val="center"/>
    </w:pPr>
    <w:rPr>
      <w:rFonts w:ascii="仿宋_GB2312" w:hAnsi="Times New Roman" w:eastAsia="仿宋_GB2312" w:cs="Times New Roman"/>
      <w:sz w:val="28"/>
      <w:szCs w:val="20"/>
    </w:rPr>
  </w:style>
  <w:style w:type="paragraph" w:customStyle="1" w:styleId="53">
    <w:name w:val="默认段落字体 Para Char"/>
    <w:basedOn w:val="1"/>
    <w:qFormat/>
    <w:uiPriority w:val="0"/>
    <w:rPr>
      <w:rFonts w:ascii="Times New Roman" w:hAnsi="Times New Roman" w:eastAsia="宋体" w:cs="Times New Roman"/>
      <w:szCs w:val="24"/>
    </w:rPr>
  </w:style>
  <w:style w:type="character" w:customStyle="1" w:styleId="54">
    <w:name w:val="标题 Char"/>
    <w:basedOn w:val="26"/>
    <w:link w:val="22"/>
    <w:qFormat/>
    <w:uiPriority w:val="0"/>
    <w:rPr>
      <w:rFonts w:ascii="Calibri Light" w:hAnsi="Calibri Light" w:eastAsia="宋体" w:cs="Times New Roman"/>
      <w:b/>
      <w:bCs/>
      <w:sz w:val="32"/>
      <w:szCs w:val="32"/>
    </w:rPr>
  </w:style>
  <w:style w:type="character" w:customStyle="1" w:styleId="55">
    <w:name w:val="fontstyle01"/>
    <w:basedOn w:val="26"/>
    <w:qFormat/>
    <w:uiPriority w:val="0"/>
    <w:rPr>
      <w:rFonts w:hint="eastAsia" w:ascii="仿宋_GB2312" w:eastAsia="仿宋_GB2312"/>
      <w:color w:val="000000"/>
      <w:sz w:val="28"/>
      <w:szCs w:val="28"/>
    </w:rPr>
  </w:style>
  <w:style w:type="character" w:customStyle="1" w:styleId="56">
    <w:name w:val="批注主题 Char"/>
    <w:basedOn w:val="48"/>
    <w:link w:val="23"/>
    <w:semiHidden/>
    <w:qFormat/>
    <w:uiPriority w:val="99"/>
    <w:rPr>
      <w:rFonts w:ascii="Times New Roman" w:hAnsi="Times New Roman" w:eastAsia="宋体" w:cs="Times New Roman"/>
      <w:b/>
      <w:bCs/>
      <w:szCs w:val="20"/>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425</Words>
  <Characters>2427</Characters>
  <Lines>20</Lines>
  <Paragraphs>5</Paragraphs>
  <TotalTime>2520</TotalTime>
  <ScaleCrop>false</ScaleCrop>
  <LinksUpToDate>false</LinksUpToDate>
  <CharactersWithSpaces>2847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2018-11-06T17:25:00Z</dcterms:created>
  <dc:creator>gaoduo</dc:creator>
  <cp:lastModifiedBy>gaoduo</cp:lastModifiedBy>
  <cp:lastPrinted>2018-11-20T10:40:00Z</cp:lastPrinted>
  <dcterms:modified xsi:type="dcterms:W3CDTF">2023-05-22T18:40:01Z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