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AFF7" w14:textId="4B0DC645" w:rsidR="009C08B4" w:rsidRDefault="009C08B4" w:rsidP="009C08B4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Pr="009C08B4">
        <w:rPr>
          <w:rFonts w:ascii="Times New Roman" w:eastAsia="黑体" w:hAnsi="Times New Roman"/>
          <w:sz w:val="32"/>
          <w:szCs w:val="32"/>
        </w:rPr>
        <w:t>4</w:t>
      </w:r>
    </w:p>
    <w:p w14:paraId="5839549F" w14:textId="77777777" w:rsidR="009C08B4" w:rsidRDefault="009C08B4" w:rsidP="009C08B4">
      <w:pPr>
        <w:adjustRightInd w:val="0"/>
        <w:snapToGrid w:val="0"/>
        <w:spacing w:line="600" w:lineRule="exact"/>
        <w:jc w:val="center"/>
        <w:rPr>
          <w:rFonts w:eastAsia="仿宋"/>
          <w:sz w:val="32"/>
          <w:szCs w:val="32"/>
        </w:rPr>
      </w:pPr>
    </w:p>
    <w:p w14:paraId="2A7032F3" w14:textId="77777777" w:rsidR="009C08B4" w:rsidRDefault="009C08B4" w:rsidP="009C08B4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方正小标宋简体" w:cs="方正小标宋简体"/>
          <w:sz w:val="44"/>
          <w:szCs w:val="44"/>
        </w:rPr>
      </w:pPr>
      <w:r>
        <w:rPr>
          <w:rFonts w:ascii="方正大标宋简体" w:eastAsia="方正大标宋简体" w:hAnsi="方正小标宋简体" w:cs="方正小标宋简体" w:hint="eastAsia"/>
          <w:sz w:val="44"/>
          <w:szCs w:val="44"/>
        </w:rPr>
        <w:t>《两网公司及退市公司信息披露办法》</w:t>
      </w:r>
    </w:p>
    <w:p w14:paraId="2D5F704A" w14:textId="77777777" w:rsidR="009C08B4" w:rsidRDefault="009C08B4" w:rsidP="009C08B4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方正小标宋简体" w:cs="方正小标宋简体"/>
          <w:sz w:val="44"/>
          <w:szCs w:val="44"/>
        </w:rPr>
      </w:pPr>
      <w:r w:rsidRPr="00532E3C">
        <w:rPr>
          <w:rFonts w:ascii="方正大标宋简体" w:eastAsia="方正大标宋简体" w:hAnsi="方正小标宋简体" w:cs="方正小标宋简体" w:hint="eastAsia"/>
          <w:sz w:val="44"/>
          <w:szCs w:val="44"/>
        </w:rPr>
        <w:t>（征求意见稿）</w:t>
      </w:r>
      <w:r>
        <w:rPr>
          <w:rFonts w:ascii="方正大标宋简体" w:eastAsia="方正大标宋简体" w:hAnsi="方正小标宋简体" w:cs="方正小标宋简体" w:hint="eastAsia"/>
          <w:sz w:val="44"/>
          <w:szCs w:val="44"/>
        </w:rPr>
        <w:t>修订说明</w:t>
      </w:r>
    </w:p>
    <w:p w14:paraId="4163A2D2" w14:textId="77777777" w:rsidR="009C08B4" w:rsidRDefault="009C08B4" w:rsidP="009C08B4">
      <w:pPr>
        <w:spacing w:line="600" w:lineRule="exact"/>
      </w:pPr>
    </w:p>
    <w:p w14:paraId="266A2742" w14:textId="22D46AC6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完善退</w:t>
      </w:r>
      <w:proofErr w:type="gramEnd"/>
      <w:r>
        <w:rPr>
          <w:rFonts w:ascii="仿宋" w:eastAsia="仿宋" w:hAnsi="仿宋" w:hint="eastAsia"/>
          <w:sz w:val="32"/>
          <w:szCs w:val="32"/>
        </w:rPr>
        <w:t>市公司监管制度是健全上市公司退市机制的重要内容，在保障退市制度平稳实施、保护投资者合法权益、防范市场风险等方面发挥着重要作用。其中</w:t>
      </w:r>
      <w:r>
        <w:rPr>
          <w:rFonts w:ascii="仿宋" w:eastAsia="仿宋" w:hAnsi="仿宋"/>
          <w:sz w:val="32"/>
          <w:szCs w:val="32"/>
        </w:rPr>
        <w:t>退市公司</w:t>
      </w:r>
      <w:r>
        <w:rPr>
          <w:rFonts w:ascii="仿宋" w:eastAsia="仿宋" w:hAnsi="仿宋" w:hint="eastAsia"/>
          <w:sz w:val="32"/>
          <w:szCs w:val="32"/>
        </w:rPr>
        <w:t>规范</w:t>
      </w:r>
      <w:r>
        <w:rPr>
          <w:rFonts w:ascii="仿宋" w:eastAsia="仿宋" w:hAnsi="仿宋"/>
          <w:sz w:val="32"/>
          <w:szCs w:val="32"/>
        </w:rPr>
        <w:t>信息披露是投资者交易决策的重要</w:t>
      </w:r>
      <w:r>
        <w:rPr>
          <w:rFonts w:ascii="仿宋" w:eastAsia="仿宋" w:hAnsi="仿宋" w:hint="eastAsia"/>
          <w:sz w:val="32"/>
          <w:szCs w:val="32"/>
        </w:rPr>
        <w:t>保障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《全国中小企业股份转让系统两网公司及退市公司信息披露暂行办法》（</w:t>
      </w:r>
      <w:r>
        <w:rPr>
          <w:rFonts w:ascii="仿宋" w:eastAsia="仿宋" w:hAnsi="仿宋"/>
          <w:sz w:val="32"/>
          <w:szCs w:val="32"/>
        </w:rPr>
        <w:t>以下简称《信息披露办法》</w:t>
      </w:r>
      <w:r>
        <w:rPr>
          <w:rFonts w:ascii="仿宋" w:eastAsia="仿宋" w:hAnsi="仿宋" w:hint="eastAsia"/>
          <w:sz w:val="32"/>
          <w:szCs w:val="32"/>
        </w:rPr>
        <w:t>）在促进</w:t>
      </w:r>
      <w:r>
        <w:rPr>
          <w:rFonts w:ascii="仿宋" w:eastAsia="仿宋" w:hAnsi="仿宋"/>
          <w:sz w:val="32"/>
          <w:szCs w:val="32"/>
        </w:rPr>
        <w:t>退市公司规范信息披露方面发挥了重要作用。</w:t>
      </w:r>
      <w:r>
        <w:rPr>
          <w:rFonts w:ascii="仿宋" w:eastAsia="仿宋" w:hAnsi="仿宋" w:hint="eastAsia"/>
          <w:sz w:val="32"/>
          <w:szCs w:val="32"/>
        </w:rPr>
        <w:t>但实践中，《信息披露办法》存在规范要求过高、监管针对性不强等</w:t>
      </w:r>
      <w:r>
        <w:rPr>
          <w:rFonts w:ascii="仿宋" w:eastAsia="仿宋" w:hAnsi="仿宋"/>
          <w:sz w:val="32"/>
          <w:szCs w:val="32"/>
        </w:rPr>
        <w:t>问题。</w:t>
      </w:r>
      <w:r>
        <w:rPr>
          <w:rFonts w:ascii="仿宋" w:eastAsia="仿宋" w:hAnsi="仿宋" w:hint="eastAsia"/>
          <w:sz w:val="32"/>
          <w:szCs w:val="32"/>
        </w:rPr>
        <w:t>为适应注册制改革和常态化退市的要求，进一步完善退市公司信息</w:t>
      </w:r>
      <w:r>
        <w:rPr>
          <w:rFonts w:ascii="仿宋" w:eastAsia="仿宋" w:hAnsi="仿宋"/>
          <w:sz w:val="32"/>
          <w:szCs w:val="32"/>
        </w:rPr>
        <w:t>披露</w:t>
      </w:r>
      <w:r>
        <w:rPr>
          <w:rFonts w:ascii="仿宋" w:eastAsia="仿宋" w:hAnsi="仿宋" w:hint="eastAsia"/>
          <w:sz w:val="32"/>
          <w:szCs w:val="32"/>
        </w:rPr>
        <w:t>管理，根据《公司法》《证券法》《关于完善上市公司退市后监管工作的指导意见》等有关规定，全国中小企业股份转让系统有限责任公司（以下简称全国股转公司）修订了《信息披露办法》，并命名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《两网公司及退市公司信息披露办法》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，现就有关事项说明如下：</w:t>
      </w:r>
    </w:p>
    <w:p w14:paraId="5170E811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一、修订思路</w:t>
      </w:r>
    </w:p>
    <w:p w14:paraId="7383ACE3" w14:textId="47AE96C2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全国股转公司在</w:t>
      </w:r>
      <w:r w:rsidRPr="009C08B4">
        <w:rPr>
          <w:rFonts w:ascii="Times New Roman" w:eastAsia="仿宋" w:hAnsi="Times New Roman" w:hint="eastAsia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年承接原证券公司代办股份转让系统时，整体平移了该系统信息披露制度。现行《信息披露办法》参</w:t>
      </w:r>
      <w:r>
        <w:rPr>
          <w:rFonts w:ascii="仿宋" w:eastAsia="仿宋" w:hAnsi="仿宋" w:hint="eastAsia"/>
          <w:sz w:val="32"/>
          <w:szCs w:val="32"/>
        </w:rPr>
        <w:lastRenderedPageBreak/>
        <w:t>照了</w:t>
      </w:r>
      <w:r>
        <w:rPr>
          <w:rFonts w:ascii="仿宋" w:eastAsia="仿宋" w:hAnsi="仿宋"/>
          <w:sz w:val="32"/>
          <w:szCs w:val="32"/>
        </w:rPr>
        <w:t>上市公司</w:t>
      </w:r>
      <w:r>
        <w:rPr>
          <w:rFonts w:ascii="仿宋" w:eastAsia="仿宋" w:hAnsi="仿宋" w:hint="eastAsia"/>
          <w:sz w:val="32"/>
          <w:szCs w:val="32"/>
        </w:rPr>
        <w:t>较为</w:t>
      </w:r>
      <w:r>
        <w:rPr>
          <w:rFonts w:ascii="仿宋" w:eastAsia="仿宋" w:hAnsi="仿宋"/>
          <w:sz w:val="32"/>
          <w:szCs w:val="32"/>
        </w:rPr>
        <w:t>严格</w:t>
      </w:r>
      <w:r>
        <w:rPr>
          <w:rFonts w:ascii="仿宋" w:eastAsia="仿宋" w:hAnsi="仿宋" w:hint="eastAsia"/>
          <w:sz w:val="32"/>
          <w:szCs w:val="32"/>
        </w:rPr>
        <w:t>的信息披露</w:t>
      </w:r>
      <w:r>
        <w:rPr>
          <w:rFonts w:ascii="仿宋" w:eastAsia="仿宋" w:hAnsi="仿宋"/>
          <w:sz w:val="32"/>
          <w:szCs w:val="32"/>
        </w:rPr>
        <w:t>要求，</w:t>
      </w:r>
      <w:r>
        <w:rPr>
          <w:rFonts w:ascii="仿宋" w:eastAsia="仿宋" w:hAnsi="仿宋" w:hint="eastAsia"/>
          <w:sz w:val="32"/>
          <w:szCs w:val="32"/>
        </w:rPr>
        <w:t>与退市公司目前</w:t>
      </w:r>
      <w:r>
        <w:rPr>
          <w:rFonts w:ascii="仿宋" w:eastAsia="仿宋" w:hAnsi="仿宋"/>
          <w:sz w:val="32"/>
          <w:szCs w:val="32"/>
        </w:rPr>
        <w:t>整体的</w:t>
      </w:r>
      <w:r>
        <w:rPr>
          <w:rFonts w:ascii="仿宋" w:eastAsia="仿宋" w:hAnsi="仿宋" w:hint="eastAsia"/>
          <w:sz w:val="32"/>
          <w:szCs w:val="32"/>
        </w:rPr>
        <w:t>生产经营现状、信息披露能力、成本承受能力存在不匹配之处。为使退市公司监管要求符合实际，保障监管制度可执行、见成效，《两网公司及退市公司信息披露办法》</w:t>
      </w:r>
      <w:r w:rsidRPr="00532E3C">
        <w:rPr>
          <w:rFonts w:ascii="仿宋" w:eastAsia="仿宋" w:hAnsi="仿宋" w:hint="eastAsia"/>
          <w:sz w:val="32"/>
          <w:szCs w:val="32"/>
        </w:rPr>
        <w:t>（征求意见稿）</w:t>
      </w:r>
      <w:r>
        <w:rPr>
          <w:rFonts w:ascii="仿宋" w:eastAsia="仿宋" w:hAnsi="仿宋" w:hint="eastAsia"/>
          <w:sz w:val="32"/>
          <w:szCs w:val="32"/>
        </w:rPr>
        <w:t>适度降低了退市公司监管要求，结合</w:t>
      </w:r>
      <w:r>
        <w:rPr>
          <w:rFonts w:ascii="仿宋" w:eastAsia="仿宋" w:hAnsi="仿宋"/>
          <w:sz w:val="32"/>
          <w:szCs w:val="32"/>
        </w:rPr>
        <w:t>退市公司</w:t>
      </w:r>
      <w:r>
        <w:rPr>
          <w:rFonts w:ascii="仿宋" w:eastAsia="仿宋" w:hAnsi="仿宋" w:hint="eastAsia"/>
          <w:sz w:val="32"/>
          <w:szCs w:val="32"/>
        </w:rPr>
        <w:t>披露、治理、经营</w:t>
      </w:r>
      <w:r>
        <w:rPr>
          <w:rFonts w:ascii="仿宋" w:eastAsia="仿宋" w:hAnsi="仿宋"/>
          <w:sz w:val="32"/>
          <w:szCs w:val="32"/>
        </w:rPr>
        <w:t>特点有针对性地优化了相关信息披露流程和信息披露要求。</w:t>
      </w:r>
    </w:p>
    <w:p w14:paraId="1D8C8311" w14:textId="77777777" w:rsidR="009C08B4" w:rsidRDefault="009C08B4" w:rsidP="009C08B4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主要修订内容</w:t>
      </w:r>
    </w:p>
    <w:p w14:paraId="328CEDBB" w14:textId="7A41E4ED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规则修订前总共</w:t>
      </w:r>
      <w:r w:rsidRPr="009C08B4">
        <w:rPr>
          <w:rFonts w:ascii="Times New Roman" w:eastAsia="仿宋" w:hAnsi="Times New Roman" w:hint="eastAsia"/>
          <w:sz w:val="32"/>
          <w:szCs w:val="32"/>
        </w:rPr>
        <w:t>92</w:t>
      </w:r>
      <w:r>
        <w:rPr>
          <w:rFonts w:ascii="仿宋" w:eastAsia="仿宋" w:hAnsi="仿宋" w:hint="eastAsia"/>
          <w:sz w:val="32"/>
          <w:szCs w:val="32"/>
        </w:rPr>
        <w:t>条，修订后适度减少至</w:t>
      </w:r>
      <w:r w:rsidRPr="009C08B4">
        <w:rPr>
          <w:rFonts w:ascii="Times New Roman" w:eastAsia="仿宋" w:hAnsi="Times New Roman" w:hint="eastAsia"/>
          <w:sz w:val="32"/>
          <w:szCs w:val="32"/>
        </w:rPr>
        <w:t>68</w:t>
      </w:r>
      <w:r>
        <w:rPr>
          <w:rFonts w:ascii="仿宋" w:eastAsia="仿宋" w:hAnsi="仿宋" w:hint="eastAsia"/>
          <w:sz w:val="32"/>
          <w:szCs w:val="32"/>
        </w:rPr>
        <w:t>条。本次修订对原规则条文进行了全面梳理，鉴于条文数量较多，根据条文的具体内容将其分为</w:t>
      </w:r>
      <w:r w:rsidRPr="009C08B4"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章，分别为总则、定期报告、临时报告、信息披露事务管理、自律管理和附则。其中临时报告又分为</w:t>
      </w:r>
      <w:r w:rsidRPr="009C08B4"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节，分别为一般规定、董事会监事会和股东大会决议、交易事项、关联交易和其他重大事项。本次修订的主要内容如下：</w:t>
      </w:r>
    </w:p>
    <w:p w14:paraId="6388EE81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方正楷体_GBK"/>
          <w:bCs/>
          <w:sz w:val="32"/>
          <w:szCs w:val="32"/>
        </w:rPr>
      </w:pPr>
      <w:r>
        <w:rPr>
          <w:rFonts w:ascii="楷体" w:eastAsia="楷体" w:hAnsi="楷体" w:cs="方正楷体_GBK" w:hint="eastAsia"/>
          <w:bCs/>
          <w:sz w:val="32"/>
          <w:szCs w:val="32"/>
        </w:rPr>
        <w:t>（一）降低总体规范要求</w:t>
      </w:r>
    </w:p>
    <w:p w14:paraId="1732C752" w14:textId="2C5073F2" w:rsidR="009C08B4" w:rsidRDefault="009C08B4" w:rsidP="009C08B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C08B4">
        <w:rPr>
          <w:rFonts w:ascii="Times New Roman" w:eastAsia="仿宋" w:hAnsi="Times New Roman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.定期</w:t>
      </w:r>
      <w:r>
        <w:rPr>
          <w:rFonts w:ascii="仿宋" w:eastAsia="仿宋" w:hAnsi="仿宋"/>
          <w:b/>
          <w:bCs/>
          <w:sz w:val="32"/>
          <w:szCs w:val="32"/>
        </w:rPr>
        <w:t>报告披露方面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不再强制要求退市公司披露季报，定期</w:t>
      </w:r>
      <w:r>
        <w:rPr>
          <w:rFonts w:ascii="仿宋" w:eastAsia="仿宋" w:hAnsi="仿宋"/>
          <w:sz w:val="32"/>
          <w:szCs w:val="32"/>
        </w:rPr>
        <w:t>报告</w:t>
      </w:r>
      <w:r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/>
          <w:sz w:val="32"/>
          <w:szCs w:val="32"/>
        </w:rPr>
        <w:t>方面由全国股转公司规定，不再参照上市公司</w:t>
      </w:r>
      <w:r>
        <w:rPr>
          <w:rFonts w:ascii="仿宋" w:eastAsia="仿宋" w:hAnsi="仿宋" w:hint="eastAsia"/>
          <w:sz w:val="32"/>
          <w:szCs w:val="32"/>
        </w:rPr>
        <w:t>定期</w:t>
      </w:r>
      <w:r>
        <w:rPr>
          <w:rFonts w:ascii="仿宋" w:eastAsia="仿宋" w:hAnsi="仿宋"/>
          <w:sz w:val="32"/>
          <w:szCs w:val="32"/>
        </w:rPr>
        <w:t>报告内容与格式要求编制。</w:t>
      </w:r>
      <w:r>
        <w:rPr>
          <w:rFonts w:ascii="仿宋" w:eastAsia="仿宋" w:hAnsi="仿宋" w:hint="eastAsia"/>
          <w:sz w:val="32"/>
          <w:szCs w:val="32"/>
        </w:rPr>
        <w:t>与此</w:t>
      </w:r>
      <w:r>
        <w:rPr>
          <w:rFonts w:ascii="仿宋" w:eastAsia="仿宋" w:hAnsi="仿宋"/>
          <w:sz w:val="32"/>
          <w:szCs w:val="32"/>
        </w:rPr>
        <w:t>同时</w:t>
      </w:r>
      <w:r>
        <w:rPr>
          <w:rFonts w:ascii="仿宋" w:eastAsia="仿宋" w:hAnsi="仿宋" w:hint="eastAsia"/>
          <w:sz w:val="32"/>
          <w:szCs w:val="32"/>
        </w:rPr>
        <w:t>明确</w:t>
      </w:r>
      <w:r>
        <w:rPr>
          <w:rFonts w:ascii="仿宋" w:eastAsia="仿宋" w:hAnsi="仿宋"/>
          <w:sz w:val="32"/>
          <w:szCs w:val="32"/>
        </w:rPr>
        <w:t>了董事会、监事会及董</w:t>
      </w:r>
      <w:proofErr w:type="gramStart"/>
      <w:r>
        <w:rPr>
          <w:rFonts w:ascii="仿宋" w:eastAsia="仿宋" w:hAnsi="仿宋"/>
          <w:sz w:val="32"/>
          <w:szCs w:val="32"/>
        </w:rPr>
        <w:t>监高对于</w:t>
      </w:r>
      <w:proofErr w:type="gramEnd"/>
      <w:r>
        <w:rPr>
          <w:rFonts w:ascii="仿宋" w:eastAsia="仿宋" w:hAnsi="仿宋"/>
          <w:sz w:val="32"/>
          <w:szCs w:val="32"/>
        </w:rPr>
        <w:t>定期报告审议、审查的要求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差错更正方面的安排。</w:t>
      </w:r>
    </w:p>
    <w:p w14:paraId="12156351" w14:textId="5B7C3277" w:rsidR="009C08B4" w:rsidRDefault="009C08B4" w:rsidP="009C08B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C08B4">
        <w:rPr>
          <w:rFonts w:ascii="Times New Roman" w:eastAsia="仿宋" w:hAnsi="Times New Roman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.临时</w:t>
      </w:r>
      <w:r>
        <w:rPr>
          <w:rFonts w:ascii="仿宋" w:eastAsia="仿宋" w:hAnsi="仿宋"/>
          <w:b/>
          <w:bCs/>
          <w:sz w:val="32"/>
          <w:szCs w:val="32"/>
        </w:rPr>
        <w:t>报告披露方面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降低了审议与披露的标准，一是交易事项方面，由原标准中的净利润、总资产标准，简化为按照公司章程需经董事会或股东大会审议的收购、出售资产事项，应当及</w:t>
      </w:r>
      <w:r>
        <w:rPr>
          <w:rFonts w:ascii="仿宋" w:eastAsia="仿宋" w:hAnsi="仿宋" w:hint="eastAsia"/>
          <w:sz w:val="32"/>
          <w:szCs w:val="32"/>
        </w:rPr>
        <w:lastRenderedPageBreak/>
        <w:t>时披露。二是对外担保事项方面，变更为应提交董事会审议并披露。明确了对关联方的担保需股东大会审议。三是关联交易事项方面，简化了回避程序的规定，改由根据法律法规、部门规章、业务规则在公司章程中规定履行义务；删除净资产披露标准，改为按照公司章程应经董事会或股东大会审议的关联交易，应及时披露；将豁免关联交易披露的情形由三项增加至九项。四是其他重大事项方面，诉讼或仲裁的披露标准增加了</w:t>
      </w:r>
      <w:r w:rsidRPr="009C08B4">
        <w:rPr>
          <w:rFonts w:ascii="Times New Roman" w:eastAsia="仿宋" w:hAnsi="Times New Roman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万以上的要求，相较于原规则单纯的净资产</w:t>
      </w:r>
      <w:r w:rsidRPr="009C08B4"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%的要求，减轻了公司披露的负担；重大事项由十九项降低至十八项，并删除相关债权债务的定额要求（净资产</w:t>
      </w:r>
      <w:r w:rsidRPr="009C08B4"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%以上），调整为对公司产生重大影响定性要求。</w:t>
      </w:r>
    </w:p>
    <w:p w14:paraId="598FDBB0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方正楷体_GBK" w:hint="eastAsia"/>
          <w:sz w:val="32"/>
          <w:szCs w:val="32"/>
        </w:rPr>
        <w:t>（二）提高信息披露的针对性</w:t>
      </w:r>
    </w:p>
    <w:p w14:paraId="7EEBD0CA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鉴于</w:t>
      </w:r>
      <w:r>
        <w:rPr>
          <w:rFonts w:ascii="仿宋" w:eastAsia="仿宋" w:hAnsi="仿宋" w:hint="eastAsia"/>
          <w:sz w:val="32"/>
          <w:szCs w:val="32"/>
        </w:rPr>
        <w:t>部分</w:t>
      </w:r>
      <w:r>
        <w:rPr>
          <w:rFonts w:ascii="仿宋" w:eastAsia="仿宋" w:hAnsi="仿宋"/>
          <w:sz w:val="32"/>
          <w:szCs w:val="32"/>
        </w:rPr>
        <w:t>退市公司</w:t>
      </w:r>
      <w:r>
        <w:rPr>
          <w:rFonts w:ascii="仿宋" w:eastAsia="仿宋" w:hAnsi="仿宋" w:hint="eastAsia"/>
          <w:sz w:val="32"/>
          <w:szCs w:val="32"/>
        </w:rPr>
        <w:t>定期</w:t>
      </w:r>
      <w:r>
        <w:rPr>
          <w:rFonts w:ascii="仿宋" w:eastAsia="仿宋" w:hAnsi="仿宋"/>
          <w:sz w:val="32"/>
          <w:szCs w:val="32"/>
        </w:rPr>
        <w:t>报告披露</w:t>
      </w:r>
      <w:r>
        <w:rPr>
          <w:rFonts w:ascii="仿宋" w:eastAsia="仿宋" w:hAnsi="仿宋" w:hint="eastAsia"/>
          <w:sz w:val="32"/>
          <w:szCs w:val="32"/>
        </w:rPr>
        <w:t>不及时</w:t>
      </w:r>
      <w:r>
        <w:rPr>
          <w:rFonts w:ascii="仿宋" w:eastAsia="仿宋" w:hAnsi="仿宋"/>
          <w:sz w:val="32"/>
          <w:szCs w:val="32"/>
        </w:rPr>
        <w:t>、公司资不抵债等情况，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/>
          <w:sz w:val="32"/>
          <w:szCs w:val="32"/>
        </w:rPr>
        <w:t>、主办券商</w:t>
      </w:r>
      <w:r>
        <w:rPr>
          <w:rFonts w:ascii="仿宋" w:eastAsia="仿宋" w:hAnsi="仿宋" w:hint="eastAsia"/>
          <w:sz w:val="32"/>
          <w:szCs w:val="32"/>
        </w:rPr>
        <w:t>就公司未</w:t>
      </w:r>
      <w:r>
        <w:rPr>
          <w:rFonts w:ascii="仿宋" w:eastAsia="仿宋" w:hAnsi="仿宋"/>
          <w:sz w:val="32"/>
          <w:szCs w:val="32"/>
        </w:rPr>
        <w:t>及时披露定期报告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风险提示</w:t>
      </w:r>
      <w:r>
        <w:rPr>
          <w:rFonts w:ascii="仿宋" w:eastAsia="仿宋" w:hAnsi="仿宋" w:hint="eastAsia"/>
          <w:sz w:val="32"/>
          <w:szCs w:val="32"/>
        </w:rPr>
        <w:t>要求，更加</w:t>
      </w:r>
      <w:r>
        <w:rPr>
          <w:rFonts w:ascii="仿宋" w:eastAsia="仿宋" w:hAnsi="仿宋"/>
          <w:sz w:val="32"/>
          <w:szCs w:val="32"/>
        </w:rPr>
        <w:t>明确了</w:t>
      </w:r>
      <w:r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/>
          <w:sz w:val="32"/>
          <w:szCs w:val="32"/>
        </w:rPr>
        <w:t>破产</w:t>
      </w:r>
      <w:r>
        <w:rPr>
          <w:rFonts w:ascii="仿宋" w:eastAsia="仿宋" w:hAnsi="仿宋" w:hint="eastAsia"/>
          <w:sz w:val="32"/>
          <w:szCs w:val="32"/>
        </w:rPr>
        <w:t>重整、和解或破产清算等</w:t>
      </w:r>
      <w:r>
        <w:rPr>
          <w:rFonts w:ascii="仿宋" w:eastAsia="仿宋" w:hAnsi="仿宋"/>
          <w:sz w:val="32"/>
          <w:szCs w:val="32"/>
        </w:rPr>
        <w:t>风险披露要求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7B5DE21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方正楷体_GBK" w:hint="eastAsia"/>
          <w:sz w:val="32"/>
          <w:szCs w:val="32"/>
        </w:rPr>
        <w:t>（三）优化信息披露流程管理</w:t>
      </w:r>
    </w:p>
    <w:p w14:paraId="57175E7F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进一步减轻公司信息披露的负担，</w:t>
      </w:r>
      <w:r>
        <w:rPr>
          <w:rFonts w:ascii="仿宋" w:eastAsia="仿宋" w:hAnsi="仿宋" w:hint="eastAsia"/>
          <w:sz w:val="32"/>
          <w:szCs w:val="32"/>
        </w:rPr>
        <w:t>取消对</w:t>
      </w:r>
      <w:proofErr w:type="gramStart"/>
      <w:r>
        <w:rPr>
          <w:rFonts w:ascii="仿宋" w:eastAsia="仿宋" w:hAnsi="仿宋" w:hint="eastAsia"/>
          <w:sz w:val="32"/>
          <w:szCs w:val="32"/>
        </w:rPr>
        <w:t>设置董秘的</w:t>
      </w:r>
      <w:proofErr w:type="gramEnd"/>
      <w:r>
        <w:rPr>
          <w:rFonts w:ascii="仿宋" w:eastAsia="仿宋" w:hAnsi="仿宋" w:hint="eastAsia"/>
          <w:sz w:val="32"/>
          <w:szCs w:val="32"/>
        </w:rPr>
        <w:t>强制性规定。基于部分退市公司存在治理僵局的情况，明确了董事会或监事会不履职情况下，信息披露的流程。</w:t>
      </w:r>
    </w:p>
    <w:p w14:paraId="3691050E" w14:textId="77777777" w:rsidR="009C08B4" w:rsidRDefault="009C08B4" w:rsidP="009C08B4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方正楷体_GBK"/>
          <w:sz w:val="32"/>
          <w:szCs w:val="32"/>
        </w:rPr>
      </w:pPr>
      <w:r>
        <w:rPr>
          <w:rFonts w:ascii="楷体" w:eastAsia="楷体" w:hAnsi="楷体" w:cs="方正楷体_GBK" w:hint="eastAsia"/>
          <w:sz w:val="32"/>
          <w:szCs w:val="32"/>
        </w:rPr>
        <w:t>（四）实施差异化管理安排</w:t>
      </w:r>
    </w:p>
    <w:p w14:paraId="7DBBAAFF" w14:textId="1676E19E" w:rsidR="00AD7818" w:rsidRPr="0068285E" w:rsidRDefault="009C08B4" w:rsidP="0068285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坚持原有分类管理的基础上，不断总结退市公司管理实践，遵循“能落地、见实效”的原则，探索落实和完善差异化管理安排：一是建立了差异化的融资、重组制度，正向激励企业“做好人”，在规范履行信息披露且不存在重大违法违规行为的情况下，公司可依规发行股票、实施重大资产重组。二是以交易频次分类为基础，根据公司的信息披露情况实施差异化、可执行的自律管理措施。明确将“降低公司股票交易频次”“添加或维持风险标志”“补充或更正信息披露”等作为自律管理措施。</w:t>
      </w:r>
    </w:p>
    <w:p w14:paraId="55935093" w14:textId="77777777" w:rsidR="00496248" w:rsidRDefault="00496248" w:rsidP="00ED7983">
      <w:pPr>
        <w:spacing w:line="280" w:lineRule="exact"/>
        <w:rPr>
          <w:rFonts w:ascii="Times New Roman" w:eastAsia="方正仿宋简体" w:hAnsi="Times New Roman"/>
          <w:color w:val="FF0000"/>
          <w:kern w:val="0"/>
          <w:sz w:val="30"/>
          <w:szCs w:val="30"/>
        </w:rPr>
      </w:pPr>
    </w:p>
    <w:sectPr w:rsidR="00496248" w:rsidSect="00492F1F">
      <w:footerReference w:type="even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415B" w14:textId="77777777" w:rsidR="0058652D" w:rsidRDefault="0058652D" w:rsidP="00BD02EF">
      <w:r>
        <w:separator/>
      </w:r>
    </w:p>
  </w:endnote>
  <w:endnote w:type="continuationSeparator" w:id="0">
    <w:p w14:paraId="64412F8E" w14:textId="77777777" w:rsidR="0058652D" w:rsidRDefault="0058652D" w:rsidP="00BD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3968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5E74A1A" w14:textId="3EA263BC" w:rsidR="000614F2" w:rsidRPr="000614F2" w:rsidRDefault="000614F2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A5ADA" w:rsidRPr="005A5AD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A5AD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</w:t>
        </w:r>
        <w:r w:rsidR="005A5ADA" w:rsidRPr="005A5ADA">
          <w:rPr>
            <w:rFonts w:ascii="Times New Roman" w:eastAsiaTheme="minorEastAsia" w:hAnsi="Times New Roman"/>
            <w:noProof/>
            <w:sz w:val="28"/>
            <w:szCs w:val="28"/>
          </w:rPr>
          <w:t>4</w:t>
        </w:r>
        <w:r w:rsidR="005A5AD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-</w: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348E7CB" w14:textId="77777777" w:rsidR="000614F2" w:rsidRDefault="000614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5098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0AABC0A" w14:textId="78B29DA7" w:rsidR="000614F2" w:rsidRPr="000614F2" w:rsidRDefault="000614F2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A5ADA" w:rsidRPr="005A5AD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A5AD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</w:t>
        </w:r>
        <w:r w:rsidR="005A5ADA" w:rsidRPr="005A5ADA">
          <w:rPr>
            <w:rFonts w:ascii="Times New Roman" w:eastAsiaTheme="minorEastAsia" w:hAnsi="Times New Roman"/>
            <w:noProof/>
            <w:sz w:val="28"/>
            <w:szCs w:val="28"/>
          </w:rPr>
          <w:t>3</w:t>
        </w:r>
        <w:r w:rsidR="005A5AD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-</w:t>
        </w:r>
        <w:r w:rsidRPr="000614F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2533650" w14:textId="77777777" w:rsidR="00E67D46" w:rsidRDefault="00E67D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DED16" w14:textId="77777777" w:rsidR="0058652D" w:rsidRDefault="0058652D" w:rsidP="00BD02EF">
      <w:r>
        <w:separator/>
      </w:r>
    </w:p>
  </w:footnote>
  <w:footnote w:type="continuationSeparator" w:id="0">
    <w:p w14:paraId="53EABF5F" w14:textId="77777777" w:rsidR="0058652D" w:rsidRDefault="0058652D" w:rsidP="00BD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D81B0A"/>
    <w:multiLevelType w:val="singleLevel"/>
    <w:tmpl w:val="E5D81B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579A8"/>
    <w:multiLevelType w:val="hybridMultilevel"/>
    <w:tmpl w:val="1870CFF2"/>
    <w:lvl w:ilvl="0" w:tplc="4B22D3C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1132B"/>
    <w:rsid w:val="000114CC"/>
    <w:rsid w:val="0001279E"/>
    <w:rsid w:val="00013FD4"/>
    <w:rsid w:val="000140A5"/>
    <w:rsid w:val="00023393"/>
    <w:rsid w:val="00023918"/>
    <w:rsid w:val="000253C4"/>
    <w:rsid w:val="00027677"/>
    <w:rsid w:val="00030254"/>
    <w:rsid w:val="0003177A"/>
    <w:rsid w:val="00031819"/>
    <w:rsid w:val="0003452A"/>
    <w:rsid w:val="00034CB4"/>
    <w:rsid w:val="00034DC5"/>
    <w:rsid w:val="000350FA"/>
    <w:rsid w:val="00036093"/>
    <w:rsid w:val="00040339"/>
    <w:rsid w:val="000406E0"/>
    <w:rsid w:val="00040A29"/>
    <w:rsid w:val="00042AA7"/>
    <w:rsid w:val="000464E4"/>
    <w:rsid w:val="0004678F"/>
    <w:rsid w:val="000501AA"/>
    <w:rsid w:val="000515D0"/>
    <w:rsid w:val="000530B5"/>
    <w:rsid w:val="00057221"/>
    <w:rsid w:val="000614F2"/>
    <w:rsid w:val="00061835"/>
    <w:rsid w:val="00070A1C"/>
    <w:rsid w:val="00070EF4"/>
    <w:rsid w:val="00073313"/>
    <w:rsid w:val="00075DDE"/>
    <w:rsid w:val="000770D6"/>
    <w:rsid w:val="00077B36"/>
    <w:rsid w:val="00087D53"/>
    <w:rsid w:val="00090A5F"/>
    <w:rsid w:val="000914B4"/>
    <w:rsid w:val="00092880"/>
    <w:rsid w:val="00093565"/>
    <w:rsid w:val="00093666"/>
    <w:rsid w:val="000979F3"/>
    <w:rsid w:val="000B1D18"/>
    <w:rsid w:val="000B2000"/>
    <w:rsid w:val="000B3F90"/>
    <w:rsid w:val="000B4853"/>
    <w:rsid w:val="000B52DC"/>
    <w:rsid w:val="000B5EAA"/>
    <w:rsid w:val="000C446C"/>
    <w:rsid w:val="000C6818"/>
    <w:rsid w:val="000D7B7F"/>
    <w:rsid w:val="000E6E4C"/>
    <w:rsid w:val="000E72C9"/>
    <w:rsid w:val="000E72D0"/>
    <w:rsid w:val="000F0DC4"/>
    <w:rsid w:val="000F1B08"/>
    <w:rsid w:val="000F2D51"/>
    <w:rsid w:val="000F315B"/>
    <w:rsid w:val="000F593E"/>
    <w:rsid w:val="00104023"/>
    <w:rsid w:val="0010434B"/>
    <w:rsid w:val="0010613F"/>
    <w:rsid w:val="00110389"/>
    <w:rsid w:val="00111415"/>
    <w:rsid w:val="001136DB"/>
    <w:rsid w:val="00113E16"/>
    <w:rsid w:val="00116D3E"/>
    <w:rsid w:val="00117488"/>
    <w:rsid w:val="00121BFE"/>
    <w:rsid w:val="0012224F"/>
    <w:rsid w:val="00126771"/>
    <w:rsid w:val="00126F8E"/>
    <w:rsid w:val="00130AC5"/>
    <w:rsid w:val="00131C2F"/>
    <w:rsid w:val="00131FD5"/>
    <w:rsid w:val="00131FE7"/>
    <w:rsid w:val="001351B4"/>
    <w:rsid w:val="00136A16"/>
    <w:rsid w:val="00137C57"/>
    <w:rsid w:val="00140260"/>
    <w:rsid w:val="001421AB"/>
    <w:rsid w:val="00142A8D"/>
    <w:rsid w:val="0014751A"/>
    <w:rsid w:val="00150C13"/>
    <w:rsid w:val="0015190D"/>
    <w:rsid w:val="001525AB"/>
    <w:rsid w:val="00154EFD"/>
    <w:rsid w:val="00155052"/>
    <w:rsid w:val="001559C9"/>
    <w:rsid w:val="0016074F"/>
    <w:rsid w:val="001608C8"/>
    <w:rsid w:val="00160BF3"/>
    <w:rsid w:val="00165E5A"/>
    <w:rsid w:val="00170F03"/>
    <w:rsid w:val="001732C7"/>
    <w:rsid w:val="001751C9"/>
    <w:rsid w:val="00177DEB"/>
    <w:rsid w:val="0018408C"/>
    <w:rsid w:val="00184F1F"/>
    <w:rsid w:val="001856EA"/>
    <w:rsid w:val="0018614E"/>
    <w:rsid w:val="00186237"/>
    <w:rsid w:val="001868F6"/>
    <w:rsid w:val="0019258E"/>
    <w:rsid w:val="001931B8"/>
    <w:rsid w:val="00194F2E"/>
    <w:rsid w:val="00196309"/>
    <w:rsid w:val="001A4206"/>
    <w:rsid w:val="001A5588"/>
    <w:rsid w:val="001B041D"/>
    <w:rsid w:val="001B0CD9"/>
    <w:rsid w:val="001B6DFE"/>
    <w:rsid w:val="001B73AB"/>
    <w:rsid w:val="001B7CCF"/>
    <w:rsid w:val="001C3A53"/>
    <w:rsid w:val="001C3B47"/>
    <w:rsid w:val="001C4F64"/>
    <w:rsid w:val="001C7F38"/>
    <w:rsid w:val="001D11CB"/>
    <w:rsid w:val="001D11E3"/>
    <w:rsid w:val="001D1DB2"/>
    <w:rsid w:val="001D2CDF"/>
    <w:rsid w:val="001E0B46"/>
    <w:rsid w:val="001E0D34"/>
    <w:rsid w:val="001E6EB7"/>
    <w:rsid w:val="001E73D1"/>
    <w:rsid w:val="001F09A0"/>
    <w:rsid w:val="001F0B06"/>
    <w:rsid w:val="001F1813"/>
    <w:rsid w:val="001F22B9"/>
    <w:rsid w:val="001F2C66"/>
    <w:rsid w:val="001F5720"/>
    <w:rsid w:val="00200160"/>
    <w:rsid w:val="00201401"/>
    <w:rsid w:val="00201CDB"/>
    <w:rsid w:val="00203CC3"/>
    <w:rsid w:val="00203EFD"/>
    <w:rsid w:val="00205457"/>
    <w:rsid w:val="00207C88"/>
    <w:rsid w:val="002124CB"/>
    <w:rsid w:val="00213109"/>
    <w:rsid w:val="0021481E"/>
    <w:rsid w:val="002152AF"/>
    <w:rsid w:val="00215932"/>
    <w:rsid w:val="00215A3B"/>
    <w:rsid w:val="002205CB"/>
    <w:rsid w:val="002223D6"/>
    <w:rsid w:val="002233E0"/>
    <w:rsid w:val="00224B26"/>
    <w:rsid w:val="002271A7"/>
    <w:rsid w:val="002333E3"/>
    <w:rsid w:val="00236755"/>
    <w:rsid w:val="00236833"/>
    <w:rsid w:val="00241045"/>
    <w:rsid w:val="002473F6"/>
    <w:rsid w:val="0025096D"/>
    <w:rsid w:val="00251293"/>
    <w:rsid w:val="002536E0"/>
    <w:rsid w:val="00254F5B"/>
    <w:rsid w:val="00255F48"/>
    <w:rsid w:val="002566F5"/>
    <w:rsid w:val="00256738"/>
    <w:rsid w:val="0025678A"/>
    <w:rsid w:val="00256A8B"/>
    <w:rsid w:val="00260853"/>
    <w:rsid w:val="00264360"/>
    <w:rsid w:val="00267C14"/>
    <w:rsid w:val="00271211"/>
    <w:rsid w:val="002730B4"/>
    <w:rsid w:val="002735E0"/>
    <w:rsid w:val="00280A80"/>
    <w:rsid w:val="0028118C"/>
    <w:rsid w:val="00283F11"/>
    <w:rsid w:val="002942FD"/>
    <w:rsid w:val="00296704"/>
    <w:rsid w:val="00297E79"/>
    <w:rsid w:val="002A0CDE"/>
    <w:rsid w:val="002A1318"/>
    <w:rsid w:val="002A5EE4"/>
    <w:rsid w:val="002B12F6"/>
    <w:rsid w:val="002B1AEA"/>
    <w:rsid w:val="002B4533"/>
    <w:rsid w:val="002B4CE7"/>
    <w:rsid w:val="002B531D"/>
    <w:rsid w:val="002B5C1B"/>
    <w:rsid w:val="002B66C4"/>
    <w:rsid w:val="002B69F3"/>
    <w:rsid w:val="002C0DC9"/>
    <w:rsid w:val="002C1F53"/>
    <w:rsid w:val="002C3192"/>
    <w:rsid w:val="002C4D50"/>
    <w:rsid w:val="002D06DE"/>
    <w:rsid w:val="002D3F1F"/>
    <w:rsid w:val="002E0200"/>
    <w:rsid w:val="002F1E6E"/>
    <w:rsid w:val="002F3353"/>
    <w:rsid w:val="002F67FE"/>
    <w:rsid w:val="0030322B"/>
    <w:rsid w:val="00306CA9"/>
    <w:rsid w:val="0031218F"/>
    <w:rsid w:val="00312E97"/>
    <w:rsid w:val="00313721"/>
    <w:rsid w:val="003138A7"/>
    <w:rsid w:val="0032130E"/>
    <w:rsid w:val="00323369"/>
    <w:rsid w:val="00323A6D"/>
    <w:rsid w:val="00326C44"/>
    <w:rsid w:val="00326E84"/>
    <w:rsid w:val="00327855"/>
    <w:rsid w:val="003325EB"/>
    <w:rsid w:val="0033366F"/>
    <w:rsid w:val="00333E25"/>
    <w:rsid w:val="00336460"/>
    <w:rsid w:val="00336C12"/>
    <w:rsid w:val="003375BE"/>
    <w:rsid w:val="00337714"/>
    <w:rsid w:val="0034018B"/>
    <w:rsid w:val="003413FE"/>
    <w:rsid w:val="00343C07"/>
    <w:rsid w:val="0034410B"/>
    <w:rsid w:val="00344237"/>
    <w:rsid w:val="00346C39"/>
    <w:rsid w:val="00350D51"/>
    <w:rsid w:val="00351852"/>
    <w:rsid w:val="003523D3"/>
    <w:rsid w:val="00353031"/>
    <w:rsid w:val="00353B57"/>
    <w:rsid w:val="00356570"/>
    <w:rsid w:val="00362652"/>
    <w:rsid w:val="00365AE1"/>
    <w:rsid w:val="00365CEC"/>
    <w:rsid w:val="00373B5F"/>
    <w:rsid w:val="003810B0"/>
    <w:rsid w:val="00383400"/>
    <w:rsid w:val="00391E10"/>
    <w:rsid w:val="003941C0"/>
    <w:rsid w:val="003A0328"/>
    <w:rsid w:val="003A0961"/>
    <w:rsid w:val="003A2E2D"/>
    <w:rsid w:val="003B0326"/>
    <w:rsid w:val="003B4EDD"/>
    <w:rsid w:val="003B5FCF"/>
    <w:rsid w:val="003B7243"/>
    <w:rsid w:val="003C0078"/>
    <w:rsid w:val="003C0372"/>
    <w:rsid w:val="003C2E72"/>
    <w:rsid w:val="003C4AFF"/>
    <w:rsid w:val="003C64F5"/>
    <w:rsid w:val="003C70C1"/>
    <w:rsid w:val="003D0861"/>
    <w:rsid w:val="003D2796"/>
    <w:rsid w:val="003D3C08"/>
    <w:rsid w:val="003D48CA"/>
    <w:rsid w:val="003D4B63"/>
    <w:rsid w:val="003D5872"/>
    <w:rsid w:val="003D71BB"/>
    <w:rsid w:val="003D7933"/>
    <w:rsid w:val="003E215D"/>
    <w:rsid w:val="003E3337"/>
    <w:rsid w:val="003E6343"/>
    <w:rsid w:val="003E75A9"/>
    <w:rsid w:val="00405C7A"/>
    <w:rsid w:val="004073C0"/>
    <w:rsid w:val="00410467"/>
    <w:rsid w:val="004112D7"/>
    <w:rsid w:val="004155EF"/>
    <w:rsid w:val="00415930"/>
    <w:rsid w:val="00422DFD"/>
    <w:rsid w:val="004248AD"/>
    <w:rsid w:val="00425659"/>
    <w:rsid w:val="004258CD"/>
    <w:rsid w:val="00431C10"/>
    <w:rsid w:val="00432FC0"/>
    <w:rsid w:val="004412FE"/>
    <w:rsid w:val="00441CF2"/>
    <w:rsid w:val="00447E4C"/>
    <w:rsid w:val="00447EB8"/>
    <w:rsid w:val="00453ED7"/>
    <w:rsid w:val="00457E95"/>
    <w:rsid w:val="00460DF6"/>
    <w:rsid w:val="004629E8"/>
    <w:rsid w:val="00462D27"/>
    <w:rsid w:val="004636C3"/>
    <w:rsid w:val="00464262"/>
    <w:rsid w:val="004667C6"/>
    <w:rsid w:val="00466D70"/>
    <w:rsid w:val="0047156C"/>
    <w:rsid w:val="004720FD"/>
    <w:rsid w:val="00475B2E"/>
    <w:rsid w:val="00475E36"/>
    <w:rsid w:val="00480718"/>
    <w:rsid w:val="00481C27"/>
    <w:rsid w:val="004907BB"/>
    <w:rsid w:val="00492779"/>
    <w:rsid w:val="00492F1F"/>
    <w:rsid w:val="00496248"/>
    <w:rsid w:val="00497A41"/>
    <w:rsid w:val="004B16F2"/>
    <w:rsid w:val="004B54A2"/>
    <w:rsid w:val="004B58F2"/>
    <w:rsid w:val="004B6C04"/>
    <w:rsid w:val="004B7ECC"/>
    <w:rsid w:val="004C012F"/>
    <w:rsid w:val="004C1CFB"/>
    <w:rsid w:val="004C3960"/>
    <w:rsid w:val="004C3E8D"/>
    <w:rsid w:val="004C4091"/>
    <w:rsid w:val="004C7017"/>
    <w:rsid w:val="004D0513"/>
    <w:rsid w:val="004D4298"/>
    <w:rsid w:val="004E0EFA"/>
    <w:rsid w:val="004E2F19"/>
    <w:rsid w:val="004E6730"/>
    <w:rsid w:val="004F0718"/>
    <w:rsid w:val="004F22C0"/>
    <w:rsid w:val="004F44A2"/>
    <w:rsid w:val="0050023A"/>
    <w:rsid w:val="00502293"/>
    <w:rsid w:val="00504A9C"/>
    <w:rsid w:val="005145C1"/>
    <w:rsid w:val="00516D22"/>
    <w:rsid w:val="0052009E"/>
    <w:rsid w:val="005233D2"/>
    <w:rsid w:val="00530DC9"/>
    <w:rsid w:val="00533ACC"/>
    <w:rsid w:val="00536258"/>
    <w:rsid w:val="00541D59"/>
    <w:rsid w:val="0054351C"/>
    <w:rsid w:val="0054585A"/>
    <w:rsid w:val="0055358F"/>
    <w:rsid w:val="00556F11"/>
    <w:rsid w:val="005607CD"/>
    <w:rsid w:val="005609C4"/>
    <w:rsid w:val="00567CB8"/>
    <w:rsid w:val="00570CB3"/>
    <w:rsid w:val="00570F99"/>
    <w:rsid w:val="00572286"/>
    <w:rsid w:val="005727F7"/>
    <w:rsid w:val="00573800"/>
    <w:rsid w:val="00574BA1"/>
    <w:rsid w:val="00575CD8"/>
    <w:rsid w:val="00577ABC"/>
    <w:rsid w:val="00581DEA"/>
    <w:rsid w:val="00583A82"/>
    <w:rsid w:val="00586313"/>
    <w:rsid w:val="0058652D"/>
    <w:rsid w:val="00590FC5"/>
    <w:rsid w:val="00591B1A"/>
    <w:rsid w:val="00594182"/>
    <w:rsid w:val="00594416"/>
    <w:rsid w:val="00594610"/>
    <w:rsid w:val="00594CDC"/>
    <w:rsid w:val="0059595B"/>
    <w:rsid w:val="005A16C3"/>
    <w:rsid w:val="005A3EFB"/>
    <w:rsid w:val="005A4BF4"/>
    <w:rsid w:val="005A5ADA"/>
    <w:rsid w:val="005B1BD5"/>
    <w:rsid w:val="005C235F"/>
    <w:rsid w:val="005C3297"/>
    <w:rsid w:val="005C3D38"/>
    <w:rsid w:val="005C4C02"/>
    <w:rsid w:val="005C7B94"/>
    <w:rsid w:val="005D0783"/>
    <w:rsid w:val="005D14A4"/>
    <w:rsid w:val="005D5157"/>
    <w:rsid w:val="005D5E84"/>
    <w:rsid w:val="005E5FC8"/>
    <w:rsid w:val="005E7889"/>
    <w:rsid w:val="005F65B0"/>
    <w:rsid w:val="006108D0"/>
    <w:rsid w:val="0061216D"/>
    <w:rsid w:val="00612EFA"/>
    <w:rsid w:val="006144BA"/>
    <w:rsid w:val="00617D4B"/>
    <w:rsid w:val="00617F1A"/>
    <w:rsid w:val="006238B2"/>
    <w:rsid w:val="0063018A"/>
    <w:rsid w:val="0063103E"/>
    <w:rsid w:val="00634293"/>
    <w:rsid w:val="006413D2"/>
    <w:rsid w:val="00642348"/>
    <w:rsid w:val="00642FB4"/>
    <w:rsid w:val="00646FD2"/>
    <w:rsid w:val="006508A5"/>
    <w:rsid w:val="006541B9"/>
    <w:rsid w:val="0065557B"/>
    <w:rsid w:val="006569F3"/>
    <w:rsid w:val="006577F3"/>
    <w:rsid w:val="00661591"/>
    <w:rsid w:val="006716AD"/>
    <w:rsid w:val="006736BE"/>
    <w:rsid w:val="00680308"/>
    <w:rsid w:val="006805CB"/>
    <w:rsid w:val="006821AC"/>
    <w:rsid w:val="0068285E"/>
    <w:rsid w:val="00686D70"/>
    <w:rsid w:val="00690B4E"/>
    <w:rsid w:val="006953A0"/>
    <w:rsid w:val="00695889"/>
    <w:rsid w:val="006A1A60"/>
    <w:rsid w:val="006A4000"/>
    <w:rsid w:val="006A6C9A"/>
    <w:rsid w:val="006A6FE1"/>
    <w:rsid w:val="006B28F5"/>
    <w:rsid w:val="006B7D6D"/>
    <w:rsid w:val="006C0352"/>
    <w:rsid w:val="006C2998"/>
    <w:rsid w:val="006C2BCD"/>
    <w:rsid w:val="006C310F"/>
    <w:rsid w:val="006C317B"/>
    <w:rsid w:val="006C7D19"/>
    <w:rsid w:val="006D1144"/>
    <w:rsid w:val="006D4341"/>
    <w:rsid w:val="006D6786"/>
    <w:rsid w:val="006D6BD1"/>
    <w:rsid w:val="006D76DE"/>
    <w:rsid w:val="006E0452"/>
    <w:rsid w:val="006E15D4"/>
    <w:rsid w:val="006E64AE"/>
    <w:rsid w:val="006F7B98"/>
    <w:rsid w:val="00704DC6"/>
    <w:rsid w:val="00710B19"/>
    <w:rsid w:val="00713C6F"/>
    <w:rsid w:val="007141B1"/>
    <w:rsid w:val="00717741"/>
    <w:rsid w:val="00720C37"/>
    <w:rsid w:val="00721DDC"/>
    <w:rsid w:val="00722126"/>
    <w:rsid w:val="00723551"/>
    <w:rsid w:val="007278F1"/>
    <w:rsid w:val="007305A6"/>
    <w:rsid w:val="0073094A"/>
    <w:rsid w:val="00731F38"/>
    <w:rsid w:val="00732954"/>
    <w:rsid w:val="00736F93"/>
    <w:rsid w:val="00737013"/>
    <w:rsid w:val="00737CCC"/>
    <w:rsid w:val="00740DD6"/>
    <w:rsid w:val="0074300E"/>
    <w:rsid w:val="00744509"/>
    <w:rsid w:val="00745551"/>
    <w:rsid w:val="0074587C"/>
    <w:rsid w:val="00745C48"/>
    <w:rsid w:val="00750653"/>
    <w:rsid w:val="007506D8"/>
    <w:rsid w:val="00755883"/>
    <w:rsid w:val="0076142A"/>
    <w:rsid w:val="0076251E"/>
    <w:rsid w:val="00765B6D"/>
    <w:rsid w:val="007665B5"/>
    <w:rsid w:val="00767AFC"/>
    <w:rsid w:val="00774792"/>
    <w:rsid w:val="007774B2"/>
    <w:rsid w:val="007810C5"/>
    <w:rsid w:val="00783A24"/>
    <w:rsid w:val="007860BF"/>
    <w:rsid w:val="00787625"/>
    <w:rsid w:val="00787B9B"/>
    <w:rsid w:val="00790165"/>
    <w:rsid w:val="00790292"/>
    <w:rsid w:val="0079388D"/>
    <w:rsid w:val="00795E0F"/>
    <w:rsid w:val="007A12DA"/>
    <w:rsid w:val="007A45EB"/>
    <w:rsid w:val="007A4B06"/>
    <w:rsid w:val="007A5539"/>
    <w:rsid w:val="007A5C77"/>
    <w:rsid w:val="007A63A3"/>
    <w:rsid w:val="007B174C"/>
    <w:rsid w:val="007B38C0"/>
    <w:rsid w:val="007B4891"/>
    <w:rsid w:val="007C1FE2"/>
    <w:rsid w:val="007C29AF"/>
    <w:rsid w:val="007C2D4E"/>
    <w:rsid w:val="007C3CA2"/>
    <w:rsid w:val="007C52F0"/>
    <w:rsid w:val="007D0836"/>
    <w:rsid w:val="007D0AB3"/>
    <w:rsid w:val="007D3F31"/>
    <w:rsid w:val="007D64B2"/>
    <w:rsid w:val="007D64B8"/>
    <w:rsid w:val="007E344F"/>
    <w:rsid w:val="007E3749"/>
    <w:rsid w:val="007E3DA1"/>
    <w:rsid w:val="007E57E1"/>
    <w:rsid w:val="007E6A98"/>
    <w:rsid w:val="007E767D"/>
    <w:rsid w:val="007F0069"/>
    <w:rsid w:val="007F306F"/>
    <w:rsid w:val="007F467E"/>
    <w:rsid w:val="007F46F5"/>
    <w:rsid w:val="007F7F67"/>
    <w:rsid w:val="00800A66"/>
    <w:rsid w:val="0080230B"/>
    <w:rsid w:val="008046FA"/>
    <w:rsid w:val="0080612C"/>
    <w:rsid w:val="008065A4"/>
    <w:rsid w:val="008152CC"/>
    <w:rsid w:val="00825CAE"/>
    <w:rsid w:val="00830314"/>
    <w:rsid w:val="00834D8B"/>
    <w:rsid w:val="00835998"/>
    <w:rsid w:val="00836BAD"/>
    <w:rsid w:val="00841DC6"/>
    <w:rsid w:val="00842A70"/>
    <w:rsid w:val="00843B57"/>
    <w:rsid w:val="00850265"/>
    <w:rsid w:val="008516C1"/>
    <w:rsid w:val="00852B07"/>
    <w:rsid w:val="008566B7"/>
    <w:rsid w:val="00860654"/>
    <w:rsid w:val="00864DCA"/>
    <w:rsid w:val="00864EE1"/>
    <w:rsid w:val="008654AF"/>
    <w:rsid w:val="00865B27"/>
    <w:rsid w:val="008673CB"/>
    <w:rsid w:val="00870868"/>
    <w:rsid w:val="008712CC"/>
    <w:rsid w:val="00871AEB"/>
    <w:rsid w:val="008727F2"/>
    <w:rsid w:val="00872DE7"/>
    <w:rsid w:val="00875140"/>
    <w:rsid w:val="008815F8"/>
    <w:rsid w:val="00881BF1"/>
    <w:rsid w:val="00881CDE"/>
    <w:rsid w:val="00885B5F"/>
    <w:rsid w:val="00885F71"/>
    <w:rsid w:val="00886C8F"/>
    <w:rsid w:val="00893150"/>
    <w:rsid w:val="00893929"/>
    <w:rsid w:val="00896F9A"/>
    <w:rsid w:val="008973DA"/>
    <w:rsid w:val="008A0792"/>
    <w:rsid w:val="008A0BC2"/>
    <w:rsid w:val="008A48B5"/>
    <w:rsid w:val="008B2857"/>
    <w:rsid w:val="008B3A38"/>
    <w:rsid w:val="008C0B07"/>
    <w:rsid w:val="008C314A"/>
    <w:rsid w:val="008C3177"/>
    <w:rsid w:val="008C5972"/>
    <w:rsid w:val="008C643D"/>
    <w:rsid w:val="008C78D2"/>
    <w:rsid w:val="008D243A"/>
    <w:rsid w:val="008D3296"/>
    <w:rsid w:val="008D6A5A"/>
    <w:rsid w:val="008E2016"/>
    <w:rsid w:val="008F2904"/>
    <w:rsid w:val="008F6491"/>
    <w:rsid w:val="008F7A96"/>
    <w:rsid w:val="00910FAB"/>
    <w:rsid w:val="00914F96"/>
    <w:rsid w:val="009158B6"/>
    <w:rsid w:val="00917C4C"/>
    <w:rsid w:val="00920576"/>
    <w:rsid w:val="00920711"/>
    <w:rsid w:val="0092123C"/>
    <w:rsid w:val="00921986"/>
    <w:rsid w:val="009220EE"/>
    <w:rsid w:val="0092461F"/>
    <w:rsid w:val="00924664"/>
    <w:rsid w:val="00925244"/>
    <w:rsid w:val="00926EA0"/>
    <w:rsid w:val="009356C9"/>
    <w:rsid w:val="00936B1C"/>
    <w:rsid w:val="009428CB"/>
    <w:rsid w:val="00947A56"/>
    <w:rsid w:val="00950FDE"/>
    <w:rsid w:val="009526E9"/>
    <w:rsid w:val="00953670"/>
    <w:rsid w:val="00955FFB"/>
    <w:rsid w:val="009624C9"/>
    <w:rsid w:val="009747FB"/>
    <w:rsid w:val="00975561"/>
    <w:rsid w:val="00976507"/>
    <w:rsid w:val="0097736B"/>
    <w:rsid w:val="00980D21"/>
    <w:rsid w:val="00983F9F"/>
    <w:rsid w:val="009939B0"/>
    <w:rsid w:val="009964EB"/>
    <w:rsid w:val="0099784B"/>
    <w:rsid w:val="009A61C3"/>
    <w:rsid w:val="009B15F9"/>
    <w:rsid w:val="009B2D02"/>
    <w:rsid w:val="009B470E"/>
    <w:rsid w:val="009C08B4"/>
    <w:rsid w:val="009C35E2"/>
    <w:rsid w:val="009C4955"/>
    <w:rsid w:val="009C7AF2"/>
    <w:rsid w:val="009D118D"/>
    <w:rsid w:val="009D16A1"/>
    <w:rsid w:val="009D1701"/>
    <w:rsid w:val="009D6D6F"/>
    <w:rsid w:val="009E109F"/>
    <w:rsid w:val="009E2352"/>
    <w:rsid w:val="009E2EEF"/>
    <w:rsid w:val="009E3451"/>
    <w:rsid w:val="009E65FD"/>
    <w:rsid w:val="009F0843"/>
    <w:rsid w:val="009F68D1"/>
    <w:rsid w:val="00A00F12"/>
    <w:rsid w:val="00A0147F"/>
    <w:rsid w:val="00A0639E"/>
    <w:rsid w:val="00A10575"/>
    <w:rsid w:val="00A10B71"/>
    <w:rsid w:val="00A115FB"/>
    <w:rsid w:val="00A11E0C"/>
    <w:rsid w:val="00A17BBA"/>
    <w:rsid w:val="00A2109A"/>
    <w:rsid w:val="00A21B31"/>
    <w:rsid w:val="00A221DA"/>
    <w:rsid w:val="00A2464B"/>
    <w:rsid w:val="00A254DD"/>
    <w:rsid w:val="00A302D2"/>
    <w:rsid w:val="00A31158"/>
    <w:rsid w:val="00A3154C"/>
    <w:rsid w:val="00A31C6A"/>
    <w:rsid w:val="00A36393"/>
    <w:rsid w:val="00A3678B"/>
    <w:rsid w:val="00A42557"/>
    <w:rsid w:val="00A44897"/>
    <w:rsid w:val="00A45E54"/>
    <w:rsid w:val="00A478DB"/>
    <w:rsid w:val="00A52365"/>
    <w:rsid w:val="00A53357"/>
    <w:rsid w:val="00A53DA2"/>
    <w:rsid w:val="00A5457E"/>
    <w:rsid w:val="00A54947"/>
    <w:rsid w:val="00A577CA"/>
    <w:rsid w:val="00A617CC"/>
    <w:rsid w:val="00A63BB6"/>
    <w:rsid w:val="00A7779F"/>
    <w:rsid w:val="00A80D85"/>
    <w:rsid w:val="00A8169B"/>
    <w:rsid w:val="00A81700"/>
    <w:rsid w:val="00A954B5"/>
    <w:rsid w:val="00A95C10"/>
    <w:rsid w:val="00AA37F0"/>
    <w:rsid w:val="00AA510C"/>
    <w:rsid w:val="00AA6D90"/>
    <w:rsid w:val="00AB06D8"/>
    <w:rsid w:val="00AB4FB8"/>
    <w:rsid w:val="00AD040F"/>
    <w:rsid w:val="00AD197C"/>
    <w:rsid w:val="00AD1C8F"/>
    <w:rsid w:val="00AD6DB9"/>
    <w:rsid w:val="00AD7818"/>
    <w:rsid w:val="00AE16B9"/>
    <w:rsid w:val="00AE2F43"/>
    <w:rsid w:val="00AE378E"/>
    <w:rsid w:val="00AE4D51"/>
    <w:rsid w:val="00AE5757"/>
    <w:rsid w:val="00AE6AF9"/>
    <w:rsid w:val="00AF4816"/>
    <w:rsid w:val="00AF5201"/>
    <w:rsid w:val="00AF7C33"/>
    <w:rsid w:val="00B008E2"/>
    <w:rsid w:val="00B02891"/>
    <w:rsid w:val="00B03141"/>
    <w:rsid w:val="00B0377F"/>
    <w:rsid w:val="00B03F15"/>
    <w:rsid w:val="00B07873"/>
    <w:rsid w:val="00B10CE4"/>
    <w:rsid w:val="00B10DF0"/>
    <w:rsid w:val="00B1163A"/>
    <w:rsid w:val="00B126C9"/>
    <w:rsid w:val="00B13A69"/>
    <w:rsid w:val="00B16815"/>
    <w:rsid w:val="00B16E12"/>
    <w:rsid w:val="00B17A5B"/>
    <w:rsid w:val="00B23487"/>
    <w:rsid w:val="00B239C0"/>
    <w:rsid w:val="00B24A64"/>
    <w:rsid w:val="00B26049"/>
    <w:rsid w:val="00B266F0"/>
    <w:rsid w:val="00B26E0E"/>
    <w:rsid w:val="00B334FB"/>
    <w:rsid w:val="00B35299"/>
    <w:rsid w:val="00B3592E"/>
    <w:rsid w:val="00B3740B"/>
    <w:rsid w:val="00B40E72"/>
    <w:rsid w:val="00B4651C"/>
    <w:rsid w:val="00B46C42"/>
    <w:rsid w:val="00B52BD4"/>
    <w:rsid w:val="00B52FAB"/>
    <w:rsid w:val="00B55678"/>
    <w:rsid w:val="00B658B2"/>
    <w:rsid w:val="00B6752B"/>
    <w:rsid w:val="00B67D2A"/>
    <w:rsid w:val="00B7401B"/>
    <w:rsid w:val="00B807A7"/>
    <w:rsid w:val="00B84629"/>
    <w:rsid w:val="00B91A8B"/>
    <w:rsid w:val="00B95A64"/>
    <w:rsid w:val="00BA2B8F"/>
    <w:rsid w:val="00BA31CF"/>
    <w:rsid w:val="00BA39DA"/>
    <w:rsid w:val="00BA41FB"/>
    <w:rsid w:val="00BB35D3"/>
    <w:rsid w:val="00BB385F"/>
    <w:rsid w:val="00BB5514"/>
    <w:rsid w:val="00BD02EF"/>
    <w:rsid w:val="00BD1ACA"/>
    <w:rsid w:val="00BD2A70"/>
    <w:rsid w:val="00BD2CAE"/>
    <w:rsid w:val="00BD5C94"/>
    <w:rsid w:val="00BD63C1"/>
    <w:rsid w:val="00BD7A96"/>
    <w:rsid w:val="00BE1A7B"/>
    <w:rsid w:val="00BE5684"/>
    <w:rsid w:val="00BF1C5A"/>
    <w:rsid w:val="00BF6168"/>
    <w:rsid w:val="00BF63A0"/>
    <w:rsid w:val="00C00AD0"/>
    <w:rsid w:val="00C026B3"/>
    <w:rsid w:val="00C0325F"/>
    <w:rsid w:val="00C07BE2"/>
    <w:rsid w:val="00C107D3"/>
    <w:rsid w:val="00C112E3"/>
    <w:rsid w:val="00C12252"/>
    <w:rsid w:val="00C13B57"/>
    <w:rsid w:val="00C155F2"/>
    <w:rsid w:val="00C2081D"/>
    <w:rsid w:val="00C23F7A"/>
    <w:rsid w:val="00C241AB"/>
    <w:rsid w:val="00C3079D"/>
    <w:rsid w:val="00C314CD"/>
    <w:rsid w:val="00C36930"/>
    <w:rsid w:val="00C36E96"/>
    <w:rsid w:val="00C4120A"/>
    <w:rsid w:val="00C473FD"/>
    <w:rsid w:val="00C47F38"/>
    <w:rsid w:val="00C51537"/>
    <w:rsid w:val="00C55A78"/>
    <w:rsid w:val="00C5671A"/>
    <w:rsid w:val="00C569E6"/>
    <w:rsid w:val="00C638EA"/>
    <w:rsid w:val="00C66427"/>
    <w:rsid w:val="00C70B25"/>
    <w:rsid w:val="00C70E2E"/>
    <w:rsid w:val="00C72022"/>
    <w:rsid w:val="00C734BA"/>
    <w:rsid w:val="00C757C6"/>
    <w:rsid w:val="00C7674C"/>
    <w:rsid w:val="00C81251"/>
    <w:rsid w:val="00C83FCB"/>
    <w:rsid w:val="00C84CC6"/>
    <w:rsid w:val="00C85723"/>
    <w:rsid w:val="00C87666"/>
    <w:rsid w:val="00C90B3D"/>
    <w:rsid w:val="00CA6562"/>
    <w:rsid w:val="00CB2104"/>
    <w:rsid w:val="00CB29C3"/>
    <w:rsid w:val="00CB2C39"/>
    <w:rsid w:val="00CB2D41"/>
    <w:rsid w:val="00CC66AC"/>
    <w:rsid w:val="00CD060D"/>
    <w:rsid w:val="00CD2057"/>
    <w:rsid w:val="00CD3B61"/>
    <w:rsid w:val="00CD49B7"/>
    <w:rsid w:val="00CE4F04"/>
    <w:rsid w:val="00CF23F7"/>
    <w:rsid w:val="00CF5143"/>
    <w:rsid w:val="00CF6FBB"/>
    <w:rsid w:val="00D0533D"/>
    <w:rsid w:val="00D0567E"/>
    <w:rsid w:val="00D062B7"/>
    <w:rsid w:val="00D0685A"/>
    <w:rsid w:val="00D10DE3"/>
    <w:rsid w:val="00D11CD9"/>
    <w:rsid w:val="00D12E51"/>
    <w:rsid w:val="00D1489C"/>
    <w:rsid w:val="00D151DF"/>
    <w:rsid w:val="00D3032B"/>
    <w:rsid w:val="00D30781"/>
    <w:rsid w:val="00D30D5C"/>
    <w:rsid w:val="00D323DB"/>
    <w:rsid w:val="00D40370"/>
    <w:rsid w:val="00D40456"/>
    <w:rsid w:val="00D42AA2"/>
    <w:rsid w:val="00D4327E"/>
    <w:rsid w:val="00D44642"/>
    <w:rsid w:val="00D45BB0"/>
    <w:rsid w:val="00D54E59"/>
    <w:rsid w:val="00D6250A"/>
    <w:rsid w:val="00D63B60"/>
    <w:rsid w:val="00D65F3D"/>
    <w:rsid w:val="00D72982"/>
    <w:rsid w:val="00D82381"/>
    <w:rsid w:val="00D861D2"/>
    <w:rsid w:val="00D91A18"/>
    <w:rsid w:val="00D939F4"/>
    <w:rsid w:val="00D94107"/>
    <w:rsid w:val="00D950F4"/>
    <w:rsid w:val="00D96603"/>
    <w:rsid w:val="00D97FC6"/>
    <w:rsid w:val="00DA1CE9"/>
    <w:rsid w:val="00DA76EB"/>
    <w:rsid w:val="00DA7FAE"/>
    <w:rsid w:val="00DB538D"/>
    <w:rsid w:val="00DB5FCC"/>
    <w:rsid w:val="00DC5B69"/>
    <w:rsid w:val="00DC5BA4"/>
    <w:rsid w:val="00DC6B41"/>
    <w:rsid w:val="00DC75AD"/>
    <w:rsid w:val="00DD05EE"/>
    <w:rsid w:val="00DD26E8"/>
    <w:rsid w:val="00DD5E1F"/>
    <w:rsid w:val="00DD7D54"/>
    <w:rsid w:val="00DE29BF"/>
    <w:rsid w:val="00DE3662"/>
    <w:rsid w:val="00DE3C5D"/>
    <w:rsid w:val="00DE3F58"/>
    <w:rsid w:val="00DE56E6"/>
    <w:rsid w:val="00DF2216"/>
    <w:rsid w:val="00DF42AF"/>
    <w:rsid w:val="00E01110"/>
    <w:rsid w:val="00E021CC"/>
    <w:rsid w:val="00E052D2"/>
    <w:rsid w:val="00E12192"/>
    <w:rsid w:val="00E154E8"/>
    <w:rsid w:val="00E15745"/>
    <w:rsid w:val="00E218AB"/>
    <w:rsid w:val="00E21C26"/>
    <w:rsid w:val="00E21C73"/>
    <w:rsid w:val="00E22954"/>
    <w:rsid w:val="00E25FD5"/>
    <w:rsid w:val="00E2640B"/>
    <w:rsid w:val="00E31176"/>
    <w:rsid w:val="00E33900"/>
    <w:rsid w:val="00E3637F"/>
    <w:rsid w:val="00E40F19"/>
    <w:rsid w:val="00E423A9"/>
    <w:rsid w:val="00E4269F"/>
    <w:rsid w:val="00E42B7D"/>
    <w:rsid w:val="00E44656"/>
    <w:rsid w:val="00E4794C"/>
    <w:rsid w:val="00E528D3"/>
    <w:rsid w:val="00E538E2"/>
    <w:rsid w:val="00E57502"/>
    <w:rsid w:val="00E632CD"/>
    <w:rsid w:val="00E66532"/>
    <w:rsid w:val="00E67D46"/>
    <w:rsid w:val="00E710AA"/>
    <w:rsid w:val="00E72FBC"/>
    <w:rsid w:val="00E77B69"/>
    <w:rsid w:val="00E77D4D"/>
    <w:rsid w:val="00E804E6"/>
    <w:rsid w:val="00E80512"/>
    <w:rsid w:val="00E81D6B"/>
    <w:rsid w:val="00E82EEA"/>
    <w:rsid w:val="00E84390"/>
    <w:rsid w:val="00E850CF"/>
    <w:rsid w:val="00E85776"/>
    <w:rsid w:val="00E863AC"/>
    <w:rsid w:val="00E873AA"/>
    <w:rsid w:val="00E92DFC"/>
    <w:rsid w:val="00E93346"/>
    <w:rsid w:val="00E96231"/>
    <w:rsid w:val="00E97792"/>
    <w:rsid w:val="00EA3178"/>
    <w:rsid w:val="00EB0ADA"/>
    <w:rsid w:val="00EB2666"/>
    <w:rsid w:val="00EB2F80"/>
    <w:rsid w:val="00EB3A63"/>
    <w:rsid w:val="00EB4D88"/>
    <w:rsid w:val="00EB6728"/>
    <w:rsid w:val="00EC3756"/>
    <w:rsid w:val="00EC5E22"/>
    <w:rsid w:val="00EC6D2E"/>
    <w:rsid w:val="00ED1939"/>
    <w:rsid w:val="00ED6C71"/>
    <w:rsid w:val="00ED6EBB"/>
    <w:rsid w:val="00ED7353"/>
    <w:rsid w:val="00ED7983"/>
    <w:rsid w:val="00EE079A"/>
    <w:rsid w:val="00EE3B19"/>
    <w:rsid w:val="00EE5CD5"/>
    <w:rsid w:val="00EE7018"/>
    <w:rsid w:val="00EF1037"/>
    <w:rsid w:val="00EF39D3"/>
    <w:rsid w:val="00F00CC6"/>
    <w:rsid w:val="00F02A94"/>
    <w:rsid w:val="00F0380F"/>
    <w:rsid w:val="00F1055D"/>
    <w:rsid w:val="00F1511C"/>
    <w:rsid w:val="00F16C00"/>
    <w:rsid w:val="00F16CDB"/>
    <w:rsid w:val="00F22037"/>
    <w:rsid w:val="00F22723"/>
    <w:rsid w:val="00F2386D"/>
    <w:rsid w:val="00F250DC"/>
    <w:rsid w:val="00F26019"/>
    <w:rsid w:val="00F3088C"/>
    <w:rsid w:val="00F30A9B"/>
    <w:rsid w:val="00F3324F"/>
    <w:rsid w:val="00F35261"/>
    <w:rsid w:val="00F419E4"/>
    <w:rsid w:val="00F41D1B"/>
    <w:rsid w:val="00F44BC4"/>
    <w:rsid w:val="00F463E6"/>
    <w:rsid w:val="00F477A4"/>
    <w:rsid w:val="00F51B82"/>
    <w:rsid w:val="00F56CE7"/>
    <w:rsid w:val="00F60524"/>
    <w:rsid w:val="00F60966"/>
    <w:rsid w:val="00F626D1"/>
    <w:rsid w:val="00F6453E"/>
    <w:rsid w:val="00F65A21"/>
    <w:rsid w:val="00F71A7E"/>
    <w:rsid w:val="00F728CD"/>
    <w:rsid w:val="00F72A4B"/>
    <w:rsid w:val="00F85D0F"/>
    <w:rsid w:val="00F864FE"/>
    <w:rsid w:val="00F878AF"/>
    <w:rsid w:val="00F90E9E"/>
    <w:rsid w:val="00F950BF"/>
    <w:rsid w:val="00F96369"/>
    <w:rsid w:val="00F979D5"/>
    <w:rsid w:val="00FA0AC6"/>
    <w:rsid w:val="00FA35A4"/>
    <w:rsid w:val="00FA5ADF"/>
    <w:rsid w:val="00FB3248"/>
    <w:rsid w:val="00FE028E"/>
    <w:rsid w:val="00FE7164"/>
    <w:rsid w:val="00FF0DAD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19BB4"/>
  <w15:chartTrackingRefBased/>
  <w15:docId w15:val="{C2E6BF30-3606-4CFC-AE14-5D16823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EF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730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730B4"/>
    <w:rPr>
      <w:rFonts w:ascii="Calibri" w:eastAsia="宋体" w:hAnsi="Calibri" w:cs="Times New Roman"/>
    </w:rPr>
  </w:style>
  <w:style w:type="paragraph" w:styleId="a6">
    <w:name w:val="List Paragraph"/>
    <w:basedOn w:val="a"/>
    <w:uiPriority w:val="99"/>
    <w:qFormat/>
    <w:rsid w:val="008A0BC2"/>
    <w:pPr>
      <w:ind w:firstLineChars="200" w:firstLine="420"/>
    </w:pPr>
  </w:style>
  <w:style w:type="character" w:styleId="a7">
    <w:name w:val="Hyperlink"/>
    <w:uiPriority w:val="99"/>
    <w:unhideWhenUsed/>
    <w:rsid w:val="007810C5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90E9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90E9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90E9E"/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F90E9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90E9E"/>
    <w:rPr>
      <w:rFonts w:ascii="Calibri" w:eastAsia="宋体" w:hAnsi="Calibri" w:cs="Times New Roman"/>
      <w:sz w:val="18"/>
      <w:szCs w:val="18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121BFE"/>
    <w:rPr>
      <w:b/>
      <w:bCs/>
    </w:rPr>
  </w:style>
  <w:style w:type="character" w:customStyle="1" w:styleId="Char4">
    <w:name w:val="批注主题 Char"/>
    <w:basedOn w:val="Char2"/>
    <w:link w:val="ab"/>
    <w:uiPriority w:val="99"/>
    <w:semiHidden/>
    <w:rsid w:val="00121BFE"/>
    <w:rPr>
      <w:rFonts w:ascii="Calibri" w:eastAsia="宋体" w:hAnsi="Calibri" w:cs="Times New Roman"/>
      <w:b/>
      <w:bCs/>
    </w:rPr>
  </w:style>
  <w:style w:type="paragraph" w:styleId="ac">
    <w:name w:val="Revision"/>
    <w:hidden/>
    <w:uiPriority w:val="99"/>
    <w:semiHidden/>
    <w:rsid w:val="00121BFE"/>
    <w:rPr>
      <w:rFonts w:ascii="Calibri" w:eastAsia="宋体" w:hAnsi="Calibri" w:cs="Times New Roman"/>
    </w:rPr>
  </w:style>
  <w:style w:type="table" w:styleId="ad">
    <w:name w:val="Table Grid"/>
    <w:basedOn w:val="a1"/>
    <w:uiPriority w:val="39"/>
    <w:rsid w:val="0049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187B-8820-46CC-A12C-8C8EBEDB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2022-07-20T07:41:00Z</cp:lastPrinted>
  <dcterms:created xsi:type="dcterms:W3CDTF">2022-08-04T06:50:00Z</dcterms:created>
  <dcterms:modified xsi:type="dcterms:W3CDTF">2022-08-04T07:39:00Z</dcterms:modified>
</cp:coreProperties>
</file>