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B76E0" w14:textId="13A3B4F8" w:rsidR="009C08B4" w:rsidRDefault="009C08B4" w:rsidP="009C08B4">
      <w:pPr>
        <w:tabs>
          <w:tab w:val="center" w:pos="4365"/>
          <w:tab w:val="left" w:pos="7710"/>
        </w:tabs>
        <w:spacing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9C08B4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14:paraId="46EC62FD" w14:textId="77777777" w:rsidR="009C08B4" w:rsidRDefault="009C08B4" w:rsidP="009C08B4">
      <w:pPr>
        <w:tabs>
          <w:tab w:val="center" w:pos="4365"/>
          <w:tab w:val="left" w:pos="7710"/>
        </w:tabs>
        <w:spacing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14:paraId="759E6829" w14:textId="77777777" w:rsidR="009C08B4" w:rsidRDefault="009C08B4" w:rsidP="009C08B4">
      <w:pPr>
        <w:spacing w:line="600" w:lineRule="exact"/>
        <w:jc w:val="center"/>
        <w:rPr>
          <w:rFonts w:ascii="方正大标宋简体" w:eastAsia="方正大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方正小标宋简体" w:cs="方正小标宋简体" w:hint="eastAsia"/>
          <w:color w:val="000000"/>
          <w:kern w:val="0"/>
          <w:sz w:val="44"/>
          <w:szCs w:val="44"/>
        </w:rPr>
        <w:t>《两网公司及退市公司股票转让办法》</w:t>
      </w:r>
    </w:p>
    <w:p w14:paraId="590EEE72" w14:textId="77777777" w:rsidR="009C08B4" w:rsidRDefault="009C08B4" w:rsidP="009C08B4">
      <w:pPr>
        <w:spacing w:line="600" w:lineRule="exact"/>
        <w:jc w:val="center"/>
        <w:rPr>
          <w:rFonts w:ascii="方正大标宋简体" w:eastAsia="方正大标宋简体" w:hAnsi="方正小标宋简体" w:cs="方正小标宋简体"/>
          <w:color w:val="000000"/>
          <w:kern w:val="0"/>
          <w:sz w:val="44"/>
          <w:szCs w:val="44"/>
        </w:rPr>
      </w:pPr>
      <w:r w:rsidRPr="00A069AE">
        <w:rPr>
          <w:rFonts w:ascii="方正大标宋简体" w:eastAsia="方正大标宋简体" w:hAnsi="方正小标宋简体" w:cs="方正小标宋简体" w:hint="eastAsia"/>
          <w:color w:val="000000"/>
          <w:kern w:val="0"/>
          <w:sz w:val="44"/>
          <w:szCs w:val="44"/>
        </w:rPr>
        <w:t>（征求意见稿）</w:t>
      </w:r>
      <w:r>
        <w:rPr>
          <w:rFonts w:ascii="方正大标宋简体" w:eastAsia="方正大标宋简体" w:hAnsi="方正小标宋简体" w:cs="方正小标宋简体" w:hint="eastAsia"/>
          <w:color w:val="000000"/>
          <w:kern w:val="0"/>
          <w:sz w:val="44"/>
          <w:szCs w:val="44"/>
        </w:rPr>
        <w:t>修订说明</w:t>
      </w:r>
    </w:p>
    <w:p w14:paraId="2CDE6781" w14:textId="77777777" w:rsidR="009C08B4" w:rsidRDefault="009C08B4" w:rsidP="009C08B4">
      <w:pPr>
        <w:spacing w:line="600" w:lineRule="exact"/>
        <w:ind w:firstLineChars="200" w:firstLine="640"/>
        <w:rPr>
          <w:rFonts w:ascii="Times New Roman" w:eastAsia="仿宋" w:hAnsi="Times New Roman"/>
          <w:sz w:val="32"/>
        </w:rPr>
      </w:pPr>
    </w:p>
    <w:p w14:paraId="6B357C67" w14:textId="3BCDF407" w:rsidR="009C08B4" w:rsidRDefault="009C08B4" w:rsidP="009C08B4">
      <w:pPr>
        <w:spacing w:line="6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proofErr w:type="gramStart"/>
      <w:r>
        <w:rPr>
          <w:rFonts w:ascii="仿宋" w:eastAsia="仿宋" w:hAnsi="仿宋" w:cstheme="minorBidi" w:hint="eastAsia"/>
          <w:sz w:val="32"/>
          <w:szCs w:val="32"/>
        </w:rPr>
        <w:t>完善退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市公司监管制度是健全上市公司退市机制的重要内容，在保障退市制度平稳实施、保护投资者合法权益、防范市场风险等方面发挥着重要作用。《全国中小企业股份转让系统两网公司及退市公司股票转让暂行办法》（以下简称《股票转让暂行办法》）所施行的分类转</w:t>
      </w:r>
      <w:r>
        <w:rPr>
          <w:rFonts w:ascii="Times New Roman" w:eastAsia="仿宋" w:hAnsi="Times New Roman"/>
          <w:sz w:val="32"/>
          <w:szCs w:val="32"/>
        </w:rPr>
        <w:t>让、</w:t>
      </w:r>
      <w:r w:rsidRPr="009C08B4">
        <w:rPr>
          <w:rFonts w:ascii="Times New Roman" w:eastAsia="仿宋" w:hAnsi="Times New Roman"/>
          <w:sz w:val="32"/>
          <w:szCs w:val="32"/>
        </w:rPr>
        <w:t>5</w:t>
      </w:r>
      <w:r w:rsidRPr="00586471">
        <w:rPr>
          <w:rFonts w:ascii="仿宋" w:eastAsia="仿宋" w:hAnsi="仿宋"/>
          <w:sz w:val="32"/>
          <w:szCs w:val="32"/>
        </w:rPr>
        <w:t>%</w:t>
      </w:r>
      <w:r>
        <w:rPr>
          <w:rFonts w:ascii="Times New Roman" w:eastAsia="仿宋" w:hAnsi="Times New Roman"/>
          <w:sz w:val="32"/>
          <w:szCs w:val="32"/>
        </w:rPr>
        <w:t>的涨</w:t>
      </w:r>
      <w:r>
        <w:rPr>
          <w:rFonts w:ascii="仿宋" w:eastAsia="仿宋" w:hAnsi="仿宋" w:cstheme="minorBidi" w:hint="eastAsia"/>
          <w:sz w:val="32"/>
          <w:szCs w:val="32"/>
        </w:rPr>
        <w:t>跌幅限制在控制退市公司股票转让风险方面发挥了重要作用。但随着注册制改革、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常态化退市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的不断深入推进，《股票转让暂行办法》有关退市公司挂牌、分类转让的标准、股票暂停恢复转让、终止挂牌的情形等内容有待优化、提高适应性。为进一步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完善退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市公司股票转让管理，根据《公司法》《证券法》《关于完善上市公司退市后监管工作的指导意见》等有关规定，全国中小企业股份转让系统有限责任公司（以下简称全国股转公司）修订了《股票转让暂行办法》，并命名为《两网公司及退市公司股票转让办法》</w:t>
      </w:r>
      <w:r w:rsidRPr="000C004C">
        <w:rPr>
          <w:rFonts w:ascii="仿宋" w:eastAsia="仿宋" w:hAnsi="仿宋" w:cstheme="minorBidi" w:hint="eastAsia"/>
          <w:sz w:val="32"/>
          <w:szCs w:val="32"/>
        </w:rPr>
        <w:t>（征求意见稿）</w:t>
      </w:r>
      <w:r>
        <w:rPr>
          <w:rFonts w:ascii="仿宋" w:eastAsia="仿宋" w:hAnsi="仿宋" w:cstheme="minorBidi" w:hint="eastAsia"/>
          <w:sz w:val="32"/>
          <w:szCs w:val="32"/>
        </w:rPr>
        <w:t>（以下简称《股票转让办法》），现就有关事项说明如下：</w:t>
      </w:r>
    </w:p>
    <w:p w14:paraId="7DF272A0" w14:textId="77777777" w:rsidR="009C08B4" w:rsidRDefault="009C08B4" w:rsidP="009C08B4">
      <w:pPr>
        <w:spacing w:line="600" w:lineRule="exact"/>
        <w:ind w:firstLineChars="200" w:firstLine="640"/>
        <w:jc w:val="left"/>
        <w:outlineLvl w:val="1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一、</w:t>
      </w:r>
      <w:r>
        <w:rPr>
          <w:rFonts w:ascii="Times New Roman" w:eastAsia="黑体" w:hAnsi="Times New Roman" w:hint="eastAsia"/>
          <w:bCs/>
          <w:sz w:val="32"/>
          <w:szCs w:val="32"/>
        </w:rPr>
        <w:t>修订思路</w:t>
      </w:r>
    </w:p>
    <w:p w14:paraId="59246407" w14:textId="77777777" w:rsidR="009C08B4" w:rsidRDefault="009C08B4" w:rsidP="009C08B4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b/>
          <w:bCs/>
          <w:sz w:val="32"/>
          <w:szCs w:val="32"/>
        </w:rPr>
        <w:t>一是做好规则之间的衔接、理顺规范内容。</w:t>
      </w:r>
      <w:r>
        <w:rPr>
          <w:rFonts w:ascii="仿宋" w:eastAsia="仿宋" w:hAnsi="仿宋" w:cstheme="minorBidi" w:hint="eastAsia"/>
          <w:sz w:val="32"/>
          <w:szCs w:val="32"/>
        </w:rPr>
        <w:t>将不属于“股票</w:t>
      </w:r>
      <w:r>
        <w:rPr>
          <w:rFonts w:ascii="仿宋" w:eastAsia="仿宋" w:hAnsi="仿宋" w:cstheme="minorBidi" w:hint="eastAsia"/>
          <w:sz w:val="32"/>
          <w:szCs w:val="32"/>
        </w:rPr>
        <w:lastRenderedPageBreak/>
        <w:t>转让”有关的退市公司股票挂牌退市板块、投资者确权等程序性内容调整至《关于退市公司进入退市板块挂牌转让的实施办法》和《退市公司股票挂牌业务指南》予以规定，退市公司自律规则体系更为合理。</w:t>
      </w:r>
    </w:p>
    <w:p w14:paraId="641E3CC7" w14:textId="7E7301E3" w:rsidR="009C08B4" w:rsidRDefault="009C08B4" w:rsidP="009C08B4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b/>
          <w:bCs/>
          <w:sz w:val="32"/>
          <w:szCs w:val="32"/>
        </w:rPr>
        <w:t>二是适度优化调整、完善程序安排。</w:t>
      </w:r>
      <w:r>
        <w:rPr>
          <w:rFonts w:ascii="仿宋" w:eastAsia="仿宋" w:hAnsi="仿宋" w:cstheme="minorBidi" w:hint="eastAsia"/>
          <w:sz w:val="32"/>
          <w:szCs w:val="32"/>
        </w:rPr>
        <w:t>此次规则修订围绕着“坚持前期制度的总体安排，不作根本性调整，同时适应常态化退市的要求”的基本思路开展。在保留原本有关分类转让、</w:t>
      </w:r>
      <w:r w:rsidRPr="009C08B4">
        <w:rPr>
          <w:rFonts w:ascii="Times New Roman" w:eastAsia="仿宋" w:hAnsi="Times New Roman" w:cstheme="minorBidi" w:hint="eastAsia"/>
          <w:sz w:val="32"/>
          <w:szCs w:val="32"/>
        </w:rPr>
        <w:t>5</w:t>
      </w:r>
      <w:r>
        <w:rPr>
          <w:rFonts w:ascii="仿宋" w:eastAsia="仿宋" w:hAnsi="仿宋" w:cstheme="minorBidi" w:hint="eastAsia"/>
          <w:sz w:val="32"/>
          <w:szCs w:val="32"/>
        </w:rPr>
        <w:t>%涨跌幅限制等基本制度安排的基础上，对于部分过于原则性的规定进行优化，提高制度的可操作性和适应性。</w:t>
      </w:r>
    </w:p>
    <w:p w14:paraId="770E8F22" w14:textId="77777777" w:rsidR="009C08B4" w:rsidRDefault="009C08B4" w:rsidP="009C08B4">
      <w:pPr>
        <w:spacing w:line="600" w:lineRule="exact"/>
        <w:ind w:firstLineChars="200" w:firstLine="640"/>
        <w:jc w:val="left"/>
        <w:outlineLvl w:val="1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二、主要</w:t>
      </w:r>
      <w:r>
        <w:rPr>
          <w:rFonts w:ascii="Times New Roman" w:eastAsia="黑体" w:hAnsi="Times New Roman" w:hint="eastAsia"/>
          <w:bCs/>
          <w:sz w:val="32"/>
          <w:szCs w:val="32"/>
        </w:rPr>
        <w:t>修订</w:t>
      </w:r>
      <w:r>
        <w:rPr>
          <w:rFonts w:ascii="Times New Roman" w:eastAsia="黑体" w:hAnsi="Times New Roman"/>
          <w:bCs/>
          <w:sz w:val="32"/>
          <w:szCs w:val="32"/>
        </w:rPr>
        <w:t>内容</w:t>
      </w:r>
    </w:p>
    <w:p w14:paraId="0495FA53" w14:textId="4AE44CEB" w:rsidR="009C08B4" w:rsidRDefault="009C08B4" w:rsidP="009C08B4">
      <w:pPr>
        <w:spacing w:line="600" w:lineRule="exact"/>
        <w:ind w:firstLineChars="200" w:firstLine="640"/>
        <w:rPr>
          <w:rFonts w:ascii="Times New Roman" w:eastAsia="仿宋" w:hAnsi="Times New Roman"/>
          <w:sz w:val="32"/>
        </w:rPr>
      </w:pPr>
      <w:r>
        <w:rPr>
          <w:rFonts w:ascii="Times New Roman" w:eastAsia="仿宋" w:hAnsi="Times New Roman" w:hint="eastAsia"/>
          <w:sz w:val="32"/>
        </w:rPr>
        <w:t>规则修</w:t>
      </w:r>
      <w:r w:rsidRPr="00586471">
        <w:rPr>
          <w:rFonts w:ascii="仿宋" w:eastAsia="仿宋" w:hAnsi="仿宋" w:hint="eastAsia"/>
          <w:sz w:val="32"/>
        </w:rPr>
        <w:t>订前总共</w:t>
      </w:r>
      <w:r w:rsidRPr="009C08B4">
        <w:rPr>
          <w:rFonts w:ascii="Times New Roman" w:eastAsia="仿宋" w:hAnsi="Times New Roman" w:hint="eastAsia"/>
          <w:sz w:val="32"/>
        </w:rPr>
        <w:t>44</w:t>
      </w:r>
      <w:r w:rsidRPr="00586471">
        <w:rPr>
          <w:rFonts w:ascii="仿宋" w:eastAsia="仿宋" w:hAnsi="仿宋" w:hint="eastAsia"/>
          <w:sz w:val="32"/>
        </w:rPr>
        <w:t>条，修订后适度减少至</w:t>
      </w:r>
      <w:r w:rsidRPr="009C08B4">
        <w:rPr>
          <w:rFonts w:ascii="Times New Roman" w:eastAsia="仿宋" w:hAnsi="Times New Roman" w:hint="eastAsia"/>
          <w:sz w:val="32"/>
        </w:rPr>
        <w:t>40</w:t>
      </w:r>
      <w:r w:rsidRPr="00586471">
        <w:rPr>
          <w:rFonts w:ascii="仿宋" w:eastAsia="仿宋" w:hAnsi="仿宋" w:hint="eastAsia"/>
          <w:sz w:val="32"/>
        </w:rPr>
        <w:t>条，其中删除了</w:t>
      </w:r>
      <w:r w:rsidRPr="009C08B4">
        <w:rPr>
          <w:rFonts w:ascii="Times New Roman" w:eastAsia="仿宋" w:hAnsi="Times New Roman" w:hint="eastAsia"/>
          <w:sz w:val="32"/>
        </w:rPr>
        <w:t>11</w:t>
      </w:r>
      <w:r w:rsidRPr="00586471">
        <w:rPr>
          <w:rFonts w:ascii="仿宋" w:eastAsia="仿宋" w:hAnsi="仿宋" w:hint="eastAsia"/>
          <w:sz w:val="32"/>
        </w:rPr>
        <w:t>条，新增了</w:t>
      </w:r>
      <w:r w:rsidRPr="009C08B4">
        <w:rPr>
          <w:rFonts w:ascii="Times New Roman" w:eastAsia="仿宋" w:hAnsi="Times New Roman" w:hint="eastAsia"/>
          <w:sz w:val="32"/>
        </w:rPr>
        <w:t>5</w:t>
      </w:r>
      <w:r>
        <w:rPr>
          <w:rFonts w:ascii="Times New Roman" w:eastAsia="仿宋" w:hAnsi="Times New Roman" w:hint="eastAsia"/>
          <w:sz w:val="32"/>
        </w:rPr>
        <w:t>条，实质性修订了</w:t>
      </w:r>
      <w:r w:rsidRPr="009C08B4">
        <w:rPr>
          <w:rFonts w:ascii="Times New Roman" w:eastAsia="仿宋" w:hAnsi="Times New Roman" w:hint="eastAsia"/>
          <w:sz w:val="32"/>
        </w:rPr>
        <w:t>7</w:t>
      </w:r>
      <w:r>
        <w:rPr>
          <w:rFonts w:ascii="Times New Roman" w:eastAsia="仿宋" w:hAnsi="Times New Roman" w:hint="eastAsia"/>
          <w:sz w:val="32"/>
        </w:rPr>
        <w:t>条，《股票转让办法》</w:t>
      </w:r>
      <w:r w:rsidRPr="000C004C">
        <w:rPr>
          <w:rFonts w:ascii="Times New Roman" w:eastAsia="仿宋" w:hAnsi="Times New Roman" w:hint="eastAsia"/>
          <w:sz w:val="32"/>
        </w:rPr>
        <w:t>（征求意见稿）</w:t>
      </w:r>
      <w:r>
        <w:rPr>
          <w:rFonts w:ascii="Times New Roman" w:eastAsia="仿宋" w:hAnsi="Times New Roman" w:hint="eastAsia"/>
          <w:sz w:val="32"/>
        </w:rPr>
        <w:t>整体延续了原有制度安排，并结合实践</w:t>
      </w:r>
      <w:r>
        <w:rPr>
          <w:rFonts w:ascii="Times New Roman" w:eastAsia="仿宋" w:hAnsi="Times New Roman"/>
          <w:sz w:val="32"/>
        </w:rPr>
        <w:t>经验</w:t>
      </w:r>
      <w:r>
        <w:rPr>
          <w:rFonts w:ascii="Times New Roman" w:eastAsia="仿宋" w:hAnsi="Times New Roman" w:hint="eastAsia"/>
          <w:sz w:val="32"/>
        </w:rPr>
        <w:t>进一步完善，主要修订</w:t>
      </w:r>
      <w:r>
        <w:rPr>
          <w:rFonts w:ascii="Times New Roman" w:eastAsia="仿宋" w:hAnsi="Times New Roman"/>
          <w:sz w:val="32"/>
        </w:rPr>
        <w:t>内容如下：</w:t>
      </w:r>
    </w:p>
    <w:p w14:paraId="08B0F615" w14:textId="77777777" w:rsidR="009C08B4" w:rsidRDefault="009C08B4" w:rsidP="009C08B4">
      <w:pPr>
        <w:spacing w:line="600" w:lineRule="exact"/>
        <w:ind w:firstLine="600"/>
        <w:rPr>
          <w:rFonts w:ascii="仿宋" w:eastAsia="仿宋" w:hAnsi="仿宋" w:cstheme="minorBidi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>一</w:t>
      </w:r>
      <w:r>
        <w:rPr>
          <w:rFonts w:ascii="仿宋" w:eastAsia="仿宋" w:hAnsi="仿宋" w:cstheme="minorBidi"/>
          <w:b/>
          <w:sz w:val="32"/>
          <w:szCs w:val="32"/>
        </w:rPr>
        <w:t>是</w:t>
      </w:r>
      <w:r>
        <w:rPr>
          <w:rFonts w:ascii="仿宋" w:eastAsia="仿宋" w:hAnsi="仿宋" w:cstheme="minorBidi" w:hint="eastAsia"/>
          <w:b/>
          <w:sz w:val="32"/>
          <w:szCs w:val="32"/>
        </w:rPr>
        <w:t>调整</w:t>
      </w:r>
      <w:r>
        <w:rPr>
          <w:rFonts w:ascii="仿宋" w:eastAsia="仿宋" w:hAnsi="仿宋" w:cstheme="minorBidi"/>
          <w:b/>
          <w:sz w:val="32"/>
          <w:szCs w:val="32"/>
        </w:rPr>
        <w:t>挂牌与确权</w:t>
      </w:r>
      <w:r>
        <w:rPr>
          <w:rFonts w:ascii="仿宋" w:eastAsia="仿宋" w:hAnsi="仿宋" w:cstheme="minorBidi" w:hint="eastAsia"/>
          <w:b/>
          <w:sz w:val="32"/>
          <w:szCs w:val="32"/>
        </w:rPr>
        <w:t>内容</w:t>
      </w:r>
      <w:r>
        <w:rPr>
          <w:rFonts w:ascii="仿宋" w:eastAsia="仿宋" w:hAnsi="仿宋" w:cstheme="minorBidi"/>
          <w:b/>
          <w:sz w:val="32"/>
          <w:szCs w:val="32"/>
        </w:rPr>
        <w:t>。</w:t>
      </w:r>
      <w:r>
        <w:rPr>
          <w:rFonts w:ascii="仿宋" w:eastAsia="仿宋" w:hAnsi="仿宋" w:cstheme="minorBidi" w:hint="eastAsia"/>
          <w:bCs/>
          <w:sz w:val="32"/>
          <w:szCs w:val="32"/>
        </w:rPr>
        <w:t>由于退市公司挂牌原仅有指南性的规范要求，缺乏上位规则依据，因此在原</w:t>
      </w:r>
      <w:r>
        <w:rPr>
          <w:rFonts w:ascii="仿宋" w:eastAsia="仿宋" w:hAnsi="仿宋" w:cstheme="minorBidi" w:hint="eastAsia"/>
          <w:sz w:val="32"/>
          <w:szCs w:val="32"/>
        </w:rPr>
        <w:t>《股票转让暂行办法》规定了有关退市公司挂牌与股票确权的内容。为更好地理顺各项规则规范内容，本次规则调整将不属于“股票转让”的有关挂牌与确权的内容转由《关于退市公司进入退市板块挂牌转让的实施办法》和《退市公司股票挂牌业务指南》进行规范。</w:t>
      </w:r>
    </w:p>
    <w:p w14:paraId="07DD3263" w14:textId="77777777" w:rsidR="009C08B4" w:rsidRDefault="009C08B4" w:rsidP="009C08B4">
      <w:pPr>
        <w:spacing w:line="600" w:lineRule="exact"/>
        <w:ind w:firstLine="600"/>
        <w:rPr>
          <w:rFonts w:asciiTheme="minorHAnsi" w:eastAsia="仿宋" w:hAnsiTheme="minorHAnsi" w:cstheme="minorBidi"/>
          <w:sz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>二</w:t>
      </w:r>
      <w:r>
        <w:rPr>
          <w:rFonts w:ascii="仿宋" w:eastAsia="仿宋" w:hAnsi="仿宋" w:cstheme="minorBidi"/>
          <w:b/>
          <w:sz w:val="32"/>
          <w:szCs w:val="32"/>
        </w:rPr>
        <w:t>是优化分类转让标准</w:t>
      </w:r>
      <w:r>
        <w:rPr>
          <w:rFonts w:asciiTheme="minorHAnsi" w:eastAsia="仿宋" w:hAnsiTheme="minorHAnsi" w:cstheme="minorBidi" w:hint="eastAsia"/>
          <w:sz w:val="32"/>
        </w:rPr>
        <w:t>。首先，在分类转让标准中明确“规</w:t>
      </w:r>
      <w:r>
        <w:rPr>
          <w:rFonts w:asciiTheme="minorHAnsi" w:eastAsia="仿宋" w:hAnsiTheme="minorHAnsi" w:cstheme="minorBidi" w:hint="eastAsia"/>
          <w:sz w:val="32"/>
        </w:rPr>
        <w:lastRenderedPageBreak/>
        <w:t>范履行信息披露义务”系指“披露经审计的年度报告”；其次，为更好地督促公司履行半年度报告的披露义务，规定如公司未履行披露中期报告义务的，其股票每周转让一次。最后，为配合解决部分退市公司消极应对挂牌，未及时与全国股转公司签署《股票转让服务协议》的情况，全国股转公司仍接纳此类退市公司挂牌，但其股票每周仅能转让一次。</w:t>
      </w:r>
    </w:p>
    <w:p w14:paraId="4BE2C0A1" w14:textId="3A33363A" w:rsidR="009C08B4" w:rsidRDefault="009C08B4" w:rsidP="009C08B4">
      <w:pPr>
        <w:spacing w:line="600" w:lineRule="exact"/>
        <w:ind w:firstLine="600"/>
        <w:rPr>
          <w:rFonts w:asciiTheme="minorHAnsi" w:eastAsia="仿宋" w:hAnsiTheme="minorHAnsi" w:cstheme="minorBidi"/>
          <w:sz w:val="32"/>
        </w:rPr>
      </w:pPr>
      <w:r>
        <w:rPr>
          <w:rFonts w:asciiTheme="minorHAnsi" w:eastAsia="仿宋" w:hAnsiTheme="minorHAnsi" w:cstheme="minorBidi" w:hint="eastAsia"/>
          <w:b/>
          <w:bCs/>
          <w:sz w:val="32"/>
        </w:rPr>
        <w:t>三是细化暂停与恢复转让要求。</w:t>
      </w:r>
      <w:r>
        <w:rPr>
          <w:rFonts w:asciiTheme="minorHAnsi" w:eastAsia="仿宋" w:hAnsiTheme="minorHAnsi" w:cstheme="minorBidi" w:hint="eastAsia"/>
          <w:sz w:val="32"/>
        </w:rPr>
        <w:t>原《股票转让暂行办法》对于公司股票暂停与恢复转让过于原则，缺乏可操作性。此次调整细化了相关内容：首先，明确暂停转让的具体情形，列举</w:t>
      </w:r>
      <w:r w:rsidRPr="00586471">
        <w:rPr>
          <w:rFonts w:ascii="仿宋" w:eastAsia="仿宋" w:hAnsi="仿宋" w:cstheme="minorBidi" w:hint="eastAsia"/>
          <w:sz w:val="32"/>
        </w:rPr>
        <w:t>了</w:t>
      </w:r>
      <w:r w:rsidRPr="009C08B4">
        <w:rPr>
          <w:rFonts w:ascii="Times New Roman" w:eastAsia="仿宋" w:hAnsi="Times New Roman" w:cstheme="minorBidi"/>
          <w:sz w:val="32"/>
        </w:rPr>
        <w:t>8</w:t>
      </w:r>
      <w:r w:rsidRPr="00586471">
        <w:rPr>
          <w:rFonts w:ascii="仿宋" w:eastAsia="仿宋" w:hAnsi="仿宋" w:cstheme="minorBidi" w:hint="eastAsia"/>
          <w:sz w:val="32"/>
        </w:rPr>
        <w:t>项暂停转让的情况，涵盖了影响股票转让的主要情形；其次，</w:t>
      </w:r>
      <w:r>
        <w:rPr>
          <w:rFonts w:asciiTheme="minorHAnsi" w:eastAsia="仿宋" w:hAnsiTheme="minorHAnsi" w:cstheme="minorBidi" w:hint="eastAsia"/>
          <w:sz w:val="32"/>
        </w:rPr>
        <w:t>规范暂停与恢复转让的程序性要求，明确了暂停与恢复转让的具体时间要求；最后，规定了全国股转公司强制暂停或恢复转让的情形。</w:t>
      </w:r>
    </w:p>
    <w:p w14:paraId="5504B0F6" w14:textId="5886B684" w:rsidR="009C08B4" w:rsidRDefault="009C08B4" w:rsidP="009C08B4">
      <w:pPr>
        <w:tabs>
          <w:tab w:val="center" w:pos="4365"/>
          <w:tab w:val="left" w:pos="7710"/>
        </w:tabs>
        <w:spacing w:line="600" w:lineRule="exact"/>
        <w:ind w:firstLineChars="200" w:firstLine="643"/>
        <w:rPr>
          <w:rFonts w:ascii="Times New Roman" w:eastAsia="仿宋" w:hAnsi="Times New Roman"/>
          <w:color w:val="000000" w:themeColor="text1"/>
          <w:sz w:val="32"/>
          <w:szCs w:val="30"/>
        </w:rPr>
      </w:pPr>
      <w:r>
        <w:rPr>
          <w:rFonts w:asciiTheme="minorHAnsi" w:eastAsia="仿宋" w:hAnsiTheme="minorHAnsi" w:cstheme="minorBidi" w:hint="eastAsia"/>
          <w:b/>
          <w:bCs/>
          <w:sz w:val="32"/>
        </w:rPr>
        <w:t>四是规范终止转让情形。</w:t>
      </w:r>
      <w:r>
        <w:rPr>
          <w:rFonts w:asciiTheme="minorHAnsi" w:eastAsia="仿宋" w:hAnsiTheme="minorHAnsi" w:cstheme="minorBidi" w:hint="eastAsia"/>
          <w:sz w:val="32"/>
        </w:rPr>
        <w:t>为进一步规范退市公司“退出”和“出清”，实现“有进有退”的基本格局，对股票终止转让进行了进一步规范，一方面，区分主动与强制终止转让；另一方面，新增了终止转让情形，根据实际情况，新增了挂牌新三板、股东人数</w:t>
      </w:r>
      <w:r w:rsidRPr="00586471">
        <w:rPr>
          <w:rFonts w:ascii="仿宋" w:eastAsia="仿宋" w:hAnsi="仿宋" w:cstheme="minorBidi" w:hint="eastAsia"/>
          <w:sz w:val="32"/>
        </w:rPr>
        <w:t>低于</w:t>
      </w:r>
      <w:r w:rsidRPr="009C08B4">
        <w:rPr>
          <w:rFonts w:ascii="Times New Roman" w:eastAsia="仿宋" w:hAnsi="Times New Roman" w:cstheme="minorBidi" w:hint="eastAsia"/>
          <w:sz w:val="32"/>
        </w:rPr>
        <w:t>200</w:t>
      </w:r>
      <w:r w:rsidRPr="00586471">
        <w:rPr>
          <w:rFonts w:ascii="仿宋" w:eastAsia="仿宋" w:hAnsi="仿宋" w:cstheme="minorBidi" w:hint="eastAsia"/>
          <w:sz w:val="32"/>
        </w:rPr>
        <w:t>人应</w:t>
      </w:r>
      <w:r>
        <w:rPr>
          <w:rFonts w:asciiTheme="minorHAnsi" w:eastAsia="仿宋" w:hAnsiTheme="minorHAnsi" w:cstheme="minorBidi" w:hint="eastAsia"/>
          <w:sz w:val="32"/>
        </w:rPr>
        <w:t>终止转让的要求。</w:t>
      </w:r>
    </w:p>
    <w:p w14:paraId="647EAE02" w14:textId="0EA85005" w:rsidR="00ED7983" w:rsidRPr="00C61E83" w:rsidRDefault="00ED7983" w:rsidP="00C61E83">
      <w:pPr>
        <w:spacing w:line="600" w:lineRule="exact"/>
        <w:jc w:val="left"/>
        <w:rPr>
          <w:rFonts w:ascii="Times New Roman" w:eastAsia="方正仿宋简体" w:hAnsi="Times New Roman" w:hint="eastAsia"/>
          <w:color w:val="FF0000"/>
          <w:kern w:val="0"/>
          <w:sz w:val="30"/>
          <w:szCs w:val="30"/>
        </w:rPr>
      </w:pPr>
      <w:bookmarkStart w:id="0" w:name="_GoBack"/>
      <w:bookmarkEnd w:id="0"/>
    </w:p>
    <w:sectPr w:rsidR="00ED7983" w:rsidRPr="00C61E83" w:rsidSect="00492F1F">
      <w:footerReference w:type="even" r:id="rId8"/>
      <w:footerReference w:type="default" r:id="rId9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37ACE" w14:textId="77777777" w:rsidR="00485F2F" w:rsidRDefault="00485F2F" w:rsidP="00BD02EF">
      <w:r>
        <w:separator/>
      </w:r>
    </w:p>
  </w:endnote>
  <w:endnote w:type="continuationSeparator" w:id="0">
    <w:p w14:paraId="74646DE9" w14:textId="77777777" w:rsidR="00485F2F" w:rsidRDefault="00485F2F" w:rsidP="00BD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23968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5E74A1A" w14:textId="3EA263BC" w:rsidR="000614F2" w:rsidRPr="000614F2" w:rsidRDefault="000614F2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0614F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614F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614F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61E83" w:rsidRPr="00C61E8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61E8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</w:t>
        </w:r>
        <w:r w:rsidR="00C61E83" w:rsidRPr="00C61E83">
          <w:rPr>
            <w:rFonts w:ascii="Times New Roman" w:eastAsiaTheme="minorEastAsia" w:hAnsi="Times New Roman"/>
            <w:noProof/>
            <w:sz w:val="28"/>
            <w:szCs w:val="28"/>
          </w:rPr>
          <w:t>2</w:t>
        </w:r>
        <w:r w:rsidR="00C61E8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-</w:t>
        </w:r>
        <w:r w:rsidRPr="000614F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1348E7CB" w14:textId="77777777" w:rsidR="000614F2" w:rsidRDefault="000614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50988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0AABC0A" w14:textId="78B29DA7" w:rsidR="000614F2" w:rsidRPr="000614F2" w:rsidRDefault="000614F2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614F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614F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614F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61E83" w:rsidRPr="00C61E8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61E8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</w:t>
        </w:r>
        <w:r w:rsidR="00C61E83" w:rsidRPr="00C61E83">
          <w:rPr>
            <w:rFonts w:ascii="Times New Roman" w:eastAsiaTheme="minorEastAsia" w:hAnsi="Times New Roman"/>
            <w:noProof/>
            <w:sz w:val="28"/>
            <w:szCs w:val="28"/>
          </w:rPr>
          <w:t>3</w:t>
        </w:r>
        <w:r w:rsidR="00C61E8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-</w:t>
        </w:r>
        <w:r w:rsidRPr="000614F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22533650" w14:textId="77777777" w:rsidR="00E67D46" w:rsidRDefault="00E67D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8E8D8" w14:textId="77777777" w:rsidR="00485F2F" w:rsidRDefault="00485F2F" w:rsidP="00BD02EF">
      <w:r>
        <w:separator/>
      </w:r>
    </w:p>
  </w:footnote>
  <w:footnote w:type="continuationSeparator" w:id="0">
    <w:p w14:paraId="23A98EF8" w14:textId="77777777" w:rsidR="00485F2F" w:rsidRDefault="00485F2F" w:rsidP="00BD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D81B0A"/>
    <w:multiLevelType w:val="singleLevel"/>
    <w:tmpl w:val="E5D81B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1579A8"/>
    <w:multiLevelType w:val="hybridMultilevel"/>
    <w:tmpl w:val="1870CFF2"/>
    <w:lvl w:ilvl="0" w:tplc="4B22D3C8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01132B"/>
    <w:rsid w:val="000114CC"/>
    <w:rsid w:val="0001279E"/>
    <w:rsid w:val="00013FD4"/>
    <w:rsid w:val="000140A5"/>
    <w:rsid w:val="00023393"/>
    <w:rsid w:val="00023918"/>
    <w:rsid w:val="000253C4"/>
    <w:rsid w:val="00027677"/>
    <w:rsid w:val="00030254"/>
    <w:rsid w:val="0003177A"/>
    <w:rsid w:val="00031819"/>
    <w:rsid w:val="0003452A"/>
    <w:rsid w:val="00034CB4"/>
    <w:rsid w:val="00034DC5"/>
    <w:rsid w:val="000350FA"/>
    <w:rsid w:val="00036093"/>
    <w:rsid w:val="00040339"/>
    <w:rsid w:val="000406E0"/>
    <w:rsid w:val="00040A29"/>
    <w:rsid w:val="00042AA7"/>
    <w:rsid w:val="000464E4"/>
    <w:rsid w:val="0004678F"/>
    <w:rsid w:val="000501AA"/>
    <w:rsid w:val="000515D0"/>
    <w:rsid w:val="000530B5"/>
    <w:rsid w:val="00057221"/>
    <w:rsid w:val="000614F2"/>
    <w:rsid w:val="00061835"/>
    <w:rsid w:val="00070A1C"/>
    <w:rsid w:val="00070EF4"/>
    <w:rsid w:val="00073313"/>
    <w:rsid w:val="00075DDE"/>
    <w:rsid w:val="000770D6"/>
    <w:rsid w:val="00077B36"/>
    <w:rsid w:val="00087D53"/>
    <w:rsid w:val="00090A5F"/>
    <w:rsid w:val="000914B4"/>
    <w:rsid w:val="00092880"/>
    <w:rsid w:val="00093565"/>
    <w:rsid w:val="00093666"/>
    <w:rsid w:val="000979F3"/>
    <w:rsid w:val="000B1D18"/>
    <w:rsid w:val="000B2000"/>
    <w:rsid w:val="000B3F90"/>
    <w:rsid w:val="000B4853"/>
    <w:rsid w:val="000B52DC"/>
    <w:rsid w:val="000B5EAA"/>
    <w:rsid w:val="000C446C"/>
    <w:rsid w:val="000C6818"/>
    <w:rsid w:val="000D7B7F"/>
    <w:rsid w:val="000E6E4C"/>
    <w:rsid w:val="000E72C9"/>
    <w:rsid w:val="000E72D0"/>
    <w:rsid w:val="000F0DC4"/>
    <w:rsid w:val="000F1B08"/>
    <w:rsid w:val="000F2D51"/>
    <w:rsid w:val="000F315B"/>
    <w:rsid w:val="000F593E"/>
    <w:rsid w:val="00104023"/>
    <w:rsid w:val="0010434B"/>
    <w:rsid w:val="0010613F"/>
    <w:rsid w:val="00110389"/>
    <w:rsid w:val="00111415"/>
    <w:rsid w:val="001136DB"/>
    <w:rsid w:val="00113E16"/>
    <w:rsid w:val="00116D3E"/>
    <w:rsid w:val="00117488"/>
    <w:rsid w:val="00121BFE"/>
    <w:rsid w:val="0012224F"/>
    <w:rsid w:val="00126771"/>
    <w:rsid w:val="00126F8E"/>
    <w:rsid w:val="00130AC5"/>
    <w:rsid w:val="00131C2F"/>
    <w:rsid w:val="00131FD5"/>
    <w:rsid w:val="00131FE7"/>
    <w:rsid w:val="001351B4"/>
    <w:rsid w:val="00136A16"/>
    <w:rsid w:val="00137C57"/>
    <w:rsid w:val="00140260"/>
    <w:rsid w:val="001421AB"/>
    <w:rsid w:val="00142A8D"/>
    <w:rsid w:val="0014751A"/>
    <w:rsid w:val="00150C13"/>
    <w:rsid w:val="0015190D"/>
    <w:rsid w:val="001525AB"/>
    <w:rsid w:val="00154EFD"/>
    <w:rsid w:val="00155052"/>
    <w:rsid w:val="001559C9"/>
    <w:rsid w:val="0016074F"/>
    <w:rsid w:val="001608C8"/>
    <w:rsid w:val="00160BF3"/>
    <w:rsid w:val="00165E5A"/>
    <w:rsid w:val="00170F03"/>
    <w:rsid w:val="001732C7"/>
    <w:rsid w:val="001751C9"/>
    <w:rsid w:val="00177DEB"/>
    <w:rsid w:val="0018408C"/>
    <w:rsid w:val="00184F1F"/>
    <w:rsid w:val="001856EA"/>
    <w:rsid w:val="0018614E"/>
    <w:rsid w:val="00186237"/>
    <w:rsid w:val="001868F6"/>
    <w:rsid w:val="0019258E"/>
    <w:rsid w:val="001931B8"/>
    <w:rsid w:val="00194F2E"/>
    <w:rsid w:val="00196309"/>
    <w:rsid w:val="001A4206"/>
    <w:rsid w:val="001A5588"/>
    <w:rsid w:val="001B041D"/>
    <w:rsid w:val="001B0CD9"/>
    <w:rsid w:val="001B6DFE"/>
    <w:rsid w:val="001B73AB"/>
    <w:rsid w:val="001B7CCF"/>
    <w:rsid w:val="001C3A53"/>
    <w:rsid w:val="001C3B47"/>
    <w:rsid w:val="001C4F64"/>
    <w:rsid w:val="001C7F38"/>
    <w:rsid w:val="001D11CB"/>
    <w:rsid w:val="001D11E3"/>
    <w:rsid w:val="001D1DB2"/>
    <w:rsid w:val="001D2CDF"/>
    <w:rsid w:val="001E0B46"/>
    <w:rsid w:val="001E0D34"/>
    <w:rsid w:val="001E6EB7"/>
    <w:rsid w:val="001E73D1"/>
    <w:rsid w:val="001F09A0"/>
    <w:rsid w:val="001F0B06"/>
    <w:rsid w:val="001F1813"/>
    <w:rsid w:val="001F22B9"/>
    <w:rsid w:val="001F2C66"/>
    <w:rsid w:val="001F5720"/>
    <w:rsid w:val="00200160"/>
    <w:rsid w:val="00201401"/>
    <w:rsid w:val="00201CDB"/>
    <w:rsid w:val="00203CC3"/>
    <w:rsid w:val="00203EFD"/>
    <w:rsid w:val="00205457"/>
    <w:rsid w:val="00207C88"/>
    <w:rsid w:val="002124CB"/>
    <w:rsid w:val="00213109"/>
    <w:rsid w:val="0021481E"/>
    <w:rsid w:val="002152AF"/>
    <w:rsid w:val="00215932"/>
    <w:rsid w:val="00215A3B"/>
    <w:rsid w:val="002205CB"/>
    <w:rsid w:val="002223D6"/>
    <w:rsid w:val="002233E0"/>
    <w:rsid w:val="00224B26"/>
    <w:rsid w:val="002271A7"/>
    <w:rsid w:val="002333E3"/>
    <w:rsid w:val="00236755"/>
    <w:rsid w:val="00236833"/>
    <w:rsid w:val="002473F6"/>
    <w:rsid w:val="0025096D"/>
    <w:rsid w:val="00251293"/>
    <w:rsid w:val="002536E0"/>
    <w:rsid w:val="00254F5B"/>
    <w:rsid w:val="00255F48"/>
    <w:rsid w:val="002566F5"/>
    <w:rsid w:val="00256738"/>
    <w:rsid w:val="0025678A"/>
    <w:rsid w:val="00256A8B"/>
    <w:rsid w:val="00260853"/>
    <w:rsid w:val="00264360"/>
    <w:rsid w:val="00267C14"/>
    <w:rsid w:val="00271211"/>
    <w:rsid w:val="002730B4"/>
    <w:rsid w:val="002735E0"/>
    <w:rsid w:val="00280A80"/>
    <w:rsid w:val="0028118C"/>
    <w:rsid w:val="00283F11"/>
    <w:rsid w:val="002942FD"/>
    <w:rsid w:val="00296704"/>
    <w:rsid w:val="00297E79"/>
    <w:rsid w:val="002A0CDE"/>
    <w:rsid w:val="002A1318"/>
    <w:rsid w:val="002A5EE4"/>
    <w:rsid w:val="002B12F6"/>
    <w:rsid w:val="002B1AEA"/>
    <w:rsid w:val="002B4533"/>
    <w:rsid w:val="002B4CE7"/>
    <w:rsid w:val="002B531D"/>
    <w:rsid w:val="002B5C1B"/>
    <w:rsid w:val="002B66C4"/>
    <w:rsid w:val="002B69F3"/>
    <w:rsid w:val="002C0DC9"/>
    <w:rsid w:val="002C1F53"/>
    <w:rsid w:val="002C3192"/>
    <w:rsid w:val="002C4D50"/>
    <w:rsid w:val="002D06DE"/>
    <w:rsid w:val="002D3F1F"/>
    <w:rsid w:val="002E0200"/>
    <w:rsid w:val="002F1E6E"/>
    <w:rsid w:val="002F3353"/>
    <w:rsid w:val="002F67FE"/>
    <w:rsid w:val="0030322B"/>
    <w:rsid w:val="00306CA9"/>
    <w:rsid w:val="0031218F"/>
    <w:rsid w:val="00312E97"/>
    <w:rsid w:val="00313721"/>
    <w:rsid w:val="003138A7"/>
    <w:rsid w:val="0032130E"/>
    <w:rsid w:val="00323369"/>
    <w:rsid w:val="00323A6D"/>
    <w:rsid w:val="00326C44"/>
    <w:rsid w:val="00326E84"/>
    <w:rsid w:val="00327855"/>
    <w:rsid w:val="003325EB"/>
    <w:rsid w:val="0033366F"/>
    <w:rsid w:val="00333E25"/>
    <w:rsid w:val="00336460"/>
    <w:rsid w:val="00336C12"/>
    <w:rsid w:val="003375BE"/>
    <w:rsid w:val="00337714"/>
    <w:rsid w:val="0034018B"/>
    <w:rsid w:val="003413FE"/>
    <w:rsid w:val="00343C07"/>
    <w:rsid w:val="0034410B"/>
    <w:rsid w:val="00344237"/>
    <w:rsid w:val="00346C39"/>
    <w:rsid w:val="00350D51"/>
    <w:rsid w:val="00351852"/>
    <w:rsid w:val="003523D3"/>
    <w:rsid w:val="00353031"/>
    <w:rsid w:val="00353B57"/>
    <w:rsid w:val="00356570"/>
    <w:rsid w:val="00362652"/>
    <w:rsid w:val="00365AE1"/>
    <w:rsid w:val="00365CEC"/>
    <w:rsid w:val="00373B5F"/>
    <w:rsid w:val="003810B0"/>
    <w:rsid w:val="00383400"/>
    <w:rsid w:val="00391E10"/>
    <w:rsid w:val="003941C0"/>
    <w:rsid w:val="003A0328"/>
    <w:rsid w:val="003A0961"/>
    <w:rsid w:val="003A2E2D"/>
    <w:rsid w:val="003B0326"/>
    <w:rsid w:val="003B4EDD"/>
    <w:rsid w:val="003B5FCF"/>
    <w:rsid w:val="003B7243"/>
    <w:rsid w:val="003C0078"/>
    <w:rsid w:val="003C0372"/>
    <w:rsid w:val="003C2E72"/>
    <w:rsid w:val="003C4AFF"/>
    <w:rsid w:val="003C64F5"/>
    <w:rsid w:val="003C70C1"/>
    <w:rsid w:val="003D0861"/>
    <w:rsid w:val="003D2796"/>
    <w:rsid w:val="003D3C08"/>
    <w:rsid w:val="003D48CA"/>
    <w:rsid w:val="003D4B63"/>
    <w:rsid w:val="003D5872"/>
    <w:rsid w:val="003D71BB"/>
    <w:rsid w:val="003D7933"/>
    <w:rsid w:val="003E215D"/>
    <w:rsid w:val="003E3337"/>
    <w:rsid w:val="003E6343"/>
    <w:rsid w:val="003E75A9"/>
    <w:rsid w:val="00405C7A"/>
    <w:rsid w:val="004073C0"/>
    <w:rsid w:val="00410467"/>
    <w:rsid w:val="004112D7"/>
    <w:rsid w:val="004155EF"/>
    <w:rsid w:val="00415930"/>
    <w:rsid w:val="00422DFD"/>
    <w:rsid w:val="004248AD"/>
    <w:rsid w:val="00425659"/>
    <w:rsid w:val="004258CD"/>
    <w:rsid w:val="00431C10"/>
    <w:rsid w:val="00432FC0"/>
    <w:rsid w:val="004412FE"/>
    <w:rsid w:val="00441CF2"/>
    <w:rsid w:val="00447E4C"/>
    <w:rsid w:val="00447EB8"/>
    <w:rsid w:val="00453ED7"/>
    <w:rsid w:val="00457E95"/>
    <w:rsid w:val="00460DF6"/>
    <w:rsid w:val="004629E8"/>
    <w:rsid w:val="00462D27"/>
    <w:rsid w:val="004636C3"/>
    <w:rsid w:val="00464262"/>
    <w:rsid w:val="004667C6"/>
    <w:rsid w:val="00466D70"/>
    <w:rsid w:val="0047156C"/>
    <w:rsid w:val="004720FD"/>
    <w:rsid w:val="00475B2E"/>
    <w:rsid w:val="00475E36"/>
    <w:rsid w:val="00480718"/>
    <w:rsid w:val="00481C27"/>
    <w:rsid w:val="00485F2F"/>
    <w:rsid w:val="004907BB"/>
    <w:rsid w:val="00492779"/>
    <w:rsid w:val="00492F1F"/>
    <w:rsid w:val="00496248"/>
    <w:rsid w:val="00497A41"/>
    <w:rsid w:val="004B16F2"/>
    <w:rsid w:val="004B54A2"/>
    <w:rsid w:val="004B58F2"/>
    <w:rsid w:val="004B6C04"/>
    <w:rsid w:val="004B7ECC"/>
    <w:rsid w:val="004C012F"/>
    <w:rsid w:val="004C1CFB"/>
    <w:rsid w:val="004C3960"/>
    <w:rsid w:val="004C3E8D"/>
    <w:rsid w:val="004C4091"/>
    <w:rsid w:val="004C7017"/>
    <w:rsid w:val="004D0513"/>
    <w:rsid w:val="004D4298"/>
    <w:rsid w:val="004E0EFA"/>
    <w:rsid w:val="004E2F19"/>
    <w:rsid w:val="004E6730"/>
    <w:rsid w:val="004F0718"/>
    <w:rsid w:val="004F22C0"/>
    <w:rsid w:val="004F44A2"/>
    <w:rsid w:val="0050023A"/>
    <w:rsid w:val="00502293"/>
    <w:rsid w:val="00504A9C"/>
    <w:rsid w:val="005145C1"/>
    <w:rsid w:val="00516D22"/>
    <w:rsid w:val="0052009E"/>
    <w:rsid w:val="005233D2"/>
    <w:rsid w:val="00530DC9"/>
    <w:rsid w:val="00533ACC"/>
    <w:rsid w:val="00536258"/>
    <w:rsid w:val="00541D59"/>
    <w:rsid w:val="0054351C"/>
    <w:rsid w:val="0054585A"/>
    <w:rsid w:val="0055358F"/>
    <w:rsid w:val="00556F11"/>
    <w:rsid w:val="005607CD"/>
    <w:rsid w:val="005609C4"/>
    <w:rsid w:val="00567CB8"/>
    <w:rsid w:val="00570CB3"/>
    <w:rsid w:val="00570F99"/>
    <w:rsid w:val="00572286"/>
    <w:rsid w:val="005727F7"/>
    <w:rsid w:val="00573800"/>
    <w:rsid w:val="00574BA1"/>
    <w:rsid w:val="00575CD8"/>
    <w:rsid w:val="00577ABC"/>
    <w:rsid w:val="00581DEA"/>
    <w:rsid w:val="00583A82"/>
    <w:rsid w:val="00586313"/>
    <w:rsid w:val="00590FC5"/>
    <w:rsid w:val="00591B1A"/>
    <w:rsid w:val="00594182"/>
    <w:rsid w:val="00594416"/>
    <w:rsid w:val="00594610"/>
    <w:rsid w:val="00594CDC"/>
    <w:rsid w:val="0059595B"/>
    <w:rsid w:val="005A16C3"/>
    <w:rsid w:val="005A3EFB"/>
    <w:rsid w:val="005A4BF4"/>
    <w:rsid w:val="005B1BD5"/>
    <w:rsid w:val="005C235F"/>
    <w:rsid w:val="005C3297"/>
    <w:rsid w:val="005C3D38"/>
    <w:rsid w:val="005C4C02"/>
    <w:rsid w:val="005C7B94"/>
    <w:rsid w:val="005D0783"/>
    <w:rsid w:val="005D14A4"/>
    <w:rsid w:val="005D5157"/>
    <w:rsid w:val="005D5E84"/>
    <w:rsid w:val="005E5FC8"/>
    <w:rsid w:val="005E7889"/>
    <w:rsid w:val="005F65B0"/>
    <w:rsid w:val="006108D0"/>
    <w:rsid w:val="0061216D"/>
    <w:rsid w:val="00612EFA"/>
    <w:rsid w:val="006144BA"/>
    <w:rsid w:val="00617D4B"/>
    <w:rsid w:val="00617F1A"/>
    <w:rsid w:val="006238B2"/>
    <w:rsid w:val="0063018A"/>
    <w:rsid w:val="0063103E"/>
    <w:rsid w:val="00634293"/>
    <w:rsid w:val="006413D2"/>
    <w:rsid w:val="00642348"/>
    <w:rsid w:val="00642FB4"/>
    <w:rsid w:val="00646FD2"/>
    <w:rsid w:val="006508A5"/>
    <w:rsid w:val="006541B9"/>
    <w:rsid w:val="0065557B"/>
    <w:rsid w:val="006569F3"/>
    <w:rsid w:val="006577F3"/>
    <w:rsid w:val="00661591"/>
    <w:rsid w:val="006716AD"/>
    <w:rsid w:val="006736BE"/>
    <w:rsid w:val="00680308"/>
    <w:rsid w:val="006805CB"/>
    <w:rsid w:val="006821AC"/>
    <w:rsid w:val="00686D70"/>
    <w:rsid w:val="00690B4E"/>
    <w:rsid w:val="006953A0"/>
    <w:rsid w:val="00695889"/>
    <w:rsid w:val="006A1A60"/>
    <w:rsid w:val="006A4000"/>
    <w:rsid w:val="006A6C9A"/>
    <w:rsid w:val="006A6FE1"/>
    <w:rsid w:val="006B28F5"/>
    <w:rsid w:val="006B7D6D"/>
    <w:rsid w:val="006C0352"/>
    <w:rsid w:val="006C2998"/>
    <w:rsid w:val="006C2BCD"/>
    <w:rsid w:val="006C310F"/>
    <w:rsid w:val="006C317B"/>
    <w:rsid w:val="006C7D19"/>
    <w:rsid w:val="006D1144"/>
    <w:rsid w:val="006D4341"/>
    <w:rsid w:val="006D6786"/>
    <w:rsid w:val="006D6BD1"/>
    <w:rsid w:val="006D76DE"/>
    <w:rsid w:val="006E0452"/>
    <w:rsid w:val="006E15D4"/>
    <w:rsid w:val="006E64AE"/>
    <w:rsid w:val="006F7B98"/>
    <w:rsid w:val="00704DC6"/>
    <w:rsid w:val="00710B19"/>
    <w:rsid w:val="00713C6F"/>
    <w:rsid w:val="007141B1"/>
    <w:rsid w:val="00717741"/>
    <w:rsid w:val="00720C37"/>
    <w:rsid w:val="00721DDC"/>
    <w:rsid w:val="00722126"/>
    <w:rsid w:val="00723551"/>
    <w:rsid w:val="007278F1"/>
    <w:rsid w:val="007305A6"/>
    <w:rsid w:val="0073094A"/>
    <w:rsid w:val="00731F38"/>
    <w:rsid w:val="00732954"/>
    <w:rsid w:val="00736F93"/>
    <w:rsid w:val="00737013"/>
    <w:rsid w:val="00737CCC"/>
    <w:rsid w:val="00740DD6"/>
    <w:rsid w:val="0074300E"/>
    <w:rsid w:val="00744509"/>
    <w:rsid w:val="00745551"/>
    <w:rsid w:val="0074587C"/>
    <w:rsid w:val="00745C48"/>
    <w:rsid w:val="00750653"/>
    <w:rsid w:val="007506D8"/>
    <w:rsid w:val="00755883"/>
    <w:rsid w:val="0076142A"/>
    <w:rsid w:val="0076251E"/>
    <w:rsid w:val="00765B6D"/>
    <w:rsid w:val="007665B5"/>
    <w:rsid w:val="00767AFC"/>
    <w:rsid w:val="00774792"/>
    <w:rsid w:val="007774B2"/>
    <w:rsid w:val="007810C5"/>
    <w:rsid w:val="00783A24"/>
    <w:rsid w:val="007860BF"/>
    <w:rsid w:val="00787625"/>
    <w:rsid w:val="00787B9B"/>
    <w:rsid w:val="00790165"/>
    <w:rsid w:val="00790292"/>
    <w:rsid w:val="0079388D"/>
    <w:rsid w:val="00795E0F"/>
    <w:rsid w:val="007A12DA"/>
    <w:rsid w:val="007A45EB"/>
    <w:rsid w:val="007A4B06"/>
    <w:rsid w:val="007A5539"/>
    <w:rsid w:val="007A5C77"/>
    <w:rsid w:val="007A63A3"/>
    <w:rsid w:val="007B174C"/>
    <w:rsid w:val="007B38C0"/>
    <w:rsid w:val="007B4891"/>
    <w:rsid w:val="007C1FE2"/>
    <w:rsid w:val="007C29AF"/>
    <w:rsid w:val="007C2D4E"/>
    <w:rsid w:val="007C3CA2"/>
    <w:rsid w:val="007C52F0"/>
    <w:rsid w:val="007D0836"/>
    <w:rsid w:val="007D0AB3"/>
    <w:rsid w:val="007D3F31"/>
    <w:rsid w:val="007D64B2"/>
    <w:rsid w:val="007D64B8"/>
    <w:rsid w:val="007E344F"/>
    <w:rsid w:val="007E3749"/>
    <w:rsid w:val="007E3DA1"/>
    <w:rsid w:val="007E57E1"/>
    <w:rsid w:val="007E6A98"/>
    <w:rsid w:val="007E767D"/>
    <w:rsid w:val="007F0069"/>
    <w:rsid w:val="007F306F"/>
    <w:rsid w:val="007F467E"/>
    <w:rsid w:val="007F46F5"/>
    <w:rsid w:val="007F7F67"/>
    <w:rsid w:val="00800A66"/>
    <w:rsid w:val="0080230B"/>
    <w:rsid w:val="008046FA"/>
    <w:rsid w:val="0080612C"/>
    <w:rsid w:val="008065A4"/>
    <w:rsid w:val="008152CC"/>
    <w:rsid w:val="00825CAE"/>
    <w:rsid w:val="00830314"/>
    <w:rsid w:val="00834D8B"/>
    <w:rsid w:val="00835998"/>
    <w:rsid w:val="00836BAD"/>
    <w:rsid w:val="00841DC6"/>
    <w:rsid w:val="00842A70"/>
    <w:rsid w:val="00843B57"/>
    <w:rsid w:val="00850265"/>
    <w:rsid w:val="008516C1"/>
    <w:rsid w:val="00852B07"/>
    <w:rsid w:val="008566B7"/>
    <w:rsid w:val="00860654"/>
    <w:rsid w:val="00864DCA"/>
    <w:rsid w:val="00864EE1"/>
    <w:rsid w:val="008654AF"/>
    <w:rsid w:val="00865B27"/>
    <w:rsid w:val="008673CB"/>
    <w:rsid w:val="00870868"/>
    <w:rsid w:val="008712CC"/>
    <w:rsid w:val="00871AEB"/>
    <w:rsid w:val="008727F2"/>
    <w:rsid w:val="00872DE7"/>
    <w:rsid w:val="00875140"/>
    <w:rsid w:val="008815F8"/>
    <w:rsid w:val="00881BF1"/>
    <w:rsid w:val="00881CDE"/>
    <w:rsid w:val="00885B5F"/>
    <w:rsid w:val="00885F71"/>
    <w:rsid w:val="00886C8F"/>
    <w:rsid w:val="00893150"/>
    <w:rsid w:val="00893929"/>
    <w:rsid w:val="00896F9A"/>
    <w:rsid w:val="008973DA"/>
    <w:rsid w:val="008A0792"/>
    <w:rsid w:val="008A0BC2"/>
    <w:rsid w:val="008A48B5"/>
    <w:rsid w:val="008B2857"/>
    <w:rsid w:val="008B3A38"/>
    <w:rsid w:val="008C0B07"/>
    <w:rsid w:val="008C314A"/>
    <w:rsid w:val="008C3177"/>
    <w:rsid w:val="008C5972"/>
    <w:rsid w:val="008C643D"/>
    <w:rsid w:val="008C78D2"/>
    <w:rsid w:val="008D243A"/>
    <w:rsid w:val="008D3296"/>
    <w:rsid w:val="008D6A5A"/>
    <w:rsid w:val="008E2016"/>
    <w:rsid w:val="008F2904"/>
    <w:rsid w:val="008F6491"/>
    <w:rsid w:val="008F7A96"/>
    <w:rsid w:val="00910FAB"/>
    <w:rsid w:val="00914F96"/>
    <w:rsid w:val="009158B6"/>
    <w:rsid w:val="00917C4C"/>
    <w:rsid w:val="00920576"/>
    <w:rsid w:val="00920711"/>
    <w:rsid w:val="0092123C"/>
    <w:rsid w:val="00921986"/>
    <w:rsid w:val="009220EE"/>
    <w:rsid w:val="0092461F"/>
    <w:rsid w:val="00924664"/>
    <w:rsid w:val="00925244"/>
    <w:rsid w:val="00926EA0"/>
    <w:rsid w:val="009356C9"/>
    <w:rsid w:val="00936B1C"/>
    <w:rsid w:val="009428CB"/>
    <w:rsid w:val="00947A56"/>
    <w:rsid w:val="00950FDE"/>
    <w:rsid w:val="009526E9"/>
    <w:rsid w:val="00953670"/>
    <w:rsid w:val="00955FFB"/>
    <w:rsid w:val="009624C9"/>
    <w:rsid w:val="009747FB"/>
    <w:rsid w:val="00975561"/>
    <w:rsid w:val="00976507"/>
    <w:rsid w:val="0097736B"/>
    <w:rsid w:val="00980D21"/>
    <w:rsid w:val="00983F9F"/>
    <w:rsid w:val="009939B0"/>
    <w:rsid w:val="009964EB"/>
    <w:rsid w:val="0099784B"/>
    <w:rsid w:val="009A61C3"/>
    <w:rsid w:val="009B15F9"/>
    <w:rsid w:val="009B2D02"/>
    <w:rsid w:val="009B470E"/>
    <w:rsid w:val="009C08B4"/>
    <w:rsid w:val="009C35E2"/>
    <w:rsid w:val="009C4955"/>
    <w:rsid w:val="009C7AF2"/>
    <w:rsid w:val="009D118D"/>
    <w:rsid w:val="009D16A1"/>
    <w:rsid w:val="009D1701"/>
    <w:rsid w:val="009D6D6F"/>
    <w:rsid w:val="009E109F"/>
    <w:rsid w:val="009E2352"/>
    <w:rsid w:val="009E2EEF"/>
    <w:rsid w:val="009E3451"/>
    <w:rsid w:val="009E65FD"/>
    <w:rsid w:val="009F0843"/>
    <w:rsid w:val="009F68D1"/>
    <w:rsid w:val="00A00F12"/>
    <w:rsid w:val="00A0147F"/>
    <w:rsid w:val="00A0639E"/>
    <w:rsid w:val="00A10575"/>
    <w:rsid w:val="00A10B71"/>
    <w:rsid w:val="00A115FB"/>
    <w:rsid w:val="00A11E0C"/>
    <w:rsid w:val="00A17BBA"/>
    <w:rsid w:val="00A2109A"/>
    <w:rsid w:val="00A21B31"/>
    <w:rsid w:val="00A221DA"/>
    <w:rsid w:val="00A2464B"/>
    <w:rsid w:val="00A254DD"/>
    <w:rsid w:val="00A302D2"/>
    <w:rsid w:val="00A31158"/>
    <w:rsid w:val="00A3154C"/>
    <w:rsid w:val="00A31C6A"/>
    <w:rsid w:val="00A36393"/>
    <w:rsid w:val="00A3678B"/>
    <w:rsid w:val="00A42557"/>
    <w:rsid w:val="00A44897"/>
    <w:rsid w:val="00A45E54"/>
    <w:rsid w:val="00A478DB"/>
    <w:rsid w:val="00A52365"/>
    <w:rsid w:val="00A53357"/>
    <w:rsid w:val="00A53DA2"/>
    <w:rsid w:val="00A5457E"/>
    <w:rsid w:val="00A54947"/>
    <w:rsid w:val="00A577CA"/>
    <w:rsid w:val="00A617CC"/>
    <w:rsid w:val="00A63BB6"/>
    <w:rsid w:val="00A7779F"/>
    <w:rsid w:val="00A80D85"/>
    <w:rsid w:val="00A8169B"/>
    <w:rsid w:val="00A81700"/>
    <w:rsid w:val="00A954B5"/>
    <w:rsid w:val="00A95C10"/>
    <w:rsid w:val="00AA37F0"/>
    <w:rsid w:val="00AA510C"/>
    <w:rsid w:val="00AA6D90"/>
    <w:rsid w:val="00AB06D8"/>
    <w:rsid w:val="00AB4FB8"/>
    <w:rsid w:val="00AD040F"/>
    <w:rsid w:val="00AD197C"/>
    <w:rsid w:val="00AD1C8F"/>
    <w:rsid w:val="00AD6DB9"/>
    <w:rsid w:val="00AD7818"/>
    <w:rsid w:val="00AE16B9"/>
    <w:rsid w:val="00AE2F43"/>
    <w:rsid w:val="00AE378E"/>
    <w:rsid w:val="00AE4D51"/>
    <w:rsid w:val="00AE5757"/>
    <w:rsid w:val="00AE6AF9"/>
    <w:rsid w:val="00AF4816"/>
    <w:rsid w:val="00AF5201"/>
    <w:rsid w:val="00AF7C33"/>
    <w:rsid w:val="00B008E2"/>
    <w:rsid w:val="00B02891"/>
    <w:rsid w:val="00B03141"/>
    <w:rsid w:val="00B0377F"/>
    <w:rsid w:val="00B03F15"/>
    <w:rsid w:val="00B07873"/>
    <w:rsid w:val="00B10CE4"/>
    <w:rsid w:val="00B10DF0"/>
    <w:rsid w:val="00B1163A"/>
    <w:rsid w:val="00B126C9"/>
    <w:rsid w:val="00B13A69"/>
    <w:rsid w:val="00B16815"/>
    <w:rsid w:val="00B16E12"/>
    <w:rsid w:val="00B17A5B"/>
    <w:rsid w:val="00B23487"/>
    <w:rsid w:val="00B239C0"/>
    <w:rsid w:val="00B24A64"/>
    <w:rsid w:val="00B26049"/>
    <w:rsid w:val="00B266F0"/>
    <w:rsid w:val="00B26E0E"/>
    <w:rsid w:val="00B334FB"/>
    <w:rsid w:val="00B35299"/>
    <w:rsid w:val="00B3592E"/>
    <w:rsid w:val="00B3740B"/>
    <w:rsid w:val="00B40E72"/>
    <w:rsid w:val="00B4651C"/>
    <w:rsid w:val="00B46C42"/>
    <w:rsid w:val="00B52BD4"/>
    <w:rsid w:val="00B52FAB"/>
    <w:rsid w:val="00B55678"/>
    <w:rsid w:val="00B658B2"/>
    <w:rsid w:val="00B6752B"/>
    <w:rsid w:val="00B67D2A"/>
    <w:rsid w:val="00B7401B"/>
    <w:rsid w:val="00B807A7"/>
    <w:rsid w:val="00B84629"/>
    <w:rsid w:val="00B91A8B"/>
    <w:rsid w:val="00B95A64"/>
    <w:rsid w:val="00BA2B8F"/>
    <w:rsid w:val="00BA31CF"/>
    <w:rsid w:val="00BA39DA"/>
    <w:rsid w:val="00BA41FB"/>
    <w:rsid w:val="00BB35D3"/>
    <w:rsid w:val="00BB385F"/>
    <w:rsid w:val="00BB5514"/>
    <w:rsid w:val="00BD02EF"/>
    <w:rsid w:val="00BD1ACA"/>
    <w:rsid w:val="00BD2A70"/>
    <w:rsid w:val="00BD2CAE"/>
    <w:rsid w:val="00BD5C94"/>
    <w:rsid w:val="00BD63C1"/>
    <w:rsid w:val="00BD7A96"/>
    <w:rsid w:val="00BE1A7B"/>
    <w:rsid w:val="00BE5684"/>
    <w:rsid w:val="00BF1C5A"/>
    <w:rsid w:val="00BF6168"/>
    <w:rsid w:val="00BF63A0"/>
    <w:rsid w:val="00C00AD0"/>
    <w:rsid w:val="00C026B3"/>
    <w:rsid w:val="00C0325F"/>
    <w:rsid w:val="00C07BE2"/>
    <w:rsid w:val="00C107D3"/>
    <w:rsid w:val="00C112E3"/>
    <w:rsid w:val="00C12252"/>
    <w:rsid w:val="00C13B57"/>
    <w:rsid w:val="00C155F2"/>
    <w:rsid w:val="00C2081D"/>
    <w:rsid w:val="00C23F7A"/>
    <w:rsid w:val="00C241AB"/>
    <w:rsid w:val="00C3079D"/>
    <w:rsid w:val="00C314CD"/>
    <w:rsid w:val="00C36930"/>
    <w:rsid w:val="00C36E96"/>
    <w:rsid w:val="00C4120A"/>
    <w:rsid w:val="00C473FD"/>
    <w:rsid w:val="00C47F38"/>
    <w:rsid w:val="00C51537"/>
    <w:rsid w:val="00C55A78"/>
    <w:rsid w:val="00C5671A"/>
    <w:rsid w:val="00C569E6"/>
    <w:rsid w:val="00C61E83"/>
    <w:rsid w:val="00C638EA"/>
    <w:rsid w:val="00C66427"/>
    <w:rsid w:val="00C70B25"/>
    <w:rsid w:val="00C70E2E"/>
    <w:rsid w:val="00C72022"/>
    <w:rsid w:val="00C734BA"/>
    <w:rsid w:val="00C757C6"/>
    <w:rsid w:val="00C7674C"/>
    <w:rsid w:val="00C81251"/>
    <w:rsid w:val="00C83FCB"/>
    <w:rsid w:val="00C84CC6"/>
    <w:rsid w:val="00C85723"/>
    <w:rsid w:val="00C87666"/>
    <w:rsid w:val="00C90B3D"/>
    <w:rsid w:val="00CA6562"/>
    <w:rsid w:val="00CB2104"/>
    <w:rsid w:val="00CB29C3"/>
    <w:rsid w:val="00CB2C39"/>
    <w:rsid w:val="00CB2D41"/>
    <w:rsid w:val="00CC66AC"/>
    <w:rsid w:val="00CD060D"/>
    <w:rsid w:val="00CD2057"/>
    <w:rsid w:val="00CD3B61"/>
    <w:rsid w:val="00CD49B7"/>
    <w:rsid w:val="00CE4F04"/>
    <w:rsid w:val="00CF23F7"/>
    <w:rsid w:val="00CF5143"/>
    <w:rsid w:val="00CF6FBB"/>
    <w:rsid w:val="00D0533D"/>
    <w:rsid w:val="00D0567E"/>
    <w:rsid w:val="00D062B7"/>
    <w:rsid w:val="00D0685A"/>
    <w:rsid w:val="00D10DE3"/>
    <w:rsid w:val="00D11CD9"/>
    <w:rsid w:val="00D12E51"/>
    <w:rsid w:val="00D1489C"/>
    <w:rsid w:val="00D151DF"/>
    <w:rsid w:val="00D3032B"/>
    <w:rsid w:val="00D30781"/>
    <w:rsid w:val="00D30D5C"/>
    <w:rsid w:val="00D323DB"/>
    <w:rsid w:val="00D40370"/>
    <w:rsid w:val="00D40456"/>
    <w:rsid w:val="00D42AA2"/>
    <w:rsid w:val="00D4327E"/>
    <w:rsid w:val="00D44642"/>
    <w:rsid w:val="00D45BB0"/>
    <w:rsid w:val="00D54E59"/>
    <w:rsid w:val="00D6250A"/>
    <w:rsid w:val="00D63B60"/>
    <w:rsid w:val="00D65F3D"/>
    <w:rsid w:val="00D72982"/>
    <w:rsid w:val="00D82381"/>
    <w:rsid w:val="00D861D2"/>
    <w:rsid w:val="00D91A18"/>
    <w:rsid w:val="00D939F4"/>
    <w:rsid w:val="00D94107"/>
    <w:rsid w:val="00D950F4"/>
    <w:rsid w:val="00D96603"/>
    <w:rsid w:val="00D97FC6"/>
    <w:rsid w:val="00DA1CE9"/>
    <w:rsid w:val="00DA76EB"/>
    <w:rsid w:val="00DA7FAE"/>
    <w:rsid w:val="00DB538D"/>
    <w:rsid w:val="00DB5FCC"/>
    <w:rsid w:val="00DC5B69"/>
    <w:rsid w:val="00DC5BA4"/>
    <w:rsid w:val="00DC6B41"/>
    <w:rsid w:val="00DC75AD"/>
    <w:rsid w:val="00DD05EE"/>
    <w:rsid w:val="00DD26E8"/>
    <w:rsid w:val="00DD5E1F"/>
    <w:rsid w:val="00DD7D54"/>
    <w:rsid w:val="00DE29BF"/>
    <w:rsid w:val="00DE3662"/>
    <w:rsid w:val="00DE3C5D"/>
    <w:rsid w:val="00DE3F58"/>
    <w:rsid w:val="00DE56E6"/>
    <w:rsid w:val="00DF2216"/>
    <w:rsid w:val="00DF42AF"/>
    <w:rsid w:val="00E01110"/>
    <w:rsid w:val="00E021CC"/>
    <w:rsid w:val="00E052D2"/>
    <w:rsid w:val="00E12192"/>
    <w:rsid w:val="00E154E8"/>
    <w:rsid w:val="00E15745"/>
    <w:rsid w:val="00E218AB"/>
    <w:rsid w:val="00E21C26"/>
    <w:rsid w:val="00E21C73"/>
    <w:rsid w:val="00E22954"/>
    <w:rsid w:val="00E25FD5"/>
    <w:rsid w:val="00E2640B"/>
    <w:rsid w:val="00E31176"/>
    <w:rsid w:val="00E33900"/>
    <w:rsid w:val="00E3637F"/>
    <w:rsid w:val="00E40F19"/>
    <w:rsid w:val="00E423A9"/>
    <w:rsid w:val="00E4269F"/>
    <w:rsid w:val="00E42B7D"/>
    <w:rsid w:val="00E44656"/>
    <w:rsid w:val="00E4794C"/>
    <w:rsid w:val="00E528D3"/>
    <w:rsid w:val="00E538E2"/>
    <w:rsid w:val="00E57502"/>
    <w:rsid w:val="00E632CD"/>
    <w:rsid w:val="00E66532"/>
    <w:rsid w:val="00E67D46"/>
    <w:rsid w:val="00E710AA"/>
    <w:rsid w:val="00E72FBC"/>
    <w:rsid w:val="00E77B69"/>
    <w:rsid w:val="00E77D4D"/>
    <w:rsid w:val="00E804E6"/>
    <w:rsid w:val="00E80512"/>
    <w:rsid w:val="00E81D6B"/>
    <w:rsid w:val="00E82EEA"/>
    <w:rsid w:val="00E84390"/>
    <w:rsid w:val="00E850CF"/>
    <w:rsid w:val="00E85776"/>
    <w:rsid w:val="00E863AC"/>
    <w:rsid w:val="00E873AA"/>
    <w:rsid w:val="00E92DFC"/>
    <w:rsid w:val="00E93346"/>
    <w:rsid w:val="00E96231"/>
    <w:rsid w:val="00E97792"/>
    <w:rsid w:val="00EA3178"/>
    <w:rsid w:val="00EB0ADA"/>
    <w:rsid w:val="00EB2666"/>
    <w:rsid w:val="00EB2F80"/>
    <w:rsid w:val="00EB3A63"/>
    <w:rsid w:val="00EB4D88"/>
    <w:rsid w:val="00EB6728"/>
    <w:rsid w:val="00EC3756"/>
    <w:rsid w:val="00EC5E22"/>
    <w:rsid w:val="00EC6D2E"/>
    <w:rsid w:val="00ED1939"/>
    <w:rsid w:val="00ED6C71"/>
    <w:rsid w:val="00ED6EBB"/>
    <w:rsid w:val="00ED7353"/>
    <w:rsid w:val="00ED7983"/>
    <w:rsid w:val="00EE079A"/>
    <w:rsid w:val="00EE3B19"/>
    <w:rsid w:val="00EE5CD5"/>
    <w:rsid w:val="00EE7018"/>
    <w:rsid w:val="00EF1037"/>
    <w:rsid w:val="00EF39D3"/>
    <w:rsid w:val="00F00CC6"/>
    <w:rsid w:val="00F02A94"/>
    <w:rsid w:val="00F0380F"/>
    <w:rsid w:val="00F1055D"/>
    <w:rsid w:val="00F1511C"/>
    <w:rsid w:val="00F16C00"/>
    <w:rsid w:val="00F16CDB"/>
    <w:rsid w:val="00F22037"/>
    <w:rsid w:val="00F22723"/>
    <w:rsid w:val="00F2386D"/>
    <w:rsid w:val="00F250DC"/>
    <w:rsid w:val="00F26019"/>
    <w:rsid w:val="00F3088C"/>
    <w:rsid w:val="00F30A9B"/>
    <w:rsid w:val="00F3324F"/>
    <w:rsid w:val="00F35261"/>
    <w:rsid w:val="00F419E4"/>
    <w:rsid w:val="00F41D1B"/>
    <w:rsid w:val="00F44BC4"/>
    <w:rsid w:val="00F463E6"/>
    <w:rsid w:val="00F477A4"/>
    <w:rsid w:val="00F51B82"/>
    <w:rsid w:val="00F56CE7"/>
    <w:rsid w:val="00F60524"/>
    <w:rsid w:val="00F60966"/>
    <w:rsid w:val="00F626D1"/>
    <w:rsid w:val="00F6453E"/>
    <w:rsid w:val="00F65A21"/>
    <w:rsid w:val="00F71A7E"/>
    <w:rsid w:val="00F728CD"/>
    <w:rsid w:val="00F72A4B"/>
    <w:rsid w:val="00F85D0F"/>
    <w:rsid w:val="00F864FE"/>
    <w:rsid w:val="00F878AF"/>
    <w:rsid w:val="00F90E9E"/>
    <w:rsid w:val="00F950BF"/>
    <w:rsid w:val="00F96369"/>
    <w:rsid w:val="00F979D5"/>
    <w:rsid w:val="00FA0AC6"/>
    <w:rsid w:val="00FA35A4"/>
    <w:rsid w:val="00FA5ADF"/>
    <w:rsid w:val="00FB3248"/>
    <w:rsid w:val="00FE028E"/>
    <w:rsid w:val="00FE7164"/>
    <w:rsid w:val="00FF0DAD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19BB4"/>
  <w15:chartTrackingRefBased/>
  <w15:docId w15:val="{C2E6BF30-3606-4CFC-AE14-5D168235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2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2EF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730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730B4"/>
    <w:rPr>
      <w:rFonts w:ascii="Calibri" w:eastAsia="宋体" w:hAnsi="Calibri" w:cs="Times New Roman"/>
    </w:rPr>
  </w:style>
  <w:style w:type="paragraph" w:styleId="a6">
    <w:name w:val="List Paragraph"/>
    <w:basedOn w:val="a"/>
    <w:uiPriority w:val="99"/>
    <w:qFormat/>
    <w:rsid w:val="008A0BC2"/>
    <w:pPr>
      <w:ind w:firstLineChars="200" w:firstLine="420"/>
    </w:pPr>
  </w:style>
  <w:style w:type="character" w:styleId="a7">
    <w:name w:val="Hyperlink"/>
    <w:uiPriority w:val="99"/>
    <w:unhideWhenUsed/>
    <w:rsid w:val="007810C5"/>
    <w:rPr>
      <w:color w:val="0563C1"/>
      <w:u w:val="single"/>
    </w:rPr>
  </w:style>
  <w:style w:type="character" w:styleId="a8">
    <w:name w:val="annotation reference"/>
    <w:uiPriority w:val="99"/>
    <w:semiHidden/>
    <w:unhideWhenUsed/>
    <w:rsid w:val="00F90E9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90E9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90E9E"/>
    <w:rPr>
      <w:rFonts w:ascii="Calibri" w:eastAsia="宋体" w:hAnsi="Calibri" w:cs="Times New Roman"/>
    </w:rPr>
  </w:style>
  <w:style w:type="paragraph" w:styleId="aa">
    <w:name w:val="Balloon Text"/>
    <w:basedOn w:val="a"/>
    <w:link w:val="Char3"/>
    <w:uiPriority w:val="99"/>
    <w:semiHidden/>
    <w:unhideWhenUsed/>
    <w:rsid w:val="00F90E9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90E9E"/>
    <w:rPr>
      <w:rFonts w:ascii="Calibri" w:eastAsia="宋体" w:hAnsi="Calibri" w:cs="Times New Roman"/>
      <w:sz w:val="18"/>
      <w:szCs w:val="18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121BFE"/>
    <w:rPr>
      <w:b/>
      <w:bCs/>
    </w:rPr>
  </w:style>
  <w:style w:type="character" w:customStyle="1" w:styleId="Char4">
    <w:name w:val="批注主题 Char"/>
    <w:basedOn w:val="Char2"/>
    <w:link w:val="ab"/>
    <w:uiPriority w:val="99"/>
    <w:semiHidden/>
    <w:rsid w:val="00121BFE"/>
    <w:rPr>
      <w:rFonts w:ascii="Calibri" w:eastAsia="宋体" w:hAnsi="Calibri" w:cs="Times New Roman"/>
      <w:b/>
      <w:bCs/>
    </w:rPr>
  </w:style>
  <w:style w:type="paragraph" w:styleId="ac">
    <w:name w:val="Revision"/>
    <w:hidden/>
    <w:uiPriority w:val="99"/>
    <w:semiHidden/>
    <w:rsid w:val="00121BFE"/>
    <w:rPr>
      <w:rFonts w:ascii="Calibri" w:eastAsia="宋体" w:hAnsi="Calibri" w:cs="Times New Roman"/>
    </w:rPr>
  </w:style>
  <w:style w:type="table" w:styleId="ad">
    <w:name w:val="Table Grid"/>
    <w:basedOn w:val="a1"/>
    <w:uiPriority w:val="39"/>
    <w:rsid w:val="0049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BECA-9049-4DA0-A3B2-1DEBD225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2022-07-20T07:41:00Z</cp:lastPrinted>
  <dcterms:created xsi:type="dcterms:W3CDTF">2022-08-04T06:50:00Z</dcterms:created>
  <dcterms:modified xsi:type="dcterms:W3CDTF">2022-08-04T07:22:00Z</dcterms:modified>
</cp:coreProperties>
</file>