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bookmarkStart w:id="10" w:name="_GoBack"/>
      <w:bookmarkEnd w:id="10"/>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5659511" cy="895350"/>
                        </a:xfrm>
                        <a:prstGeom prst="rect">
                          <a:avLst/>
                        </a:prstGeom>
                        <a:solidFill>
                          <a:srgbClr val="FFFFFF"/>
                        </a:solidFill>
                        <a:ln w="9525">
                          <a:solidFill>
                            <a:srgbClr val="FFFFFF"/>
                          </a:solidFill>
                          <a:miter lim="800000"/>
                        </a:ln>
                      </wps:spPr>
                      <wps:txb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基础层</w:t>
                            </w: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（一般公司）</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pt;margin-top:-7.5pt;height:70.5pt;width:445.65pt;z-index:251658240;mso-width-relative:page;mso-height-relative:page;" fillcolor="#FFFFFF" filled="t" stroked="t" coordsize="21600,21600" o:gfxdata="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wevIatgAAAALAQAADwAAAAAAAAABACAA&#10;AAA4AAAAZHJzL2Rvd25yZXYueG1sUEsBAhQAFAAAAAgAh07iQKyckL8wAgAASgQAAA4AAAAAAAAA&#10;AQAgAAAAPQEAAGRycy9lMm9Eb2MueG1sUEsFBgAAAAAGAAYAWQEAAN8FAAAAAA==&#10;">
                <v:fill on="t" focussize="0,0"/>
                <v:stroke color="#FFFFFF" miterlimit="8" joinstyle="miter"/>
                <v:imagedata o:title=""/>
                <o:lock v:ext="edit" aspectratio="f"/>
                <v:textbo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基础层</w:t>
                      </w: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（一般公司）</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78.35pt;margin-top:18.55pt;height:107.15pt;width:218.8pt;mso-position-horizontal-relative:margin;z-index:251659264;mso-width-relative:page;mso-height-relative:page;" fillcolor="#FFFFFF" filled="t" stroked="t" coordsize="21600,21600" o:gfxdata="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5anBjZAAAACgEAAA8AAAAAAAAAAQAgAAAAOAAAAGRycy9kb3ducmV2LnhtbFBLAQIU&#10;ABQAAAAIAIdO4kDBkVEHTgIAAIEEAAAOAAAAAAAAAAEAIAAAAD4BAABkcnMvZTJvRG9jLnhtbFBL&#10;BQYAAAAABgAGAFkBAAD+BQ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5pt;margin-top:0.85pt;height:134pt;width:107.55pt;mso-position-horizontal-relative:margin;z-index:251660288;mso-width-relative:page;mso-height-relative:page;" fillcolor="#FFFFFF" filled="t" stroked="t" coordsize="21600,21600" o:gfxdata="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enQB9cAAAAIAQAADwAAAAAAAAABACAAAAA4AAAAZHJzL2Rvd25yZXYueG1sUEsBAhQA&#10;FAAAAAgAh07iQLQNx3lPAgAAgQQAAA4AAAAAAAAAAQAgAAAAPA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pStyle w:val="83"/>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pt;margin-top:-0.05pt;height:60pt;width:429.75pt;mso-position-horizontal-relative:margin;z-index:251674624;mso-width-relative:page;mso-height-relative:page;" fillcolor="#FFFFFF" filled="t" stroked="t" coordsize="21600,21600" o:gfxdata="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Ok&#10;RUTUAAAABgEAAA8AAAAAAAAAAQAgAAAAOAAAAGRycy9kb3ducmV2LnhtbFBLAQIUABQAAAAIAIdO&#10;4kCfl5ZISgIAAHwEAAAOAAAAAAAAAAEAIAAAADkBAABkcnMvZTJvRG9jLnhtbFBLBQYAAAAABgAG&#10;AFkBAAD1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76.55pt;margin-top:150.15pt;height:60pt;width:429.75pt;mso-position-horizontal-relative:margin;z-index:251661312;mso-width-relative:page;mso-height-relative:page;" fillcolor="#FFFFFF" filled="t" stroked="t" coordsize="21600,21600" o:gfxdata="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aA1frNwAAAAPAQAADwAAAAAAAAABACAAAAA4AAAAZHJzL2Rvd25yZXYueG1sUEsB&#10;AhQAFAAAAAgAh07iQGSH7rpNAgAAgAQAAA4AAAAAAAAAAQAgAAAAQQEAAGRycy9lMm9Eb2MueG1s&#10;UEsFBgAAAAAGAAYAWQEAAAAGA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7pt;margin-top:32.55pt;height:214.15pt;width:551.7pt;z-index:251662336;mso-width-relative:page;mso-height-relative:page;" fillcolor="#FFFFFF" filled="t" stroked="t" coordsize="21600,21600" o:gfxdata="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EQaQtoAAAALAQAADwAAAAAAAAABACAAAAA4AAAAZHJzL2Rvd25yZXYueG1sUEsBAhQA&#10;FAAAAAgAh07iQJd90mFMAgAAgQQAAA4AAAAAAAAAAQAgAAAAPw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45.6pt;margin-top:16.6pt;height:57.05pt;width:186.6pt;z-index:251663360;mso-width-relative:page;mso-height-relative:page;" fillcolor="#FFFFFF" filled="t" stroked="t" coordsize="21600,21600" o:gfxdata="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yF3XDYAAAACgEAAA8AAAAAAAAAAQAgAAAAOAAAAGRycy9kb3ducmV2LnhtbFBLAQIUABQA&#10;AAAIAIdO4kDklhB/TAIAAIAEAAAOAAAAAAAAAAEAIAAAAD0BAABkcnMvZTJvRG9jLnhtbFBLBQYA&#10;AAAABgAGAFkBAAD7BQ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margin">
                  <wp:posOffset>3515360</wp:posOffset>
                </wp:positionH>
                <wp:positionV relativeFrom="paragraph">
                  <wp:posOffset>336550</wp:posOffset>
                </wp:positionV>
                <wp:extent cx="1414780" cy="617220"/>
                <wp:effectExtent l="0" t="0" r="13970"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414871"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6.8pt;margin-top:26.5pt;height:48.6pt;width:111.4pt;mso-position-horizontal-relative:margin;z-index:251678720;mso-width-relative:page;mso-height-relative:page;" fillcolor="#FFFFFF" filled="t" stroked="t" coordsize="21600,21600" o:gfxdata="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CrtMY2QAAAAoBAAAPAAAAAAAAAAEA&#10;IAAAADgAAABkcnMvZG93bnJldi54bWxQSwECFAAUAAAACACHTuJAHybnZzECAABKBAAADgAAAAAA&#10;AAABACAAAAA+AQAAZHJzL2Uyb0RvYy54bWxQSwUGAAAAAAYABgBZAQAA4QU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v:textbox>
              </v:shape>
            </w:pict>
          </mc:Fallback>
        </mc:AlternateConten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公 司 半</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年 度 大 事 记</w:t>
      </w:r>
    </w:p>
    <w:p>
      <w:pPr>
        <w:rPr>
          <w:sz w:val="28"/>
          <w:szCs w:val="28"/>
        </w:rPr>
      </w:pPr>
      <w:r>
        <w:rPr>
          <w:sz w:val="28"/>
          <w:szCs w:val="28"/>
        </w:rPr>
        <w:t xml:space="preserve">       </w:t>
      </w:r>
    </w:p>
    <w:p>
      <w:pPr>
        <w:rPr>
          <w:sz w:val="28"/>
          <w:szCs w:val="28"/>
        </w:rPr>
      </w:pPr>
      <w: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8.2pt;height:72.8pt;width:209.5pt;mso-position-horizontal-relative:margin;z-index:251671552;mso-width-relative:page;mso-height-relative:page;" fillcolor="#FFFFFF" filled="t" stroked="t" coordsize="21600,21600" o:gfxdata="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WbJW1wAAAAoBAAAPAAAAAAAAAAEAIAAAADgAAABkcnMvZG93bnJldi54bWxQSwECFAAUAAAACACH&#10;TuJAVdhf40gCAAB8BAAADgAAAAAAAAABACAAAAA8AQAAZHJzL2Uyb0RvYy54bWxQSwUGAAAAAAYA&#10;BgBZAQAA9gU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pt;margin-top:7.45pt;height:72.8pt;width:209.5pt;mso-position-horizontal-relative:margin;z-index:251668480;mso-width-relative:page;mso-height-relative:page;" fillcolor="#FFFFFF" filled="t" stroked="t" coordsize="21600,21600" o:gfxdata="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OS1o7YAAAACgEAAA8AAAAAAAAAAQAgAAAAOAAAAGRycy9kb3ducmV2LnhtbFBLAQIUABQAAAAI&#10;AIdO4kB6k6cVSQIAAIAEAAAOAAAAAAAAAAEAIAAAAD0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p>
    <w:p>
      <w:pPr>
        <w:rPr>
          <w:sz w:val="28"/>
          <w:szCs w:val="28"/>
        </w:rPr>
      </w:pPr>
    </w:p>
    <w:p>
      <w:pPr>
        <w:rPr>
          <w:sz w:val="28"/>
          <w:szCs w:val="28"/>
        </w:rPr>
      </w:pPr>
    </w:p>
    <w:p>
      <w:pPr>
        <w:rPr>
          <w:sz w:val="28"/>
          <w:szCs w:val="28"/>
        </w:rPr>
      </w:pPr>
      <w: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7.9pt;height:68.5pt;width:209.5pt;z-index:251672576;mso-width-relative:page;mso-height-relative:page;" fillcolor="#FFFFFF" filled="t" stroked="t" coordsize="21600,21600" o:gfxdata="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qz0Q29YA&#10;AAAKAQAADwAAAAAAAAABACAAAAA4AAAAZHJzL2Rvd25yZXYueG1sUEsBAhQAFAAAAAgAh07iQKxZ&#10;mfxEAgAAfAQAAA4AAAAAAAAAAQAgAAAAOwEAAGRycy9lMm9Eb2MueG1sUEsFBgAAAAAGAAYAWQEA&#10;APEFA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25pt;margin-top:8pt;height:68.5pt;width:209.5pt;z-index:251669504;mso-width-relative:page;mso-height-relative:page;" fillcolor="#FFFFFF" filled="t" stroked="t" coordsize="21600,21600" o:gfxdata="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W&#10;xOXc1wAAAAoBAAAPAAAAAAAAAAEAIAAAADgAAABkcnMvZG93bnJldi54bWxQSwECFAAUAAAACACH&#10;TuJATho+p0gCAACABAAADgAAAAAAAAABACAAAAA8AQAAZHJzL2Uyb0RvYy54bWxQSwUGAAAAAAYA&#10;BgBZAQAA9gU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p>
    <w:p>
      <w:pPr>
        <w:rPr>
          <w:sz w:val="28"/>
          <w:szCs w:val="28"/>
        </w:rPr>
      </w:pPr>
    </w:p>
    <w:p>
      <w:pPr>
        <w:rPr>
          <w:rFonts w:ascii="微软雅黑" w:hAnsi="微软雅黑" w:eastAsia="微软雅黑"/>
          <w:color w:val="70AD47"/>
          <w:szCs w:val="21"/>
        </w:rPr>
      </w:pPr>
      <w:r>
        <w:rPr>
          <w:rFonts w:hint="eastAsia"/>
          <w:sz w:val="28"/>
          <w:szCs w:val="28"/>
        </w:rPr>
        <w:t xml:space="preserve">    </w:t>
      </w:r>
      <w:r>
        <w:rPr>
          <w:sz w:val="28"/>
          <w:szCs w:val="28"/>
        </w:rPr>
        <w:t xml:space="preserve">         </w:t>
      </w:r>
      <w:r>
        <w:rPr>
          <w:color w:val="70AD47"/>
          <w:szCs w:val="21"/>
        </w:rPr>
        <w:t xml:space="preserve"> </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180" w:firstLineChars="5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（或</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 xml:space="preserve">致 投 资 者 </w:t>
      </w:r>
      <w:r>
        <w:rPr>
          <w:rFonts w:ascii="黑体" w:hAnsi="黑体" w:eastAsia="黑体"/>
          <w:color w:val="000000" w:themeColor="text1"/>
          <w:sz w:val="36"/>
          <w:szCs w:val="36"/>
          <w14:textFill>
            <w14:solidFill>
              <w14:schemeClr w14:val="tx1"/>
            </w14:solidFill>
          </w14:textFill>
        </w:rPr>
        <w:t>的</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信</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true"/>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pPr>
                              <w:jc w:val="center"/>
                              <w:rPr>
                                <w:rFonts w:ascii="微软雅黑" w:hAnsi="微软雅黑" w:eastAsia="微软雅黑"/>
                                <w:color w:val="000000" w:themeColor="text1"/>
                                <w:sz w:val="44"/>
                                <w:szCs w:val="44"/>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75pt;margin-top:28.2pt;height:49.5pt;width:470.25pt;z-index:251676672;mso-width-relative:page;mso-height-relative:page;" fillcolor="#FFFFFF" filled="t" stroked="t" coordsize="21600,21600" o:gfxdata="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TtqmDtcAAAAKAQAADwAAAAAAAAABACAAAAA4AAAAZHJzL2Rvd25yZXYueG1sUEsBAhQAFAAA&#10;AAgAh07iQK6GqPCFAgAA7AQAAA4AAAAAAAAAAQAgAAAAPAEAAGRycy9lMm9Eb2MueG1sUEsFBgAA&#10;AAAGAAYAWQEAADMGAAAAAA==&#10;">
                <v:fill on="t" focussize="0,0"/>
                <v:stroke weight="1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pPr>
        <w:tabs>
          <w:tab w:val="left" w:pos="5140"/>
        </w:tabs>
        <w:jc w:val="center"/>
        <w:rPr>
          <w:rFonts w:ascii="微软雅黑" w:hAnsi="微软雅黑" w:eastAsia="微软雅黑"/>
          <w:color w:val="000000" w:themeColor="text1"/>
          <w:sz w:val="24"/>
          <w:szCs w:val="44"/>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2324100" cy="266700"/>
                        </a:xfrm>
                        <a:prstGeom prst="rect">
                          <a:avLst/>
                        </a:prstGeom>
                        <a:solidFill>
                          <a:srgbClr val="FFFFFF"/>
                        </a:solidFill>
                        <a:ln w="9525">
                          <a:solidFill>
                            <a:srgbClr val="FFFFFF"/>
                          </a:solidFill>
                          <a:miter lim="800000"/>
                        </a:ln>
                      </wps:spPr>
                      <wps:txb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95pt;margin-top:34.4pt;height:21pt;width:183pt;mso-position-horizontal-relative:margin;z-index:251670528;mso-width-relative:page;mso-height-relative:page;" fillcolor="#FFFFFF" filled="t" stroked="t" coordsize="21600,21600" o:gfxdata="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mgWSTXAAAACQEAAA8AAAAAAAAAAQAgAAAAOAAAAGRy&#10;cy9kb3ducmV2LnhtbFBLAQIUABQAAAAIAIdO4kDw3xk6KQIAAEYEAAAOAAAAAAAAAAEAIAAAADwB&#10;AABkcnMvZTJvRG9jLnhtbFBLBQYAAAAABgAGAFkBAADXBQ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p>
    <w:p>
      <w:pPr>
        <w:tabs>
          <w:tab w:val="left" w:pos="5140"/>
        </w:tabs>
        <w:rPr>
          <w:rFonts w:ascii="微软雅黑" w:hAnsi="微软雅黑" w:eastAsia="微软雅黑"/>
          <w:color w:val="000000" w:themeColor="text1"/>
          <w:sz w:val="24"/>
          <w:szCs w:val="44"/>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p>
      <w:pPr>
        <w:pStyle w:val="61"/>
        <w:spacing w:line="600" w:lineRule="atLeast"/>
        <w:ind w:left="181" w:leftChars="86" w:firstLine="722" w:firstLineChars="300"/>
        <w:rPr>
          <w:rFonts w:ascii="微软雅黑" w:hAnsi="微软雅黑" w:eastAsia="微软雅黑"/>
          <w:b/>
          <w:szCs w:val="22"/>
        </w:rPr>
      </w:pP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 xml:space="preserve">第一节 </w:t>
      </w:r>
      <w:r>
        <w:rPr>
          <w:rFonts w:ascii="微软雅黑" w:hAnsi="微软雅黑" w:eastAsia="微软雅黑"/>
          <w:szCs w:val="22"/>
        </w:rPr>
        <w:t xml:space="preserve"> </w:t>
      </w:r>
      <w:r>
        <w:rPr>
          <w:rFonts w:hint="eastAsia" w:ascii="微软雅黑" w:hAnsi="微软雅黑" w:eastAsia="微软雅黑"/>
          <w:szCs w:val="22"/>
        </w:rPr>
        <w:t>重要提示、目录和释义</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 xml:space="preserve">第二节 </w:t>
      </w:r>
      <w:r>
        <w:rPr>
          <w:rFonts w:ascii="微软雅黑" w:hAnsi="微软雅黑" w:eastAsia="微软雅黑"/>
          <w:szCs w:val="22"/>
        </w:rPr>
        <w:t xml:space="preserve"> </w:t>
      </w:r>
      <w:r>
        <w:rPr>
          <w:rFonts w:hint="eastAsia" w:ascii="微软雅黑" w:hAnsi="微软雅黑" w:eastAsia="微软雅黑"/>
          <w:szCs w:val="22"/>
        </w:rPr>
        <w:t>公司</w:t>
      </w:r>
      <w:r>
        <w:rPr>
          <w:rFonts w:ascii="微软雅黑" w:hAnsi="微软雅黑" w:eastAsia="微软雅黑"/>
          <w:szCs w:val="22"/>
        </w:rPr>
        <w:t>概况</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第三节  会计数据和经营情况</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第四节  重大事件</w:t>
      </w:r>
    </w:p>
    <w:p>
      <w:pPr>
        <w:pStyle w:val="61"/>
        <w:tabs>
          <w:tab w:val="left" w:pos="5460"/>
        </w:tabs>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第五节  股份变动和融资</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第六节  董事、监事、高级管理人员及核心员工变动情况</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第七节  财务会计报告</w:t>
      </w:r>
    </w:p>
    <w:p>
      <w:pPr>
        <w:pStyle w:val="61"/>
        <w:spacing w:line="600" w:lineRule="atLeast"/>
        <w:ind w:left="181" w:leftChars="86" w:firstLine="240" w:firstLineChars="100"/>
        <w:rPr>
          <w:rFonts w:ascii="微软雅黑" w:hAnsi="微软雅黑" w:eastAsia="微软雅黑"/>
          <w:szCs w:val="22"/>
        </w:rPr>
      </w:pPr>
      <w:r>
        <w:rPr>
          <w:rFonts w:hint="eastAsia" w:ascii="微软雅黑" w:hAnsi="微软雅黑" w:eastAsia="微软雅黑"/>
          <w:szCs w:val="22"/>
        </w:rPr>
        <w:t>第八节  备查文件目录</w:t>
      </w:r>
    </w:p>
    <w:p>
      <w:pPr>
        <w:pStyle w:val="61"/>
        <w:spacing w:line="600" w:lineRule="atLeast"/>
        <w:ind w:left="181" w:leftChars="86" w:firstLine="240" w:firstLineChars="100"/>
        <w:rPr>
          <w:rFonts w:ascii="微软雅黑" w:hAnsi="微软雅黑" w:eastAsia="微软雅黑"/>
          <w:szCs w:val="22"/>
        </w:rPr>
      </w:pPr>
      <w:r>
        <w:rPr>
          <w:rFonts w:ascii="微软雅黑" w:hAnsi="微软雅黑" w:eastAsia="微软雅黑"/>
          <w:szCs w:val="22"/>
        </w:rPr>
        <w:br w:type="page"/>
      </w:r>
    </w:p>
    <w:p>
      <w:pPr>
        <w:pStyle w:val="43"/>
        <w:rPr>
          <w:rFonts w:ascii="黑体" w:hAnsi="黑体" w:eastAsia="黑体"/>
          <w:sz w:val="36"/>
          <w:szCs w:val="36"/>
        </w:rPr>
      </w:pPr>
      <w:r>
        <w:rPr>
          <w:rFonts w:hint="eastAsia" w:ascii="黑体" w:hAnsi="黑体" w:eastAsia="黑体"/>
          <w:sz w:val="36"/>
          <w:szCs w:val="36"/>
        </w:rPr>
        <w:t>第一节 重要提示、目录和释义</w:t>
      </w:r>
    </w:p>
    <w:p>
      <w:pPr>
        <w:pStyle w:val="61"/>
        <w:ind w:firstLine="401" w:firstLineChars="200"/>
        <w:rPr>
          <w:rFonts w:asciiTheme="minorEastAsia" w:hAnsiTheme="minorEastAsia" w:eastAsiaTheme="minorEastAsia"/>
          <w:sz w:val="21"/>
          <w:szCs w:val="21"/>
        </w:rPr>
      </w:pPr>
      <w:r>
        <w:rPr>
          <w:rFonts w:hint="eastAsia" w:asciiTheme="minorEastAsia" w:hAnsiTheme="minorEastAsia" w:eastAsiaTheme="minorEastAsia"/>
          <w:b/>
          <w:spacing w:val="-5"/>
          <w:sz w:val="21"/>
          <w:szCs w:val="21"/>
        </w:rPr>
        <w:t>【声明】</w:t>
      </w:r>
    </w:p>
    <w:p>
      <w:pPr>
        <w:autoSpaceDE w:val="0"/>
        <w:autoSpaceDN w:val="0"/>
        <w:adjustRightInd w:val="0"/>
        <w:spacing w:line="484" w:lineRule="atLeast"/>
        <w:ind w:firstLine="421" w:firstLineChars="20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保证</w:t>
      </w:r>
      <w:r>
        <w:rPr>
          <w:rFonts w:ascii="宋体" w:hAnsi="宋体" w:cs="方正书宋_GBK"/>
          <w:b/>
          <w:color w:val="000000"/>
          <w:kern w:val="0"/>
          <w:szCs w:val="21"/>
          <w:lang w:val="zh-CN"/>
        </w:rPr>
        <w:t>：</w:t>
      </w:r>
      <w:r>
        <w:rPr>
          <w:rFonts w:hint="eastAsia" w:ascii="宋体" w:hAnsi="宋体" w:cs="方正书宋_GBK"/>
          <w:color w:val="000000"/>
          <w:kern w:val="0"/>
          <w:szCs w:val="21"/>
          <w:lang w:val="zh-CN"/>
        </w:rPr>
        <w:t>公司控股</w:t>
      </w:r>
      <w:r>
        <w:rPr>
          <w:rFonts w:ascii="宋体" w:hAnsi="宋体" w:cs="方正书宋_GBK"/>
          <w:color w:val="000000"/>
          <w:kern w:val="0"/>
          <w:szCs w:val="21"/>
          <w:lang w:val="zh-CN"/>
        </w:rPr>
        <w:t>股东、实际控制人、</w:t>
      </w:r>
      <w:r>
        <w:rPr>
          <w:rFonts w:hint="eastAsia" w:ascii="宋体" w:hAnsi="宋体" w:cs="方正书宋_GBK"/>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ind w:firstLine="420" w:firstLineChars="200"/>
        <w:textAlignment w:val="center"/>
        <w:rPr>
          <w:rFonts w:ascii="宋体" w:hAnsi="宋体" w:cs="方正书宋_GBK"/>
          <w:color w:val="000000"/>
          <w:kern w:val="0"/>
          <w:szCs w:val="21"/>
          <w:u w:val="single"/>
          <w:lang w:val="zh-CN"/>
        </w:rPr>
      </w:pPr>
      <w:r>
        <w:rPr>
          <w:rFonts w:hint="eastAsia" w:ascii="宋体" w:hAnsi="宋体" w:cs="方正书宋_GBK"/>
          <w:color w:val="000000"/>
          <w:kern w:val="0"/>
          <w:szCs w:val="21"/>
          <w:lang w:val="zh-CN"/>
        </w:rPr>
        <w:t>公司负责人</w:t>
      </w:r>
      <w:r>
        <w:rPr>
          <w:rFonts w:hint="eastAsia" w:ascii="宋体" w:hAnsi="宋体" w:cs="方正书宋_GBK"/>
          <w:color w:val="FF0000"/>
          <w:kern w:val="0"/>
          <w:szCs w:val="21"/>
          <w:u w:val="single"/>
          <w:lang w:val="zh-CN"/>
        </w:rPr>
        <w:t>（姓名）</w:t>
      </w:r>
      <w:r>
        <w:rPr>
          <w:rFonts w:hint="eastAsia" w:ascii="宋体" w:hAnsi="宋体" w:cs="方正书宋_GBK"/>
          <w:color w:val="000000"/>
          <w:kern w:val="0"/>
          <w:szCs w:val="21"/>
          <w:lang w:val="zh-CN"/>
        </w:rPr>
        <w:t>、主管会计工作负责人</w:t>
      </w:r>
      <w:r>
        <w:rPr>
          <w:rFonts w:hint="eastAsia" w:ascii="宋体" w:hAnsi="宋体" w:cs="方正书宋_GBK"/>
          <w:color w:val="FF0000"/>
          <w:kern w:val="0"/>
          <w:szCs w:val="21"/>
          <w:u w:val="single"/>
          <w:lang w:val="zh-CN"/>
        </w:rPr>
        <w:t>（姓名）</w:t>
      </w:r>
      <w:r>
        <w:rPr>
          <w:rFonts w:hint="eastAsia" w:ascii="宋体" w:hAnsi="宋体" w:cs="方正书宋_GBK"/>
          <w:color w:val="000000"/>
          <w:kern w:val="0"/>
          <w:szCs w:val="21"/>
          <w:lang w:val="zh-CN"/>
        </w:rPr>
        <w:t>及会计机构负责人（会计主管人员）</w:t>
      </w:r>
      <w:r>
        <w:rPr>
          <w:rFonts w:hint="eastAsia" w:ascii="宋体" w:hAnsi="宋体" w:cs="方正书宋_GBK"/>
          <w:color w:val="FF0000"/>
          <w:kern w:val="0"/>
          <w:szCs w:val="21"/>
          <w:u w:val="single"/>
          <w:lang w:val="zh-CN"/>
        </w:rPr>
        <w:t>（姓名）</w:t>
      </w:r>
      <w:r>
        <w:rPr>
          <w:rFonts w:hint="eastAsia" w:ascii="宋体" w:hAnsi="宋体" w:cs="方正书宋_GBK"/>
          <w:color w:val="000000"/>
          <w:kern w:val="0"/>
          <w:szCs w:val="21"/>
          <w:lang w:val="zh-CN"/>
        </w:rPr>
        <w:t>保证半年度报告中财务报告的真实、准确</w:t>
      </w:r>
      <w:r>
        <w:rPr>
          <w:rFonts w:ascii="宋体" w:hAnsi="宋体" w:cs="方正书宋_GBK"/>
          <w:color w:val="000000"/>
          <w:kern w:val="0"/>
          <w:szCs w:val="21"/>
          <w:lang w:val="zh-CN"/>
        </w:rPr>
        <w:t>、</w:t>
      </w:r>
      <w:r>
        <w:rPr>
          <w:rFonts w:hint="eastAsia" w:ascii="宋体" w:hAnsi="宋体" w:cs="方正书宋_GBK"/>
          <w:color w:val="000000"/>
          <w:kern w:val="0"/>
          <w:szCs w:val="21"/>
          <w:lang w:val="zh-CN"/>
        </w:rPr>
        <w:t>完整。</w:t>
      </w:r>
    </w:p>
    <w:p>
      <w:pPr>
        <w:autoSpaceDE w:val="0"/>
        <w:autoSpaceDN w:val="0"/>
        <w:adjustRightInd w:val="0"/>
        <w:spacing w:line="484" w:lineRule="atLeast"/>
        <w:ind w:firstLine="421" w:firstLineChars="20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无法保证</w:t>
      </w:r>
      <w:r>
        <w:rPr>
          <w:rFonts w:ascii="宋体" w:hAnsi="宋体" w:cs="方正书宋_GBK"/>
          <w:b/>
          <w:color w:val="000000"/>
          <w:kern w:val="0"/>
          <w:szCs w:val="21"/>
          <w:lang w:val="zh-CN"/>
        </w:rPr>
        <w:t>：</w:t>
      </w:r>
      <w:r>
        <w:rPr>
          <w:rFonts w:hint="eastAsia" w:ascii="宋体" w:hAnsi="宋体" w:cs="方正书宋_GBK"/>
          <w:color w:val="FF0000"/>
          <w:kern w:val="0"/>
          <w:szCs w:val="21"/>
          <w:u w:val="single"/>
          <w:lang w:val="zh-CN"/>
        </w:rPr>
        <w:t>（无法保证的人员</w:t>
      </w:r>
      <w:r>
        <w:rPr>
          <w:rFonts w:ascii="宋体" w:hAnsi="宋体" w:cs="方正书宋_GBK"/>
          <w:color w:val="FF0000"/>
          <w:kern w:val="0"/>
          <w:szCs w:val="21"/>
          <w:u w:val="single"/>
          <w:lang w:val="zh-CN"/>
        </w:rPr>
        <w:t>职位</w:t>
      </w:r>
      <w:r>
        <w:rPr>
          <w:rFonts w:hint="eastAsia" w:ascii="宋体" w:hAnsi="宋体" w:cs="方正书宋_GBK"/>
          <w:color w:val="FF0000"/>
          <w:kern w:val="0"/>
          <w:szCs w:val="21"/>
          <w:u w:val="single"/>
          <w:lang w:val="zh-CN"/>
        </w:rPr>
        <w:t>、</w:t>
      </w:r>
      <w:r>
        <w:rPr>
          <w:rFonts w:ascii="宋体" w:hAnsi="宋体" w:cs="方正书宋_GBK"/>
          <w:color w:val="FF0000"/>
          <w:kern w:val="0"/>
          <w:szCs w:val="21"/>
          <w:u w:val="single"/>
          <w:lang w:val="zh-CN"/>
        </w:rPr>
        <w:t>姓名</w:t>
      </w:r>
      <w:r>
        <w:rPr>
          <w:rFonts w:hint="eastAsia" w:ascii="宋体" w:hAnsi="宋体" w:cs="方正书宋_GBK"/>
          <w:color w:val="FF0000"/>
          <w:kern w:val="0"/>
          <w:szCs w:val="21"/>
          <w:u w:val="single"/>
          <w:lang w:val="zh-CN"/>
        </w:rPr>
        <w:t>）</w:t>
      </w:r>
      <w:r>
        <w:rPr>
          <w:rFonts w:hint="eastAsia" w:ascii="宋体" w:hAnsi="宋体" w:cs="方正书宋_GBK"/>
          <w:color w:val="000000"/>
          <w:kern w:val="0"/>
          <w:szCs w:val="21"/>
          <w:lang w:val="zh-CN"/>
        </w:rPr>
        <w:t>对半年度报告内容存在异议或无法保证半年度报告中财务报告的真实、准确</w:t>
      </w:r>
      <w:r>
        <w:rPr>
          <w:rFonts w:ascii="宋体" w:hAnsi="宋体" w:cs="方正书宋_GBK"/>
          <w:color w:val="000000"/>
          <w:kern w:val="0"/>
          <w:szCs w:val="21"/>
          <w:lang w:val="zh-CN"/>
        </w:rPr>
        <w:t>、</w:t>
      </w:r>
      <w:r>
        <w:rPr>
          <w:rFonts w:hint="eastAsia" w:ascii="宋体" w:hAnsi="宋体" w:cs="方正书宋_GBK"/>
          <w:color w:val="000000"/>
          <w:kern w:val="0"/>
          <w:szCs w:val="21"/>
          <w:lang w:val="zh-CN"/>
        </w:rPr>
        <w:t>完整。</w:t>
      </w:r>
    </w:p>
    <w:p>
      <w:pPr>
        <w:autoSpaceDE w:val="0"/>
        <w:autoSpaceDN w:val="0"/>
        <w:adjustRightInd w:val="0"/>
        <w:spacing w:line="484" w:lineRule="atLeast"/>
        <w:ind w:firstLine="316" w:firstLineChars="15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审计情况-未经审计</w:t>
      </w:r>
      <w:r>
        <w:rPr>
          <w:rFonts w:ascii="宋体" w:hAnsi="宋体" w:cs="方正书宋_GBK"/>
          <w:b/>
          <w:color w:val="000000"/>
          <w:kern w:val="0"/>
          <w:szCs w:val="21"/>
          <w:lang w:val="zh-CN"/>
        </w:rPr>
        <w:t>：</w:t>
      </w:r>
      <w:r>
        <w:rPr>
          <w:rFonts w:hint="eastAsia" w:ascii="宋体" w:hAnsi="宋体" w:cs="方正书宋_GBK"/>
          <w:color w:val="000000"/>
          <w:kern w:val="0"/>
          <w:szCs w:val="21"/>
          <w:lang w:val="zh-CN"/>
        </w:rPr>
        <w:t>本半年度</w:t>
      </w:r>
      <w:r>
        <w:rPr>
          <w:rFonts w:ascii="宋体" w:hAnsi="宋体" w:cs="方正书宋_GBK"/>
          <w:color w:val="000000"/>
          <w:kern w:val="0"/>
          <w:szCs w:val="21"/>
          <w:lang w:val="zh-CN"/>
        </w:rPr>
        <w:t>报告</w:t>
      </w:r>
      <w:r>
        <w:rPr>
          <w:rFonts w:hint="eastAsia" w:ascii="宋体" w:hAnsi="宋体" w:cs="方正书宋_GBK"/>
          <w:color w:val="000000"/>
          <w:kern w:val="0"/>
          <w:szCs w:val="21"/>
          <w:lang w:val="zh-CN"/>
        </w:rPr>
        <w:t>未经会计师</w:t>
      </w:r>
      <w:r>
        <w:rPr>
          <w:rFonts w:ascii="宋体" w:hAnsi="宋体" w:cs="方正书宋_GBK"/>
          <w:color w:val="000000"/>
          <w:kern w:val="0"/>
          <w:szCs w:val="21"/>
          <w:lang w:val="zh-CN"/>
        </w:rPr>
        <w:t>事务所审计</w:t>
      </w:r>
      <w:r>
        <w:rPr>
          <w:rFonts w:hint="eastAsia" w:ascii="宋体" w:hAnsi="宋体" w:cs="方正书宋_GBK"/>
          <w:color w:val="000000"/>
          <w:kern w:val="0"/>
          <w:szCs w:val="21"/>
          <w:lang w:val="zh-CN"/>
        </w:rPr>
        <w:t>。</w:t>
      </w:r>
    </w:p>
    <w:p>
      <w:pPr>
        <w:autoSpaceDE w:val="0"/>
        <w:autoSpaceDN w:val="0"/>
        <w:adjustRightInd w:val="0"/>
        <w:spacing w:line="484" w:lineRule="atLeast"/>
        <w:ind w:firstLine="316" w:firstLineChars="150"/>
        <w:textAlignment w:val="center"/>
        <w:rPr>
          <w:rFonts w:ascii="宋体" w:hAnsi="宋体" w:cs="方正书宋_GBK"/>
          <w:color w:val="000000"/>
          <w:kern w:val="0"/>
          <w:szCs w:val="21"/>
          <w:lang w:val="zh-CN"/>
        </w:rPr>
      </w:pPr>
      <w:r>
        <w:rPr>
          <w:rFonts w:hint="eastAsia" w:ascii="宋体" w:hAnsi="宋体" w:cs="方正书宋_GBK"/>
          <w:b/>
          <w:color w:val="000000"/>
          <w:kern w:val="0"/>
          <w:szCs w:val="21"/>
          <w:lang w:val="zh-CN"/>
        </w:rPr>
        <w:t>审计情况-标准</w:t>
      </w:r>
      <w:r>
        <w:rPr>
          <w:rFonts w:ascii="宋体" w:hAnsi="宋体" w:cs="方正书宋_GBK"/>
          <w:b/>
          <w:color w:val="000000"/>
          <w:kern w:val="0"/>
          <w:szCs w:val="21"/>
          <w:lang w:val="zh-CN"/>
        </w:rPr>
        <w:t>无保留意见：</w:t>
      </w:r>
      <w:r>
        <w:rPr>
          <w:rFonts w:hint="eastAsia" w:ascii="宋体" w:hAnsi="宋体" w:cs="方正书宋_GBK"/>
          <w:color w:val="FF0000"/>
          <w:kern w:val="0"/>
          <w:szCs w:val="21"/>
          <w:u w:val="single"/>
          <w:lang w:val="zh-CN"/>
        </w:rPr>
        <w:t>（会计师事务所）</w:t>
      </w:r>
      <w:r>
        <w:rPr>
          <w:rFonts w:hint="eastAsia" w:ascii="宋体" w:hAnsi="宋体" w:cs="方正书宋_GBK"/>
          <w:color w:val="000000"/>
          <w:kern w:val="0"/>
          <w:szCs w:val="21"/>
          <w:lang w:val="zh-CN"/>
        </w:rPr>
        <w:t>对公司出具了标准（</w:t>
      </w:r>
      <w:r>
        <w:rPr>
          <w:rFonts w:hint="eastAsia" w:ascii="宋体" w:hAnsi="宋体" w:cs="方正书宋_GBK"/>
          <w:color w:val="FF0000"/>
          <w:kern w:val="0"/>
          <w:szCs w:val="21"/>
          <w:u w:val="single"/>
          <w:lang w:val="zh-CN"/>
        </w:rPr>
        <w:t>无保留意见</w:t>
      </w:r>
      <w:r>
        <w:rPr>
          <w:rFonts w:hint="eastAsia" w:ascii="宋体" w:hAnsi="宋体" w:cs="方正书宋_GBK"/>
          <w:color w:val="000000"/>
          <w:kern w:val="0"/>
          <w:szCs w:val="21"/>
          <w:lang w:val="zh-CN"/>
        </w:rPr>
        <w:t>）的审计报告。</w:t>
      </w:r>
    </w:p>
    <w:p>
      <w:pPr>
        <w:autoSpaceDE w:val="0"/>
        <w:autoSpaceDN w:val="0"/>
        <w:adjustRightInd w:val="0"/>
        <w:spacing w:line="484" w:lineRule="atLeast"/>
        <w:ind w:firstLine="316" w:firstLineChars="150"/>
        <w:textAlignment w:val="center"/>
        <w:rPr>
          <w:rFonts w:ascii="宋体" w:hAnsi="宋体"/>
          <w:color w:val="000000"/>
          <w:szCs w:val="21"/>
        </w:rPr>
      </w:pPr>
      <w:r>
        <w:rPr>
          <w:rFonts w:hint="eastAsia" w:ascii="宋体" w:hAnsi="宋体"/>
          <w:b/>
          <w:color w:val="000000"/>
          <w:szCs w:val="21"/>
        </w:rPr>
        <w:t>审计情况-非标准审计</w:t>
      </w:r>
      <w:r>
        <w:rPr>
          <w:rFonts w:ascii="宋体" w:hAnsi="宋体"/>
          <w:b/>
          <w:color w:val="000000"/>
          <w:szCs w:val="21"/>
        </w:rPr>
        <w:t>意见</w:t>
      </w:r>
      <w:r>
        <w:rPr>
          <w:rFonts w:hint="eastAsia" w:ascii="宋体" w:hAnsi="宋体"/>
          <w:b/>
          <w:color w:val="000000"/>
          <w:szCs w:val="21"/>
        </w:rPr>
        <w:t>-</w:t>
      </w:r>
      <w:r>
        <w:rPr>
          <w:rFonts w:ascii="宋体" w:hAnsi="宋体"/>
          <w:b/>
          <w:color w:val="000000"/>
          <w:szCs w:val="21"/>
        </w:rPr>
        <w:t>无特别段落：</w:t>
      </w:r>
      <w:r>
        <w:rPr>
          <w:rFonts w:hint="eastAsia" w:ascii="宋体" w:hAnsi="宋体"/>
          <w:color w:val="FF0000"/>
          <w:szCs w:val="21"/>
          <w:u w:val="single"/>
        </w:rPr>
        <w:t>（会计师事务所）</w:t>
      </w:r>
      <w:r>
        <w:rPr>
          <w:rFonts w:hint="eastAsia" w:ascii="宋体" w:hAnsi="宋体"/>
          <w:color w:val="000000"/>
          <w:szCs w:val="21"/>
        </w:rPr>
        <w:t>对公司出具了（</w:t>
      </w:r>
      <w:r>
        <w:rPr>
          <w:rFonts w:ascii="宋体" w:hAnsi="宋体" w:cs="方正书宋_GBK"/>
          <w:color w:val="FF0000"/>
          <w:kern w:val="0"/>
          <w:szCs w:val="21"/>
          <w:u w:val="single"/>
          <w:lang w:val="zh-CN"/>
        </w:rPr>
        <w:t>保留意见/否定意见/</w:t>
      </w:r>
      <w:r>
        <w:rPr>
          <w:rFonts w:hint="eastAsia" w:ascii="宋体" w:hAnsi="宋体" w:cs="方正书宋_GBK"/>
          <w:color w:val="FF0000"/>
          <w:kern w:val="0"/>
          <w:szCs w:val="21"/>
          <w:u w:val="single"/>
          <w:lang w:val="zh-CN"/>
        </w:rPr>
        <w:t>无法表示意见</w:t>
      </w:r>
      <w:r>
        <w:rPr>
          <w:rFonts w:hint="eastAsia" w:ascii="宋体" w:hAnsi="宋体"/>
          <w:color w:val="000000"/>
          <w:szCs w:val="21"/>
        </w:rPr>
        <w:t>）的审计报告，本公司</w:t>
      </w:r>
      <w:r>
        <w:rPr>
          <w:rFonts w:ascii="宋体" w:hAnsi="宋体"/>
          <w:color w:val="000000"/>
          <w:szCs w:val="21"/>
        </w:rPr>
        <w:t>董事会、监事会对相关事项</w:t>
      </w:r>
      <w:r>
        <w:rPr>
          <w:rFonts w:hint="eastAsia" w:ascii="宋体" w:hAnsi="宋体"/>
          <w:color w:val="000000"/>
          <w:szCs w:val="21"/>
        </w:rPr>
        <w:t>已有详细</w:t>
      </w:r>
      <w:r>
        <w:rPr>
          <w:rFonts w:ascii="宋体" w:hAnsi="宋体"/>
          <w:color w:val="000000"/>
          <w:szCs w:val="21"/>
        </w:rPr>
        <w:t>说明，请投资</w:t>
      </w:r>
      <w:r>
        <w:rPr>
          <w:rFonts w:hint="eastAsia" w:ascii="宋体" w:hAnsi="宋体"/>
          <w:color w:val="000000"/>
          <w:szCs w:val="21"/>
        </w:rPr>
        <w:t>者</w:t>
      </w:r>
      <w:r>
        <w:rPr>
          <w:rFonts w:ascii="宋体" w:hAnsi="宋体"/>
          <w:color w:val="000000"/>
          <w:szCs w:val="21"/>
        </w:rPr>
        <w:t>注意阅读。</w:t>
      </w:r>
    </w:p>
    <w:p>
      <w:pPr>
        <w:pStyle w:val="61"/>
        <w:rPr>
          <w:rFonts w:ascii="宋体" w:hAnsi="宋体" w:eastAsia="宋体" w:cs="Times New Roman"/>
          <w:kern w:val="2"/>
          <w:sz w:val="21"/>
          <w:szCs w:val="21"/>
          <w:lang w:val="en-US"/>
        </w:rPr>
      </w:pPr>
      <w:r>
        <w:rPr>
          <w:rFonts w:hint="eastAsia" w:ascii="宋体" w:hAnsi="宋体" w:eastAsia="宋体" w:cs="Times New Roman"/>
          <w:b/>
          <w:kern w:val="2"/>
          <w:sz w:val="21"/>
          <w:szCs w:val="21"/>
          <w:lang w:val="en-US"/>
        </w:rPr>
        <w:t>审计情况-非标准审计</w:t>
      </w:r>
      <w:r>
        <w:rPr>
          <w:rFonts w:ascii="宋体" w:hAnsi="宋体" w:eastAsia="宋体" w:cs="Times New Roman"/>
          <w:b/>
          <w:kern w:val="2"/>
          <w:sz w:val="21"/>
          <w:szCs w:val="21"/>
          <w:lang w:val="en-US"/>
        </w:rPr>
        <w:t>意见</w:t>
      </w:r>
      <w:r>
        <w:rPr>
          <w:rFonts w:hint="eastAsia" w:ascii="宋体" w:hAnsi="宋体" w:eastAsia="宋体" w:cs="Times New Roman"/>
          <w:b/>
          <w:kern w:val="2"/>
          <w:sz w:val="21"/>
          <w:szCs w:val="21"/>
          <w:lang w:val="en-US"/>
        </w:rPr>
        <w:t>-</w:t>
      </w:r>
      <w:r>
        <w:rPr>
          <w:rFonts w:ascii="宋体" w:hAnsi="宋体" w:eastAsia="宋体" w:cs="Times New Roman"/>
          <w:b/>
          <w:kern w:val="2"/>
          <w:sz w:val="21"/>
          <w:szCs w:val="21"/>
          <w:lang w:val="en-US"/>
        </w:rPr>
        <w:t>带特别段落：</w:t>
      </w:r>
      <w:r>
        <w:rPr>
          <w:rFonts w:hint="eastAsia" w:ascii="宋体" w:hAnsi="宋体" w:eastAsia="宋体" w:cs="Times New Roman"/>
          <w:color w:val="FF0000"/>
          <w:kern w:val="2"/>
          <w:sz w:val="21"/>
          <w:szCs w:val="21"/>
          <w:u w:val="single"/>
          <w:lang w:val="en-US"/>
        </w:rPr>
        <w:t>（会计师事务所）</w:t>
      </w:r>
      <w:r>
        <w:rPr>
          <w:rFonts w:hint="eastAsia" w:ascii="宋体" w:hAnsi="宋体" w:eastAsia="宋体" w:cs="Times New Roman"/>
          <w:kern w:val="2"/>
          <w:sz w:val="21"/>
          <w:szCs w:val="21"/>
          <w:lang w:val="en-US"/>
        </w:rPr>
        <w:t>对公司出具了（</w:t>
      </w:r>
      <w:r>
        <w:rPr>
          <w:rFonts w:hint="eastAsia" w:ascii="宋体" w:hAnsi="宋体" w:eastAsia="宋体"/>
          <w:color w:val="FF0000"/>
          <w:sz w:val="21"/>
          <w:szCs w:val="21"/>
        </w:rPr>
        <w:t>带</w:t>
      </w:r>
      <w:r>
        <w:rPr>
          <w:rFonts w:hint="eastAsia" w:ascii="宋体" w:hAnsi="宋体" w:eastAsia="宋体"/>
          <w:color w:val="FF0000"/>
          <w:sz w:val="21"/>
          <w:szCs w:val="21"/>
          <w:u w:val="single"/>
        </w:rPr>
        <w:t>（强调</w:t>
      </w:r>
      <w:r>
        <w:rPr>
          <w:rFonts w:ascii="宋体" w:hAnsi="宋体" w:eastAsia="宋体"/>
          <w:color w:val="FF0000"/>
          <w:sz w:val="21"/>
          <w:szCs w:val="21"/>
          <w:u w:val="single"/>
        </w:rPr>
        <w:t>事项段/其他</w:t>
      </w:r>
      <w:r>
        <w:rPr>
          <w:rFonts w:hint="eastAsia" w:ascii="宋体" w:hAnsi="宋体" w:eastAsia="宋体"/>
          <w:color w:val="FF0000"/>
          <w:sz w:val="21"/>
          <w:szCs w:val="21"/>
          <w:u w:val="single"/>
        </w:rPr>
        <w:t>事项段</w:t>
      </w:r>
      <w:r>
        <w:rPr>
          <w:rFonts w:ascii="宋体" w:hAnsi="宋体" w:eastAsia="宋体"/>
          <w:color w:val="FF0000"/>
          <w:sz w:val="21"/>
          <w:szCs w:val="21"/>
          <w:u w:val="single"/>
        </w:rPr>
        <w:t>/持续经营重大不确定</w:t>
      </w:r>
      <w:r>
        <w:rPr>
          <w:rFonts w:hint="eastAsia" w:ascii="宋体" w:hAnsi="宋体" w:eastAsia="宋体"/>
          <w:color w:val="FF0000"/>
          <w:sz w:val="21"/>
          <w:szCs w:val="21"/>
          <w:u w:val="single"/>
        </w:rPr>
        <w:t>性</w:t>
      </w:r>
      <w:r>
        <w:rPr>
          <w:rFonts w:ascii="宋体" w:hAnsi="宋体" w:eastAsia="宋体"/>
          <w:color w:val="FF0000"/>
          <w:sz w:val="21"/>
          <w:szCs w:val="21"/>
          <w:u w:val="single"/>
        </w:rPr>
        <w:t>段落/其他信息段落中包含其他信息存在未更正重大错报说明</w:t>
      </w:r>
      <w:r>
        <w:rPr>
          <w:rFonts w:hint="eastAsia" w:ascii="宋体" w:hAnsi="宋体" w:eastAsia="宋体"/>
          <w:color w:val="FF0000"/>
          <w:sz w:val="21"/>
          <w:szCs w:val="21"/>
          <w:u w:val="single"/>
        </w:rPr>
        <w:t>）</w:t>
      </w:r>
      <w:r>
        <w:rPr>
          <w:rFonts w:hint="eastAsia" w:ascii="宋体" w:hAnsi="宋体" w:eastAsia="宋体"/>
          <w:color w:val="FF0000"/>
          <w:sz w:val="21"/>
          <w:szCs w:val="21"/>
        </w:rPr>
        <w:t>的</w:t>
      </w:r>
      <w:r>
        <w:rPr>
          <w:rFonts w:hint="eastAsia" w:ascii="宋体" w:hAnsi="宋体" w:eastAsia="宋体"/>
          <w:color w:val="FF0000"/>
          <w:sz w:val="21"/>
          <w:szCs w:val="21"/>
          <w:u w:val="single"/>
        </w:rPr>
        <w:t>（无保留意见</w:t>
      </w:r>
      <w:r>
        <w:rPr>
          <w:rFonts w:ascii="宋体" w:hAnsi="宋体" w:eastAsia="宋体"/>
          <w:color w:val="FF0000"/>
          <w:sz w:val="21"/>
          <w:szCs w:val="21"/>
          <w:u w:val="single"/>
        </w:rPr>
        <w:t>/保留意见/否定意见/</w:t>
      </w:r>
      <w:r>
        <w:rPr>
          <w:rFonts w:hint="eastAsia" w:ascii="宋体" w:hAnsi="宋体" w:eastAsia="宋体"/>
          <w:color w:val="FF0000"/>
          <w:sz w:val="21"/>
          <w:szCs w:val="21"/>
          <w:u w:val="single"/>
        </w:rPr>
        <w:t>无法表示意见）</w:t>
      </w:r>
      <w:r>
        <w:rPr>
          <w:rFonts w:hint="eastAsia" w:ascii="宋体" w:hAnsi="宋体" w:eastAsia="宋体" w:cs="Times New Roman"/>
          <w:kern w:val="2"/>
          <w:sz w:val="21"/>
          <w:szCs w:val="21"/>
          <w:lang w:val="en-US"/>
        </w:rPr>
        <w:t>）的审计报告，本公司</w:t>
      </w:r>
      <w:r>
        <w:rPr>
          <w:rFonts w:ascii="宋体" w:hAnsi="宋体" w:eastAsia="宋体" w:cs="Times New Roman"/>
          <w:kern w:val="2"/>
          <w:sz w:val="21"/>
          <w:szCs w:val="21"/>
          <w:lang w:val="en-US"/>
        </w:rPr>
        <w:t>董事会、监事会对相关事项</w:t>
      </w:r>
      <w:r>
        <w:rPr>
          <w:rFonts w:hint="eastAsia" w:ascii="宋体" w:hAnsi="宋体" w:eastAsia="宋体" w:cs="Times New Roman"/>
          <w:kern w:val="2"/>
          <w:sz w:val="21"/>
          <w:szCs w:val="21"/>
          <w:lang w:val="en-US"/>
        </w:rPr>
        <w:t>已有详细</w:t>
      </w:r>
      <w:r>
        <w:rPr>
          <w:rFonts w:ascii="宋体" w:hAnsi="宋体" w:eastAsia="宋体" w:cs="Times New Roman"/>
          <w:kern w:val="2"/>
          <w:sz w:val="21"/>
          <w:szCs w:val="21"/>
          <w:lang w:val="en-US"/>
        </w:rPr>
        <w:t>说明，请投资</w:t>
      </w:r>
      <w:r>
        <w:rPr>
          <w:rFonts w:hint="eastAsia" w:ascii="宋体" w:hAnsi="宋体" w:eastAsia="宋体" w:cs="Times New Roman"/>
          <w:kern w:val="2"/>
          <w:sz w:val="21"/>
          <w:szCs w:val="21"/>
          <w:lang w:val="en-US"/>
        </w:rPr>
        <w:t>者</w:t>
      </w:r>
      <w:r>
        <w:rPr>
          <w:rFonts w:ascii="宋体" w:hAnsi="宋体" w:eastAsia="宋体" w:cs="Times New Roman"/>
          <w:kern w:val="2"/>
          <w:sz w:val="21"/>
          <w:szCs w:val="21"/>
          <w:lang w:val="en-US"/>
        </w:rPr>
        <w:t>注意阅读。</w:t>
      </w:r>
    </w:p>
    <w:p>
      <w:pPr>
        <w:pStyle w:val="61"/>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本半年度报告涉及未来计划等前瞻性陈述，不构成公司对投资者的实质承诺，投资者及相关人士均应当对此保持足够的风险认识，并且应当理解计划、预测与承诺之间的差异。</w:t>
      </w:r>
      <w:r>
        <w:rPr>
          <w:rFonts w:hint="eastAsia" w:asciiTheme="minorEastAsia" w:hAnsiTheme="minorEastAsia" w:eastAsiaTheme="minorEastAsia"/>
          <w:color w:val="FF0000"/>
          <w:sz w:val="21"/>
          <w:szCs w:val="21"/>
        </w:rPr>
        <w:t>（不涉及的可删除此段）</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505"/>
        <w:gridCol w:w="11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505"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事项</w:t>
            </w:r>
          </w:p>
        </w:tc>
        <w:tc>
          <w:tcPr>
            <w:tcW w:w="1134"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505"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pacing w:val="-5"/>
                <w:szCs w:val="21"/>
              </w:rPr>
              <w:t>是否</w:t>
            </w:r>
            <w:r>
              <w:rPr>
                <w:rFonts w:asciiTheme="minorEastAsia" w:hAnsiTheme="minorEastAsia" w:eastAsiaTheme="minorEastAsia"/>
                <w:spacing w:val="-5"/>
                <w:szCs w:val="21"/>
              </w:rPr>
              <w:t>存在</w:t>
            </w:r>
            <w:r>
              <w:rPr>
                <w:rFonts w:hint="eastAsia" w:asciiTheme="minorEastAsia" w:hAnsiTheme="minorEastAsia" w:eastAsiaTheme="minorEastAsia"/>
                <w:spacing w:val="-5"/>
                <w:szCs w:val="21"/>
              </w:rPr>
              <w:t>控股股东</w:t>
            </w:r>
            <w:r>
              <w:rPr>
                <w:rFonts w:asciiTheme="minorEastAsia" w:hAnsiTheme="minorEastAsia" w:eastAsiaTheme="minorEastAsia"/>
                <w:spacing w:val="-5"/>
                <w:szCs w:val="21"/>
              </w:rPr>
              <w:t>、实际控制人、</w:t>
            </w:r>
            <w:r>
              <w:rPr>
                <w:rFonts w:hint="eastAsia" w:asciiTheme="minorEastAsia" w:hAnsiTheme="minorEastAsia" w:eastAsiaTheme="minorEastAsia"/>
                <w:spacing w:val="-5"/>
                <w:szCs w:val="21"/>
              </w:rPr>
              <w:t>董事、监事、高级管理人员对半年度报告内容存在异议或无法保证其真实、准确、完整</w:t>
            </w:r>
          </w:p>
        </w:tc>
        <w:tc>
          <w:tcPr>
            <w:tcW w:w="1134"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505" w:type="dxa"/>
          </w:tcPr>
          <w:p>
            <w:pPr>
              <w:rPr>
                <w:rFonts w:asciiTheme="minorEastAsia" w:hAnsiTheme="minorEastAsia" w:eastAsiaTheme="minorEastAsia"/>
                <w:spacing w:val="-5"/>
                <w:szCs w:val="21"/>
              </w:rPr>
            </w:pPr>
            <w:r>
              <w:rPr>
                <w:rFonts w:hint="eastAsia" w:asciiTheme="minorEastAsia" w:hAnsiTheme="minorEastAsia" w:eastAsiaTheme="minorEastAsia"/>
                <w:color w:val="000000" w:themeColor="text1"/>
                <w:spacing w:val="-5"/>
                <w:sz w:val="22"/>
                <w14:textFill>
                  <w14:solidFill>
                    <w14:schemeClr w14:val="tx1"/>
                  </w14:solidFill>
                </w14:textFill>
              </w:rPr>
              <w:t>是否存在</w:t>
            </w:r>
            <w:r>
              <w:rPr>
                <w:rFonts w:asciiTheme="minorEastAsia" w:hAnsiTheme="minorEastAsia" w:eastAsiaTheme="minorEastAsia"/>
                <w:color w:val="000000" w:themeColor="text1"/>
                <w:spacing w:val="-5"/>
                <w:sz w:val="22"/>
                <w14:textFill>
                  <w14:solidFill>
                    <w14:schemeClr w14:val="tx1"/>
                  </w14:solidFill>
                </w14:textFill>
              </w:rPr>
              <w:t>半数以上</w:t>
            </w:r>
            <w:r>
              <w:rPr>
                <w:rFonts w:hint="eastAsia" w:asciiTheme="minorEastAsia" w:hAnsiTheme="minorEastAsia" w:eastAsiaTheme="minorEastAsia"/>
                <w:color w:val="000000" w:themeColor="text1"/>
                <w:spacing w:val="-5"/>
                <w:sz w:val="22"/>
                <w14:textFill>
                  <w14:solidFill>
                    <w14:schemeClr w14:val="tx1"/>
                  </w14:solidFill>
                </w14:textFill>
              </w:rPr>
              <w:t>董事无法完全保证半年度报告的真实性、准确性和完整性</w:t>
            </w:r>
          </w:p>
        </w:tc>
        <w:tc>
          <w:tcPr>
            <w:tcW w:w="1134"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505" w:type="dxa"/>
          </w:tcPr>
          <w:p>
            <w:pPr>
              <w:rPr>
                <w:rFonts w:asciiTheme="minorEastAsia" w:hAnsiTheme="minorEastAsia" w:eastAsiaTheme="minorEastAsia"/>
                <w:color w:val="000000" w:themeColor="text1"/>
                <w:spacing w:val="-5"/>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董事会是否审议通过半年度报告</w:t>
            </w:r>
          </w:p>
        </w:tc>
        <w:tc>
          <w:tcPr>
            <w:tcW w:w="1134"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9" w:hRule="atLeast"/>
        </w:trPr>
        <w:tc>
          <w:tcPr>
            <w:tcW w:w="8505"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w:t>
            </w:r>
            <w:r>
              <w:rPr>
                <w:rFonts w:asciiTheme="minorEastAsia" w:hAnsiTheme="minorEastAsia" w:eastAsiaTheme="minorEastAsia"/>
                <w:szCs w:val="21"/>
              </w:rPr>
              <w:t>存在</w:t>
            </w:r>
            <w:r>
              <w:rPr>
                <w:rFonts w:hint="eastAsia" w:asciiTheme="minorEastAsia" w:hAnsiTheme="minorEastAsia" w:eastAsiaTheme="minorEastAsia"/>
                <w:szCs w:val="21"/>
              </w:rPr>
              <w:t>未出席董事会审议半年度报告的董事</w:t>
            </w:r>
          </w:p>
        </w:tc>
        <w:tc>
          <w:tcPr>
            <w:tcW w:w="1134"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505"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是否存在未按要求</w:t>
            </w:r>
            <w:r>
              <w:rPr>
                <w:rFonts w:asciiTheme="minorEastAsia" w:hAnsiTheme="minorEastAsia" w:eastAsiaTheme="minorEastAsia"/>
                <w:szCs w:val="21"/>
              </w:rPr>
              <w:t>披露的事项</w:t>
            </w:r>
          </w:p>
        </w:tc>
        <w:tc>
          <w:tcPr>
            <w:tcW w:w="1134"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505" w:type="dxa"/>
          </w:tcPr>
          <w:p>
            <w:pPr>
              <w:rPr>
                <w:rFonts w:asciiTheme="minorEastAsia" w:hAnsiTheme="minorEastAsia" w:eastAsiaTheme="minorEastAsia"/>
                <w:szCs w:val="21"/>
              </w:rPr>
            </w:pPr>
            <w:r>
              <w:rPr>
                <w:rFonts w:hint="eastAsia" w:asciiTheme="minorEastAsia" w:hAnsiTheme="minorEastAsia" w:eastAsiaTheme="minorEastAsia"/>
                <w:szCs w:val="21"/>
              </w:rPr>
              <w:t>是否审计</w:t>
            </w:r>
          </w:p>
        </w:tc>
        <w:tc>
          <w:tcPr>
            <w:tcW w:w="1134"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505" w:type="dxa"/>
          </w:tcPr>
          <w:p>
            <w:pPr>
              <w:rPr>
                <w:rFonts w:asciiTheme="minorEastAsia" w:hAnsiTheme="minorEastAsia" w:eastAsiaTheme="minorEastAsia"/>
                <w:szCs w:val="21"/>
              </w:rPr>
            </w:pPr>
            <w:r>
              <w:rPr>
                <w:rFonts w:hint="eastAsia" w:asciiTheme="minorEastAsia" w:hAnsiTheme="minorEastAsia" w:eastAsiaTheme="minorEastAsia"/>
                <w:szCs w:val="21"/>
              </w:rPr>
              <w:t>是否</w:t>
            </w:r>
            <w:r>
              <w:rPr>
                <w:rFonts w:asciiTheme="minorEastAsia" w:hAnsiTheme="minorEastAsia" w:eastAsiaTheme="minorEastAsia"/>
                <w:szCs w:val="21"/>
              </w:rPr>
              <w:t>被出具非标准审计意见</w:t>
            </w:r>
          </w:p>
        </w:tc>
        <w:tc>
          <w:tcPr>
            <w:tcW w:w="1134" w:type="dxa"/>
          </w:tcPr>
          <w:p>
            <w:pPr>
              <w:rPr>
                <w:rFonts w:ascii="Times New Roman" w:hAnsi="Times New Roman"/>
                <w:color w:val="000000" w:themeColor="text1"/>
                <w:kern w:val="0"/>
                <w:sz w:val="22"/>
                <w:szCs w:val="21"/>
                <w14:textFill>
                  <w14:solidFill>
                    <w14:schemeClr w14:val="tx1"/>
                  </w14:solidFill>
                </w14:textFill>
              </w:rPr>
            </w:pPr>
          </w:p>
        </w:tc>
      </w:tr>
    </w:tbl>
    <w:p>
      <w:pPr>
        <w:pStyle w:val="61"/>
        <w:spacing w:line="360" w:lineRule="auto"/>
        <w:ind w:firstLine="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1、控股股东、实际控制人、董事</w:t>
      </w:r>
      <w:r>
        <w:rPr>
          <w:rFonts w:asciiTheme="minorEastAsia" w:hAnsiTheme="minorEastAsia" w:eastAsiaTheme="minorEastAsia"/>
          <w:color w:val="000000" w:themeColor="text1"/>
          <w:sz w:val="21"/>
          <w:szCs w:val="21"/>
          <w14:textFill>
            <w14:solidFill>
              <w14:schemeClr w14:val="tx1"/>
            </w14:solidFill>
          </w14:textFill>
        </w:rPr>
        <w:t>、监事、高级管理人员对</w:t>
      </w:r>
      <w:r>
        <w:rPr>
          <w:rFonts w:hint="eastAsia" w:asciiTheme="minorEastAsia" w:hAnsiTheme="minorEastAsia" w:eastAsiaTheme="minorEastAsia"/>
          <w:color w:val="000000" w:themeColor="text1"/>
          <w:sz w:val="21"/>
          <w:szCs w:val="21"/>
          <w14:textFill>
            <w14:solidFill>
              <w14:schemeClr w14:val="tx1"/>
            </w14:solidFill>
          </w14:textFill>
        </w:rPr>
        <w:t>半</w:t>
      </w:r>
      <w:r>
        <w:rPr>
          <w:rFonts w:asciiTheme="minorEastAsia" w:hAnsiTheme="minorEastAsia" w:eastAsiaTheme="minorEastAsia"/>
          <w:color w:val="000000" w:themeColor="text1"/>
          <w:sz w:val="21"/>
          <w:szCs w:val="21"/>
          <w14:textFill>
            <w14:solidFill>
              <w14:schemeClr w14:val="tx1"/>
            </w14:solidFill>
          </w14:textFill>
        </w:rPr>
        <w:t>年度报告</w:t>
      </w:r>
      <w:r>
        <w:rPr>
          <w:rFonts w:hint="eastAsia" w:asciiTheme="minorEastAsia" w:hAnsiTheme="minorEastAsia" w:eastAsiaTheme="minorEastAsia"/>
          <w:color w:val="000000" w:themeColor="text1"/>
          <w:sz w:val="21"/>
          <w:szCs w:val="21"/>
          <w14:textFill>
            <w14:solidFill>
              <w14:schemeClr w14:val="tx1"/>
            </w14:solidFill>
          </w14:textFill>
        </w:rPr>
        <w:t>内容存在</w:t>
      </w:r>
      <w:r>
        <w:rPr>
          <w:rFonts w:asciiTheme="minorEastAsia" w:hAnsiTheme="minorEastAsia" w:eastAsiaTheme="minorEastAsia"/>
          <w:color w:val="000000" w:themeColor="text1"/>
          <w:sz w:val="21"/>
          <w:szCs w:val="21"/>
          <w14:textFill>
            <w14:solidFill>
              <w14:schemeClr w14:val="tx1"/>
            </w14:solidFill>
          </w14:textFill>
        </w:rPr>
        <w:t>异议或无法保证</w:t>
      </w:r>
      <w:r>
        <w:rPr>
          <w:rFonts w:hint="eastAsia" w:asciiTheme="minorEastAsia" w:hAnsiTheme="minorEastAsia" w:eastAsiaTheme="minorEastAsia"/>
          <w:color w:val="000000" w:themeColor="text1"/>
          <w:sz w:val="21"/>
          <w:szCs w:val="21"/>
          <w14:textFill>
            <w14:solidFill>
              <w14:schemeClr w14:val="tx1"/>
            </w14:solidFill>
          </w14:textFill>
        </w:rPr>
        <w:t>的详细情况</w:t>
      </w:r>
    </w:p>
    <w:tbl>
      <w:tblPr>
        <w:tblStyle w:val="45"/>
        <w:tblW w:w="9639" w:type="dxa"/>
        <w:tblInd w:w="-572" w:type="dxa"/>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heme="minorEastAsia" w:hAnsiTheme="minorEastAsia" w:eastAsiaTheme="minorEastAsia"/>
                <w:color w:val="000000" w:themeColor="text1"/>
                <w:szCs w:val="44"/>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姓名</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职务</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董事会或监事会投票情况</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董事/监事/高级管理人员/控股股东或</w:t>
            </w:r>
            <w:r>
              <w:rPr>
                <w:rFonts w:asciiTheme="minorEastAsia" w:hAnsiTheme="minorEastAsia" w:eastAsiaTheme="minorEastAsia"/>
                <w:color w:val="000000" w:themeColor="text1"/>
                <w:szCs w:val="44"/>
                <w14:textFill>
                  <w14:solidFill>
                    <w14:schemeClr w14:val="tx1"/>
                  </w14:solidFill>
                </w14:textFill>
              </w:rPr>
              <w:t>实际控制人</w:t>
            </w:r>
            <w:r>
              <w:rPr>
                <w:rFonts w:hint="eastAsia" w:asciiTheme="minorEastAsia" w:hAnsiTheme="minorEastAsia" w:eastAsiaTheme="minorEastAsia"/>
                <w:color w:val="000000" w:themeColor="text1"/>
                <w:szCs w:val="44"/>
                <w14:textFill>
                  <w14:solidFill>
                    <w14:schemeClr w14:val="tx1"/>
                  </w14:solidFill>
                </w14:textFill>
              </w:rPr>
              <w:t>（可多选）</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未出席/反对/弃权/同意/不适用</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应</w:t>
            </w:r>
            <w:r>
              <w:rPr>
                <w:rFonts w:asciiTheme="minorEastAsia" w:hAnsiTheme="minorEastAsia" w:eastAsiaTheme="minorEastAsia"/>
                <w:color w:val="000000" w:themeColor="text1"/>
                <w:szCs w:val="44"/>
                <w14:textFill>
                  <w14:solidFill>
                    <w14:schemeClr w14:val="tx1"/>
                  </w14:solidFill>
                </w14:textFill>
              </w:rPr>
              <w:t>说明</w:t>
            </w:r>
            <w:r>
              <w:rPr>
                <w:rFonts w:hint="eastAsia" w:asciiTheme="minorEastAsia" w:hAnsiTheme="minorEastAsia" w:eastAsiaTheme="minorEastAsia"/>
                <w:color w:val="000000" w:themeColor="text1"/>
                <w:szCs w:val="44"/>
                <w14:textFill>
                  <w14:solidFill>
                    <w14:schemeClr w14:val="tx1"/>
                  </w14:solidFill>
                </w14:textFill>
              </w:rPr>
              <w:t>1、</w:t>
            </w:r>
            <w:r>
              <w:rPr>
                <w:rFonts w:asciiTheme="minorEastAsia" w:hAnsiTheme="minorEastAsia" w:eastAsiaTheme="minorEastAsia"/>
                <w:color w:val="000000" w:themeColor="text1"/>
                <w:szCs w:val="44"/>
                <w14:textFill>
                  <w14:solidFill>
                    <w14:schemeClr w14:val="tx1"/>
                  </w14:solidFill>
                </w14:textFill>
              </w:rPr>
              <w:t>具体的</w:t>
            </w:r>
            <w:r>
              <w:rPr>
                <w:rFonts w:hint="eastAsia" w:asciiTheme="minorEastAsia" w:hAnsiTheme="minorEastAsia" w:eastAsiaTheme="minorEastAsia"/>
                <w:color w:val="000000" w:themeColor="text1"/>
                <w:szCs w:val="44"/>
                <w14:textFill>
                  <w14:solidFill>
                    <w14:schemeClr w14:val="tx1"/>
                  </w14:solidFill>
                </w14:textFill>
              </w:rPr>
              <w:t>异议事项及异议原因；2、董监高</w:t>
            </w:r>
            <w:r>
              <w:rPr>
                <w:rFonts w:asciiTheme="minorEastAsia" w:hAnsiTheme="minorEastAsia" w:eastAsiaTheme="minorEastAsia"/>
                <w:color w:val="000000" w:themeColor="text1"/>
                <w:szCs w:val="44"/>
                <w14:textFill>
                  <w14:solidFill>
                    <w14:schemeClr w14:val="tx1"/>
                  </w14:solidFill>
                </w14:textFill>
              </w:rPr>
              <w:t>或实控</w:t>
            </w:r>
            <w:r>
              <w:rPr>
                <w:rFonts w:hint="eastAsia" w:asciiTheme="minorEastAsia" w:hAnsiTheme="minorEastAsia" w:eastAsiaTheme="minorEastAsia"/>
                <w:color w:val="000000" w:themeColor="text1"/>
                <w:szCs w:val="44"/>
                <w14:textFill>
                  <w14:solidFill>
                    <w14:schemeClr w14:val="tx1"/>
                  </w14:solidFill>
                </w14:textFill>
              </w:rPr>
              <w:t>人、</w:t>
            </w:r>
            <w:r>
              <w:rPr>
                <w:rFonts w:asciiTheme="minorEastAsia" w:hAnsiTheme="minorEastAsia" w:eastAsiaTheme="minorEastAsia"/>
                <w:color w:val="000000" w:themeColor="text1"/>
                <w:szCs w:val="44"/>
                <w14:textFill>
                  <w14:solidFill>
                    <w14:schemeClr w14:val="tx1"/>
                  </w14:solidFill>
                </w14:textFill>
              </w:rPr>
              <w:t>控股股东</w:t>
            </w:r>
            <w:r>
              <w:rPr>
                <w:rFonts w:hint="eastAsia" w:asciiTheme="minorEastAsia" w:hAnsiTheme="minorEastAsia" w:eastAsiaTheme="minorEastAsia"/>
                <w:color w:val="000000" w:themeColor="text1"/>
                <w:szCs w:val="44"/>
                <w14:textFill>
                  <w14:solidFill>
                    <w14:schemeClr w14:val="tx1"/>
                  </w14:solidFill>
                </w14:textFill>
              </w:rPr>
              <w:t>就异议事项与</w:t>
            </w:r>
            <w:r>
              <w:rPr>
                <w:rFonts w:asciiTheme="minorEastAsia" w:hAnsiTheme="minorEastAsia" w:eastAsiaTheme="minorEastAsia"/>
                <w:color w:val="000000" w:themeColor="text1"/>
                <w:szCs w:val="44"/>
                <w14:textFill>
                  <w14:solidFill>
                    <w14:schemeClr w14:val="tx1"/>
                  </w14:solidFill>
                </w14:textFill>
              </w:rPr>
              <w:t>公司</w:t>
            </w:r>
            <w:r>
              <w:rPr>
                <w:rFonts w:hint="eastAsia" w:asciiTheme="minorEastAsia" w:hAnsiTheme="minorEastAsia" w:eastAsiaTheme="minorEastAsia"/>
                <w:color w:val="000000" w:themeColor="text1"/>
                <w:szCs w:val="44"/>
                <w14:textFill>
                  <w14:solidFill>
                    <w14:schemeClr w14:val="tx1"/>
                  </w14:solidFill>
                </w14:textFill>
              </w:rPr>
              <w:t>的沟通情况以及履行勤勉尽责义务所采取的尽职调查措施（如适用）。不得仅以未出席</w:t>
            </w:r>
            <w:r>
              <w:rPr>
                <w:rFonts w:asciiTheme="minorEastAsia" w:hAnsiTheme="minorEastAsia" w:eastAsiaTheme="minorEastAsia"/>
                <w:color w:val="000000" w:themeColor="text1"/>
                <w:szCs w:val="44"/>
                <w14:textFill>
                  <w14:solidFill>
                    <w14:schemeClr w14:val="tx1"/>
                  </w14:solidFill>
                </w14:textFill>
              </w:rPr>
              <w:t>会议</w:t>
            </w:r>
            <w:r>
              <w:rPr>
                <w:rFonts w:hint="eastAsia" w:asciiTheme="minorEastAsia" w:hAnsiTheme="minorEastAsia" w:eastAsiaTheme="minorEastAsia"/>
                <w:color w:val="000000" w:themeColor="text1"/>
                <w:szCs w:val="44"/>
                <w14:textFill>
                  <w14:solidFill>
                    <w14:schemeClr w14:val="tx1"/>
                  </w14:solidFill>
                </w14:textFill>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（自行添行）</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2、列示未出席</w:t>
      </w:r>
      <w:r>
        <w:rPr>
          <w:rFonts w:asciiTheme="minorEastAsia" w:hAnsiTheme="minorEastAsia" w:eastAsiaTheme="minorEastAsia"/>
          <w:color w:val="000000" w:themeColor="text1"/>
          <w:szCs w:val="44"/>
          <w14:textFill>
            <w14:solidFill>
              <w14:schemeClr w14:val="tx1"/>
            </w14:solidFill>
          </w14:textFill>
        </w:rPr>
        <w:t>董事会的</w:t>
      </w:r>
      <w:r>
        <w:rPr>
          <w:rFonts w:hint="eastAsia" w:asciiTheme="minorEastAsia" w:hAnsiTheme="minorEastAsia" w:eastAsiaTheme="minorEastAsia"/>
          <w:color w:val="000000" w:themeColor="text1"/>
          <w:szCs w:val="44"/>
          <w14:textFill>
            <w14:solidFill>
              <w14:schemeClr w14:val="tx1"/>
            </w14:solidFill>
          </w14:textFill>
        </w:rPr>
        <w:t>董事</w:t>
      </w:r>
      <w:r>
        <w:rPr>
          <w:rFonts w:asciiTheme="minorEastAsia" w:hAnsiTheme="minorEastAsia" w:eastAsiaTheme="minorEastAsia"/>
          <w:color w:val="000000" w:themeColor="text1"/>
          <w:szCs w:val="44"/>
          <w14:textFill>
            <w14:solidFill>
              <w14:schemeClr w14:val="tx1"/>
            </w14:solidFill>
          </w14:textFill>
        </w:rPr>
        <w:t>姓名</w:t>
      </w:r>
      <w:r>
        <w:rPr>
          <w:rFonts w:hint="eastAsia" w:asciiTheme="minorEastAsia" w:hAnsiTheme="minorEastAsia" w:eastAsiaTheme="minorEastAsia"/>
          <w:color w:val="000000" w:themeColor="text1"/>
          <w:szCs w:val="44"/>
          <w14:textFill>
            <w14:solidFill>
              <w14:schemeClr w14:val="tx1"/>
            </w14:solidFill>
          </w14:textFill>
        </w:rPr>
        <w:t>及</w:t>
      </w:r>
      <w:r>
        <w:rPr>
          <w:rFonts w:asciiTheme="minorEastAsia" w:hAnsiTheme="minorEastAsia" w:eastAsiaTheme="minorEastAsia"/>
          <w:color w:val="000000" w:themeColor="text1"/>
          <w:szCs w:val="44"/>
          <w14:textFill>
            <w14:solidFill>
              <w14:schemeClr w14:val="tx1"/>
            </w14:solidFill>
          </w14:textFill>
        </w:rPr>
        <w:t>未出席的理由</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3、</w:t>
      </w:r>
      <w:r>
        <w:rPr>
          <w:rFonts w:hint="eastAsia" w:asciiTheme="minorEastAsia" w:hAnsiTheme="minorEastAsia" w:eastAsiaTheme="minorEastAsia"/>
          <w:szCs w:val="21"/>
        </w:rPr>
        <w:t>未按要求</w:t>
      </w:r>
      <w:r>
        <w:rPr>
          <w:rFonts w:asciiTheme="minorEastAsia" w:hAnsiTheme="minorEastAsia" w:eastAsiaTheme="minorEastAsia"/>
          <w:szCs w:val="21"/>
        </w:rPr>
        <w:t>披露的事项</w:t>
      </w:r>
      <w:r>
        <w:rPr>
          <w:rFonts w:hint="eastAsia" w:asciiTheme="minorEastAsia" w:hAnsiTheme="minorEastAsia" w:eastAsiaTheme="minorEastAsia"/>
          <w:szCs w:val="21"/>
        </w:rPr>
        <w:t>及</w:t>
      </w:r>
      <w:r>
        <w:rPr>
          <w:rFonts w:asciiTheme="minorEastAsia" w:hAnsiTheme="minorEastAsia" w:eastAsiaTheme="minorEastAsia"/>
          <w:szCs w:val="21"/>
        </w:rPr>
        <w:t>原因</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由于国家秘密、商业秘密等特殊原因导致半年报</w:t>
            </w:r>
            <w:r>
              <w:rPr>
                <w:rFonts w:asciiTheme="minorEastAsia" w:hAnsiTheme="minorEastAsia" w:eastAsiaTheme="minorEastAsia"/>
                <w:i/>
                <w:color w:val="FF0000"/>
                <w:szCs w:val="44"/>
              </w:rPr>
              <w:t>内容与格式</w:t>
            </w:r>
            <w:r>
              <w:rPr>
                <w:rFonts w:hint="eastAsia" w:asciiTheme="minorEastAsia" w:hAnsiTheme="minorEastAsia" w:eastAsiaTheme="minorEastAsia"/>
                <w:i/>
                <w:color w:val="FF0000"/>
                <w:szCs w:val="44"/>
              </w:rPr>
              <w:t>准则规定的某些信息确实不便披露的，公司可以不予披露，但应当详细说明未按要求进行披露的原因。</w:t>
            </w: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4</w:t>
      </w:r>
      <w:r>
        <w:rPr>
          <w:rFonts w:hint="eastAsia" w:asciiTheme="minorEastAsia" w:hAnsiTheme="minorEastAsia" w:eastAsiaTheme="minorEastAsia"/>
          <w:color w:val="000000" w:themeColor="text1"/>
          <w:szCs w:val="44"/>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董事会</w:t>
      </w:r>
      <w:r>
        <w:rPr>
          <w:rFonts w:asciiTheme="minorEastAsia" w:hAnsiTheme="minorEastAsia" w:eastAsiaTheme="minorEastAsia"/>
          <w:color w:val="000000" w:themeColor="text1"/>
          <w:szCs w:val="21"/>
          <w14:textFill>
            <w14:solidFill>
              <w14:schemeClr w14:val="tx1"/>
            </w14:solidFill>
          </w14:textFill>
        </w:rPr>
        <w:t>就非标准审计</w:t>
      </w:r>
      <w:r>
        <w:rPr>
          <w:rFonts w:hint="eastAsia" w:asciiTheme="minorEastAsia" w:hAnsiTheme="minorEastAsia" w:eastAsiaTheme="minorEastAsia"/>
          <w:color w:val="000000" w:themeColor="text1"/>
          <w:szCs w:val="21"/>
          <w14:textFill>
            <w14:solidFill>
              <w14:schemeClr w14:val="tx1"/>
            </w14:solidFill>
          </w14:textFill>
        </w:rPr>
        <w:t>意见</w:t>
      </w:r>
      <w:r>
        <w:rPr>
          <w:rFonts w:asciiTheme="minorEastAsia" w:hAnsiTheme="minorEastAsia" w:eastAsiaTheme="minorEastAsia"/>
          <w:color w:val="000000" w:themeColor="text1"/>
          <w:szCs w:val="21"/>
          <w14:textFill>
            <w14:solidFill>
              <w14:schemeClr w14:val="tx1"/>
            </w14:solidFill>
          </w14:textFill>
        </w:rPr>
        <w:t>的说明</w:t>
      </w:r>
      <w:r>
        <w:rPr>
          <w:rFonts w:hint="eastAsia" w:asciiTheme="minorEastAsia" w:hAnsiTheme="minorEastAsia" w:eastAsiaTheme="minorEastAsia"/>
          <w:color w:val="FF0000"/>
          <w:szCs w:val="21"/>
        </w:rPr>
        <w:t>（不涉及的可删除此段）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asciiTheme="minorEastAsia" w:hAnsiTheme="minorEastAsia" w:eastAsiaTheme="minorEastAsia"/>
                <w:i/>
                <w:color w:val="FF0000"/>
                <w:szCs w:val="21"/>
              </w:rPr>
              <w:t>说明中应当明确说明非标准审计意见涉及事项是否违反企业会计准则及其相关信息披露规范性规定</w:t>
            </w:r>
            <w:r>
              <w:rPr>
                <w:rFonts w:hint="eastAsia" w:asciiTheme="minorEastAsia" w:hAnsiTheme="minorEastAsia" w:eastAsiaTheme="minorEastAsia"/>
                <w:i/>
                <w:color w:val="FF0000"/>
                <w:szCs w:val="21"/>
              </w:rPr>
              <w:t>。</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61"/>
        <w:ind w:firstLine="401" w:firstLineChars="200"/>
        <w:rPr>
          <w:rFonts w:asciiTheme="minorEastAsia" w:hAnsiTheme="minorEastAsia" w:eastAsiaTheme="minorEastAsia"/>
          <w:b/>
          <w:color w:val="000000" w:themeColor="text1"/>
          <w:spacing w:val="-5"/>
          <w:sz w:val="21"/>
          <w:szCs w:val="21"/>
          <w14:textFill>
            <w14:solidFill>
              <w14:schemeClr w14:val="tx1"/>
            </w14:solidFill>
          </w14:textFill>
        </w:rPr>
      </w:pPr>
      <w:r>
        <w:rPr>
          <w:rFonts w:hint="eastAsia" w:asciiTheme="minorEastAsia" w:hAnsiTheme="minorEastAsia" w:eastAsiaTheme="minorEastAsia"/>
          <w:b/>
          <w:color w:val="000000" w:themeColor="text1"/>
          <w:spacing w:val="-5"/>
          <w:sz w:val="21"/>
          <w:szCs w:val="21"/>
          <w14:textFill>
            <w14:solidFill>
              <w14:schemeClr w14:val="tx1"/>
            </w14:solidFill>
          </w14:textFill>
        </w:rPr>
        <w:t>【重大风险提示表】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重大风险事项名称</w:t>
            </w:r>
          </w:p>
        </w:tc>
        <w:tc>
          <w:tcPr>
            <w:tcW w:w="5953" w:type="dxa"/>
            <w:shd w:val="pct10" w:color="auto" w:fill="auto"/>
            <w:vAlign w:val="center"/>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w:t>
            </w:r>
            <w:r>
              <w:rPr>
                <w:rFonts w:asciiTheme="minorEastAsia" w:hAnsiTheme="minorEastAsia" w:eastAsiaTheme="minorEastAsia"/>
                <w:b/>
                <w:color w:val="000000" w:themeColor="text1"/>
                <w:kern w:val="0"/>
                <w:sz w:val="22"/>
                <w14:textFill>
                  <w14:solidFill>
                    <w14:schemeClr w14:val="tx1"/>
                  </w14:solidFill>
                </w14:textFill>
              </w:rPr>
              <w:t>事项</w:t>
            </w:r>
            <w:r>
              <w:rPr>
                <w:rFonts w:hint="eastAsia" w:asciiTheme="minorEastAsia" w:hAnsiTheme="minorEastAsia" w:eastAsiaTheme="minorEastAsia"/>
                <w:b/>
                <w:color w:val="000000" w:themeColor="text1"/>
                <w:kern w:val="0"/>
                <w:sz w:val="22"/>
                <w14:textFill>
                  <w14:solidFill>
                    <w14:schemeClr w14:val="tx1"/>
                  </w14:solidFill>
                </w14:textFill>
              </w:rPr>
              <w:t>简要</w:t>
            </w:r>
            <w:r>
              <w:rPr>
                <w:rFonts w:asciiTheme="minorEastAsia" w:hAnsiTheme="minorEastAsia" w:eastAsiaTheme="minorEastAsia"/>
                <w:b/>
                <w:color w:val="000000" w:themeColor="text1"/>
                <w:kern w:val="0"/>
                <w:sz w:val="22"/>
                <w14:textFill>
                  <w14:solidFill>
                    <w14:schemeClr w14:val="tx1"/>
                  </w14:solidFill>
                </w14:textFill>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w:t>
            </w:r>
          </w:p>
        </w:tc>
        <w:tc>
          <w:tcPr>
            <w:tcW w:w="5953" w:type="dxa"/>
            <w:shd w:val="clear" w:color="auto" w:fill="auto"/>
            <w:vAlign w:val="center"/>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i/>
                <w:color w:val="FF0000"/>
                <w:szCs w:val="21"/>
              </w:rPr>
              <w:t>注：公司应当对报告期的风险因素进行分析，说明对公司的影响、已经或拟采取的措施及风险管理效果。公司对风险因素的描述应当围绕自身经营状况展开，遵循关联性原则和重要性原则，客观披露公司重大特有风险，重点说明与上一年度所提示重大风险的变化之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vAlign w:val="center"/>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2</w:t>
            </w:r>
          </w:p>
        </w:tc>
        <w:tc>
          <w:tcPr>
            <w:tcW w:w="5953" w:type="dxa"/>
            <w:shd w:val="clear" w:color="auto" w:fill="auto"/>
            <w:vAlign w:val="center"/>
          </w:tcPr>
          <w:p>
            <w:pPr>
              <w:ind w:left="181" w:leftChars="86"/>
              <w:rPr>
                <w:rFonts w:asciiTheme="minorEastAsia" w:hAnsiTheme="minorEastAsia" w:eastAsiaTheme="minorEastAsia"/>
                <w:color w:val="000000" w:themeColor="text1"/>
                <w:kern w:val="0"/>
                <w:szCs w:val="21"/>
                <w14:textFill>
                  <w14:solidFill>
                    <w14:schemeClr w14:val="tx1"/>
                  </w14:solidFill>
                </w14:textFill>
              </w:rPr>
            </w:pPr>
          </w:p>
          <w:p>
            <w:pPr>
              <w:ind w:left="181" w:leftChars="86"/>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（自动添行</w:t>
            </w:r>
            <w:r>
              <w:rPr>
                <w:rFonts w:asciiTheme="minorEastAsia" w:hAnsiTheme="minorEastAsia" w:eastAsiaTheme="minorEastAsia"/>
                <w:color w:val="000000" w:themeColor="text1"/>
                <w:kern w:val="0"/>
                <w:szCs w:val="21"/>
                <w14:textFill>
                  <w14:solidFill>
                    <w14:schemeClr w14:val="tx1"/>
                  </w14:solidFill>
                </w14:textFill>
              </w:rPr>
              <w:t>）</w:t>
            </w:r>
          </w:p>
        </w:tc>
        <w:tc>
          <w:tcPr>
            <w:tcW w:w="5953"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p>
          <w:p>
            <w:pPr>
              <w:ind w:left="181" w:leftChars="86"/>
              <w:rPr>
                <w:rFonts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本期</w:t>
            </w:r>
            <w:r>
              <w:rPr>
                <w:rFonts w:asciiTheme="minorEastAsia" w:hAnsiTheme="minorEastAsia" w:eastAsiaTheme="minorEastAsia"/>
                <w:color w:val="000000" w:themeColor="text1"/>
                <w:kern w:val="0"/>
                <w:szCs w:val="21"/>
                <w14:textFill>
                  <w14:solidFill>
                    <w14:schemeClr w14:val="tx1"/>
                  </w14:solidFill>
                </w14:textFill>
              </w:rPr>
              <w:t>重大风险是否发生重大变化：</w:t>
            </w:r>
          </w:p>
        </w:tc>
        <w:tc>
          <w:tcPr>
            <w:tcW w:w="5953" w:type="dxa"/>
            <w:shd w:val="clear" w:color="auto" w:fill="auto"/>
          </w:tcPr>
          <w:p>
            <w:pPr>
              <w:ind w:left="181" w:leftChars="86"/>
              <w:rPr>
                <w:rFonts w:asciiTheme="minorEastAsia" w:hAnsiTheme="minorEastAsia" w:eastAsiaTheme="minorEastAsia"/>
                <w:color w:val="000000" w:themeColor="text1"/>
                <w:kern w:val="0"/>
                <w:szCs w:val="21"/>
                <w14:textFill>
                  <w14:solidFill>
                    <w14:schemeClr w14:val="tx1"/>
                  </w14:solidFill>
                </w14:textFill>
              </w:rPr>
            </w:pPr>
            <w:r>
              <w:rPr>
                <w:rFonts w:hint="eastAsia" w:cs="方正书宋_GBK" w:asciiTheme="minorEastAsia" w:hAnsiTheme="minorEastAsia" w:eastAsiaTheme="minorEastAsia"/>
                <w:color w:val="FF0000"/>
                <w:kern w:val="0"/>
                <w:sz w:val="22"/>
                <w:lang w:val="zh-CN"/>
              </w:rPr>
              <w:t>（</w:t>
            </w:r>
            <w:r>
              <w:rPr>
                <w:rFonts w:hint="eastAsia" w:ascii="Times New Roman" w:hAnsi="Times New Roman"/>
                <w:color w:val="FF0000"/>
                <w:kern w:val="0"/>
                <w:sz w:val="22"/>
              </w:rPr>
              <w:t>本期</w:t>
            </w:r>
            <w:r>
              <w:rPr>
                <w:rFonts w:ascii="Times New Roman" w:hAnsi="Times New Roman"/>
                <w:color w:val="FF0000"/>
                <w:kern w:val="0"/>
                <w:sz w:val="22"/>
              </w:rPr>
              <w:t>重大风险</w:t>
            </w:r>
            <w:r>
              <w:rPr>
                <w:rFonts w:hint="eastAsia" w:ascii="Times New Roman" w:hAnsi="Times New Roman"/>
                <w:color w:val="FF0000"/>
                <w:kern w:val="0"/>
                <w:sz w:val="22"/>
              </w:rPr>
              <w:t>未</w:t>
            </w:r>
            <w:r>
              <w:rPr>
                <w:rFonts w:ascii="Times New Roman" w:hAnsi="Times New Roman"/>
                <w:color w:val="FF0000"/>
                <w:kern w:val="0"/>
                <w:sz w:val="22"/>
              </w:rPr>
              <w:t>发生重大变化</w:t>
            </w:r>
            <w:r>
              <w:rPr>
                <w:rFonts w:hint="eastAsia" w:cs="方正书宋_GBK" w:asciiTheme="minorEastAsia" w:hAnsiTheme="minorEastAsia" w:eastAsiaTheme="minorEastAsia"/>
                <w:color w:val="FF0000"/>
                <w:kern w:val="0"/>
                <w:sz w:val="22"/>
                <w:lang w:val="zh-CN"/>
              </w:rPr>
              <w:t>/重大</w:t>
            </w:r>
            <w:r>
              <w:rPr>
                <w:rFonts w:cs="方正书宋_GBK" w:asciiTheme="minorEastAsia" w:hAnsiTheme="minorEastAsia" w:eastAsiaTheme="minorEastAsia"/>
                <w:color w:val="FF0000"/>
                <w:kern w:val="0"/>
                <w:sz w:val="22"/>
                <w:lang w:val="zh-CN"/>
              </w:rPr>
              <w:t>变化情况说明，自行填写）</w:t>
            </w:r>
          </w:p>
        </w:tc>
      </w:tr>
    </w:tbl>
    <w:p>
      <w:pPr>
        <w:jc w:val="cente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释 义</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3828" w:type="dxa"/>
            <w:tcBorders>
              <w:top w:val="single" w:color="5B9BD5" w:themeColor="accent1" w:sz="4" w:space="0"/>
            </w:tcBorders>
          </w:tcPr>
          <w:p>
            <w:pPr>
              <w:ind w:left="181" w:leftChars="86"/>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r>
              <w:rPr>
                <w:rFonts w:asciiTheme="minorEastAsia" w:hAnsiTheme="minorEastAsia" w:eastAsiaTheme="minorEastAsia"/>
                <w:b/>
                <w:color w:val="000000" w:themeColor="text1"/>
                <w:kern w:val="0"/>
                <w:sz w:val="22"/>
                <w14:textFill>
                  <w14:solidFill>
                    <w14:schemeClr w14:val="tx1"/>
                  </w14:solidFill>
                </w14:textFill>
              </w:rPr>
              <w:t>项目</w:t>
            </w:r>
          </w:p>
        </w:tc>
        <w:tc>
          <w:tcPr>
            <w:tcW w:w="709" w:type="dxa"/>
            <w:tcBorders>
              <w:top w:val="single" w:color="5B9BD5" w:themeColor="accent1" w:sz="4" w:space="0"/>
              <w:right w:val="single" w:color="5B9BD5" w:themeColor="accent1" w:sz="4" w:space="0"/>
            </w:tcBorders>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p>
        </w:tc>
        <w:tc>
          <w:tcPr>
            <w:tcW w:w="5103" w:type="dxa"/>
            <w:tcBorders>
              <w:top w:val="single" w:color="5B9BD5" w:themeColor="accent1" w:sz="4" w:space="0"/>
              <w:left w:val="single" w:color="5B9BD5" w:themeColor="accent1" w:sz="4" w:space="0"/>
              <w:right w:val="single" w:color="5B9BD5" w:themeColor="accent1" w:sz="4" w:space="0"/>
            </w:tcBorders>
          </w:tcPr>
          <w:p>
            <w:pPr>
              <w:ind w:left="181" w:leftChars="86"/>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3828" w:type="dxa"/>
          </w:tcPr>
          <w:p>
            <w:pPr>
              <w:ind w:left="181" w:leftChars="86"/>
              <w:jc w:val="left"/>
              <w:rPr>
                <w:rFonts w:asciiTheme="minorEastAsia" w:hAnsiTheme="minorEastAsia" w:eastAsiaTheme="minorEastAsia"/>
                <w:color w:val="000000" w:themeColor="text1"/>
                <w:kern w:val="0"/>
                <w:sz w:val="22"/>
                <w14:textFill>
                  <w14:solidFill>
                    <w14:schemeClr w14:val="tx1"/>
                  </w14:solidFill>
                </w14:textFill>
              </w:rPr>
            </w:pPr>
          </w:p>
        </w:tc>
        <w:tc>
          <w:tcPr>
            <w:tcW w:w="709" w:type="dxa"/>
            <w:tcBorders>
              <w:right w:val="single" w:color="5B9BD5" w:themeColor="accent1" w:sz="4" w:space="0"/>
            </w:tcBorders>
          </w:tcPr>
          <w:p>
            <w:pPr>
              <w:ind w:left="181" w:leftChars="86"/>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left w:val="single" w:color="5B9BD5" w:themeColor="accent1" w:sz="4" w:space="0"/>
              <w:right w:val="single" w:color="5B9BD5" w:themeColor="accent1" w:sz="4" w:space="0"/>
            </w:tcBorders>
          </w:tcPr>
          <w:p>
            <w:pPr>
              <w:ind w:left="181" w:leftChars="86"/>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3828" w:type="dxa"/>
          </w:tcPr>
          <w:p>
            <w:pPr>
              <w:ind w:left="181" w:leftChars="86"/>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p>
        </w:tc>
        <w:tc>
          <w:tcPr>
            <w:tcW w:w="709" w:type="dxa"/>
            <w:tcBorders>
              <w:top w:val="single" w:color="5B9BD5" w:themeColor="accent1" w:sz="4" w:space="0"/>
              <w:right w:val="single" w:color="5B9BD5" w:themeColor="accent1" w:sz="4" w:space="0"/>
            </w:tcBorders>
          </w:tcPr>
          <w:p>
            <w:pPr>
              <w:ind w:left="181" w:leftChars="86"/>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rPr>
                <w:rFonts w:asciiTheme="minorEastAsia" w:hAnsiTheme="minorEastAsia" w:eastAsiaTheme="minorEastAsia"/>
                <w:color w:val="000000" w:themeColor="text1"/>
                <w:kern w:val="0"/>
                <w:sz w:val="22"/>
                <w14:textFill>
                  <w14:solidFill>
                    <w14:schemeClr w14:val="tx1"/>
                  </w14:solidFill>
                </w14:textFill>
              </w:rPr>
            </w:pPr>
          </w:p>
        </w:tc>
      </w:tr>
    </w:tbl>
    <w:p>
      <w:pPr>
        <w:pStyle w:val="43"/>
        <w:jc w:val="both"/>
        <w:rPr>
          <w:rFonts w:ascii="黑体" w:hAnsi="黑体" w:eastAsia="黑体"/>
          <w:sz w:val="36"/>
          <w:szCs w:val="36"/>
        </w:rPr>
        <w:sectPr>
          <w:headerReference r:id="rId3" w:type="default"/>
          <w:footerReference r:id="rId5" w:type="default"/>
          <w:headerReference r:id="rId4" w:type="even"/>
          <w:pgSz w:w="11906" w:h="16838"/>
          <w:pgMar w:top="1440" w:right="1841" w:bottom="1440" w:left="1800" w:header="851" w:footer="992" w:gutter="0"/>
          <w:cols w:space="425" w:num="1"/>
          <w:docGrid w:type="lines" w:linePitch="312" w:charSpace="0"/>
        </w:sectPr>
      </w:pPr>
    </w:p>
    <w:p>
      <w:pPr>
        <w:pStyle w:val="43"/>
        <w:rPr>
          <w:rFonts w:ascii="黑体" w:hAnsi="黑体" w:eastAsia="黑体"/>
          <w:sz w:val="36"/>
          <w:szCs w:val="36"/>
        </w:rPr>
      </w:pPr>
      <w:r>
        <w:rPr>
          <w:rFonts w:hint="eastAsia" w:ascii="黑体" w:hAnsi="黑体" w:eastAsia="黑体"/>
          <w:sz w:val="36"/>
          <w:szCs w:val="36"/>
        </w:rPr>
        <w:t>第二节</w:t>
      </w:r>
      <w:r>
        <w:rPr>
          <w:rFonts w:ascii="黑体" w:hAnsi="黑体" w:eastAsia="黑体"/>
          <w:sz w:val="36"/>
          <w:szCs w:val="36"/>
        </w:rPr>
        <w:t xml:space="preserve"> </w:t>
      </w:r>
      <w:r>
        <w:rPr>
          <w:rFonts w:hint="eastAsia" w:ascii="黑体" w:hAnsi="黑体" w:eastAsia="黑体"/>
          <w:sz w:val="36"/>
          <w:szCs w:val="36"/>
        </w:rPr>
        <w:t>公司概况</w:t>
      </w:r>
    </w:p>
    <w:p>
      <w:pPr>
        <w:pStyle w:val="4"/>
        <w:keepNext w:val="0"/>
        <w:keepLines w:val="0"/>
        <w:spacing w:line="60"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rPr>
        <w:t>基本</w:t>
      </w:r>
      <w:r>
        <w:rPr>
          <w:rFonts w:ascii="微软雅黑" w:hAnsi="微软雅黑" w:eastAsia="微软雅黑"/>
          <w:sz w:val="22"/>
          <w:szCs w:val="22"/>
        </w:rPr>
        <w:t>信息</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公司中文</w:t>
            </w:r>
            <w:r>
              <w:rPr>
                <w:rFonts w:asciiTheme="minorEastAsia" w:hAnsiTheme="minorEastAsia" w:eastAsiaTheme="minorEastAsia"/>
                <w:color w:val="000000" w:themeColor="text1"/>
                <w:kern w:val="0"/>
                <w:sz w:val="22"/>
                <w14:textFill>
                  <w14:solidFill>
                    <w14:schemeClr w14:val="tx1"/>
                  </w14:solidFill>
                </w14:textFill>
              </w:rPr>
              <w:t>全称</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restart"/>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英文名称</w:t>
            </w:r>
            <w:r>
              <w:rPr>
                <w:rFonts w:asciiTheme="minorEastAsia" w:hAnsiTheme="minorEastAsia" w:eastAsiaTheme="minorEastAsia"/>
                <w:color w:val="000000" w:themeColor="text1"/>
                <w:kern w:val="0"/>
                <w:sz w:val="22"/>
                <w14:textFill>
                  <w14:solidFill>
                    <w14:schemeClr w14:val="tx1"/>
                  </w14:solidFill>
                </w14:textFill>
              </w:rPr>
              <w:t>及缩写</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w:t>
            </w:r>
            <w:r>
              <w:rPr>
                <w:rFonts w:asciiTheme="minorEastAsia" w:hAnsiTheme="minorEastAsia" w:eastAsiaTheme="minorEastAsia"/>
                <w:color w:val="FF0000"/>
                <w:kern w:val="0"/>
                <w:sz w:val="22"/>
              </w:rPr>
              <w:t>全称，</w:t>
            </w:r>
            <w:r>
              <w:rPr>
                <w:rFonts w:hint="eastAsia" w:asciiTheme="minorEastAsia" w:hAnsiTheme="minorEastAsia" w:eastAsiaTheme="minorEastAsia"/>
                <w:color w:val="FF0000"/>
                <w:kern w:val="0"/>
                <w:sz w:val="22"/>
              </w:rPr>
              <w:t>填写</w:t>
            </w:r>
            <w:r>
              <w:rPr>
                <w:rFonts w:asciiTheme="minorEastAsia" w:hAnsiTheme="minorEastAsia" w:eastAsiaTheme="minorEastAsia"/>
                <w:color w:val="FF0000"/>
                <w:kern w:val="0"/>
                <w:sz w:val="22"/>
              </w:rPr>
              <w:t>示例：The National Equities Exchange and Quotations Co. Ltd.</w:t>
            </w:r>
            <w:r>
              <w:rPr>
                <w:rFonts w:hint="eastAsia" w:asciiTheme="minorEastAsia" w:hAnsiTheme="minorEastAsia" w:eastAsiaTheme="minorEastAsia"/>
                <w:color w:val="FF0000"/>
                <w:kern w:val="0"/>
                <w:sz w:val="22"/>
              </w:rPr>
              <w:t>如不适用请填写“-” 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continue"/>
          </w:tcPr>
          <w:p>
            <w:pPr>
              <w:rPr>
                <w:rFonts w:asciiTheme="minorEastAsia" w:hAnsiTheme="minorEastAsia" w:eastAsiaTheme="minorEastAsia"/>
                <w:color w:val="000000" w:themeColor="text1"/>
                <w:kern w:val="0"/>
                <w:sz w:val="22"/>
                <w14:textFill>
                  <w14:solidFill>
                    <w14:schemeClr w14:val="tx1"/>
                  </w14:solidFill>
                </w14:textFill>
              </w:rPr>
            </w:pPr>
          </w:p>
        </w:tc>
        <w:tc>
          <w:tcPr>
            <w:tcW w:w="7229" w:type="dxa"/>
          </w:tcPr>
          <w:p>
            <w:pPr>
              <w:rPr>
                <w:rFonts w:ascii="Times New Roman" w:hAnsi="Times New Roman"/>
                <w:color w:val="FF0000"/>
                <w:kern w:val="0"/>
                <w:sz w:val="22"/>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英文缩写</w:t>
            </w:r>
            <w:r>
              <w:rPr>
                <w:rFonts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填写示例</w:t>
            </w:r>
            <w:r>
              <w:rPr>
                <w:rFonts w:asciiTheme="minorEastAsia" w:hAnsiTheme="minorEastAsia" w:eastAsiaTheme="minorEastAsia"/>
                <w:color w:val="FF0000"/>
                <w:kern w:val="0"/>
                <w:sz w:val="22"/>
              </w:rPr>
              <w:t>：NEEQ</w:t>
            </w:r>
            <w:r>
              <w:rPr>
                <w:rFonts w:hint="eastAsia" w:asciiTheme="minorEastAsia" w:hAnsiTheme="minorEastAsia" w:eastAsiaTheme="minorEastAsia"/>
                <w:color w:val="FF0000"/>
                <w:kern w:val="0"/>
                <w:sz w:val="22"/>
              </w:rPr>
              <w:t xml:space="preserve"> 如不适用请填写“-” 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简称</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代码</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二、联系方式</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董事会秘书/信息披露事务负责人</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（请选择</w:t>
            </w:r>
            <w:r>
              <w:rPr>
                <w:rFonts w:ascii="Times New Roman" w:hAnsi="Times New Roman"/>
                <w:color w:val="FF0000"/>
                <w:kern w:val="0"/>
                <w:sz w:val="22"/>
              </w:rPr>
              <w:t>职务</w:t>
            </w:r>
            <w:r>
              <w:rPr>
                <w:rFonts w:hint="eastAsia" w:ascii="Times New Roman" w:hAnsi="Times New Roman"/>
                <w:color w:val="FF0000"/>
                <w:kern w:val="0"/>
                <w:sz w:val="22"/>
              </w:rPr>
              <w:t>，</w:t>
            </w:r>
            <w:r>
              <w:rPr>
                <w:rFonts w:ascii="Times New Roman" w:hAnsi="Times New Roman"/>
                <w:color w:val="FF0000"/>
                <w:kern w:val="0"/>
                <w:sz w:val="22"/>
              </w:rPr>
              <w:t>填写姓名</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联系地址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电话</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传真</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电子邮箱</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color w:val="FF0000"/>
              </w:rPr>
              <w:t>abc@neeq.com.cn</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w:t>
            </w:r>
            <w:r>
              <w:rPr>
                <w:rFonts w:ascii="Times New Roman" w:hAnsi="Times New Roman"/>
                <w:color w:val="FF0000"/>
                <w:kern w:val="0"/>
                <w:sz w:val="22"/>
              </w:rPr>
              <w:t>示例：</w:t>
            </w:r>
            <w:r>
              <w:fldChar w:fldCharType="begin"/>
            </w:r>
            <w:r>
              <w:instrText xml:space="preserve"> HYPERLINK "http://www.neeq.com.cn" </w:instrText>
            </w:r>
            <w:r>
              <w:fldChar w:fldCharType="separate"/>
            </w:r>
            <w:r>
              <w:rPr>
                <w:rFonts w:ascii="Times New Roman" w:hAnsi="Times New Roman"/>
                <w:color w:val="FF0000"/>
                <w:kern w:val="0"/>
                <w:sz w:val="22"/>
              </w:rPr>
              <w:t>www.neeq.com.cn</w:t>
            </w:r>
            <w:r>
              <w:rPr>
                <w:rFonts w:ascii="Times New Roman" w:hAnsi="Times New Roman"/>
                <w:color w:val="FF0000"/>
                <w:kern w:val="0"/>
                <w:sz w:val="22"/>
              </w:rPr>
              <w:fldChar w:fldCharType="end"/>
            </w:r>
            <w:r>
              <w:rPr>
                <w:rFonts w:hint="eastAsia" w:ascii="Times New Roman" w:hAnsi="Times New Roman"/>
                <w:color w:val="FF0000"/>
                <w:kern w:val="0"/>
                <w:sz w:val="22"/>
              </w:rPr>
              <w:t>。</w:t>
            </w:r>
            <w:r>
              <w:rPr>
                <w:rFonts w:ascii="Times New Roman" w:hAnsi="Times New Roman"/>
                <w:color w:val="FF0000"/>
                <w:kern w:val="0"/>
                <w:sz w:val="22"/>
              </w:rPr>
              <w:t>如无</w:t>
            </w:r>
            <w:r>
              <w:rPr>
                <w:rFonts w:hint="eastAsia" w:ascii="Times New Roman" w:hAnsi="Times New Roman"/>
                <w:color w:val="FF0000"/>
                <w:kern w:val="0"/>
                <w:sz w:val="22"/>
              </w:rPr>
              <w:t>，</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办公地址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邮政编码</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示例：100000</w:t>
            </w:r>
            <w:r>
              <w:rPr>
                <w:rFonts w:hint="eastAsia" w:ascii="Times New Roman" w:hAnsi="Times New Roman"/>
                <w:color w:val="FF0000"/>
                <w:kern w:val="0"/>
                <w:sz w:val="22"/>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公司指定信息披露平台的网址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www.neeq.com.cn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公司半年度报告备置地</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 xml:space="preserve">三、企业信息                                       </w:t>
      </w:r>
      <w:r>
        <w:rPr>
          <w:rFonts w:ascii="微软雅黑" w:hAnsi="微软雅黑" w:eastAsia="微软雅黑"/>
          <w:sz w:val="22"/>
          <w:szCs w:val="22"/>
        </w:rP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股票交易场所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成立时间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（请填写有限责任公司成立时间）（日历控件）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挂牌时间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分层情况</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（创新层/基础层）</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行业（挂牌公司管理型行业分类）</w:t>
            </w:r>
          </w:p>
        </w:tc>
        <w:tc>
          <w:tcPr>
            <w:tcW w:w="6095"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（门类）-（大类）-（中类）-（小类）</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制造业（C）-非金属矿物制品业（C30）-陶瓷制品制造（C307）-特种陶瓷制品制造（C3072））</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主要</w:t>
            </w:r>
            <w:r>
              <w:rPr>
                <w:rFonts w:ascii="Times New Roman" w:hAnsi="Times New Roman"/>
                <w:color w:val="000000" w:themeColor="text1"/>
                <w:kern w:val="0"/>
                <w:sz w:val="22"/>
                <w14:textFill>
                  <w14:solidFill>
                    <w14:schemeClr w14:val="tx1"/>
                  </w14:solidFill>
                </w14:textFill>
              </w:rPr>
              <w:t>业务</w:t>
            </w:r>
          </w:p>
        </w:tc>
        <w:tc>
          <w:tcPr>
            <w:tcW w:w="6095" w:type="dxa"/>
            <w:shd w:val="clear" w:color="auto" w:fill="auto"/>
          </w:tcPr>
          <w:p>
            <w:pPr>
              <w:rPr>
                <w:rFonts w:ascii="Times New Roman" w:hAnsi="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主要产品与服务项目</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普通股股票交易方式</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匚集合竞价交易   匚做市交易</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普通股总股本（股）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优先股总股本（股）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做市商数量</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控股股东</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w:t>
            </w:r>
            <w:r>
              <w:rPr>
                <w:rFonts w:hint="eastAsia" w:ascii="Times New Roman" w:hAnsi="Times New Roman"/>
                <w:color w:val="000000" w:themeColor="text1"/>
                <w:kern w:val="0"/>
                <w:sz w:val="22"/>
                <w14:textFill>
                  <w14:solidFill>
                    <w14:schemeClr w14:val="tx1"/>
                  </w14:solidFill>
                </w14:textFill>
              </w:rPr>
              <w:t>控股股东</w:t>
            </w:r>
            <w:r>
              <w:rPr>
                <w:rFonts w:hint="eastAsia" w:ascii="Times New Roman" w:hAnsi="Times New Roman"/>
                <w:color w:val="FF0000"/>
                <w:kern w:val="0"/>
                <w:sz w:val="22"/>
              </w:rPr>
              <w:t>为X/无控股股东）</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实际控制人及其一致行动人</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（实际控制人为X，一致行动人为X/实际控制人为X，无一致行动人/无实际控制人）</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四、注册情况</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545"/>
        <w:gridCol w:w="4960"/>
        <w:gridCol w:w="113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项目</w:t>
            </w:r>
          </w:p>
        </w:tc>
        <w:tc>
          <w:tcPr>
            <w:tcW w:w="4960"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内容</w:t>
            </w:r>
          </w:p>
        </w:tc>
        <w:tc>
          <w:tcPr>
            <w:tcW w:w="1135"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报告期内是否变更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统一社会信用代码</w:t>
            </w:r>
          </w:p>
        </w:tc>
        <w:tc>
          <w:tcPr>
            <w:tcW w:w="4960"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（请填写</w:t>
            </w:r>
            <w:r>
              <w:rPr>
                <w:rFonts w:ascii="Times New Roman" w:hAnsi="Times New Roman"/>
                <w:color w:val="FF0000"/>
                <w:kern w:val="0"/>
                <w:sz w:val="22"/>
              </w:rPr>
              <w:t>18</w:t>
            </w:r>
            <w:r>
              <w:rPr>
                <w:rFonts w:hint="eastAsia" w:ascii="Times New Roman" w:hAnsi="Times New Roman"/>
                <w:color w:val="FF0000"/>
                <w:kern w:val="0"/>
                <w:sz w:val="22"/>
              </w:rPr>
              <w:t>位统一社会信用代码。填写示例：</w:t>
            </w:r>
            <w:r>
              <w:rPr>
                <w:rFonts w:ascii="Times New Roman" w:hAnsi="Times New Roman"/>
                <w:color w:val="FF0000"/>
                <w:kern w:val="0"/>
                <w:sz w:val="22"/>
              </w:rPr>
              <w:t>911101168*****294H</w:t>
            </w:r>
            <w:r>
              <w:rPr>
                <w:rFonts w:hint="eastAsia" w:ascii="Times New Roman" w:hAnsi="Times New Roman"/>
                <w:color w:val="FF0000"/>
                <w:kern w:val="0"/>
                <w:sz w:val="22"/>
              </w:rPr>
              <w:t>）</w:t>
            </w:r>
          </w:p>
        </w:tc>
        <w:tc>
          <w:tcPr>
            <w:tcW w:w="1135"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注册地址</w:t>
            </w:r>
          </w:p>
        </w:tc>
        <w:tc>
          <w:tcPr>
            <w:tcW w:w="4960"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（1级）省</w:t>
            </w:r>
            <w:r>
              <w:rPr>
                <w:rFonts w:ascii="Times New Roman" w:hAnsi="Times New Roman"/>
                <w:color w:val="FF0000"/>
                <w:kern w:val="0"/>
                <w:sz w:val="22"/>
              </w:rPr>
              <w:t>/</w:t>
            </w:r>
            <w:r>
              <w:rPr>
                <w:rFonts w:hint="eastAsia" w:ascii="Times New Roman" w:hAnsi="Times New Roman"/>
                <w:color w:val="FF0000"/>
                <w:kern w:val="0"/>
                <w:sz w:val="22"/>
              </w:rPr>
              <w:t>市</w:t>
            </w:r>
            <w:r>
              <w:rPr>
                <w:rFonts w:ascii="Times New Roman" w:hAnsi="Times New Roman"/>
                <w:color w:val="FF0000"/>
                <w:kern w:val="0"/>
                <w:sz w:val="22"/>
              </w:rPr>
              <w:t>/</w:t>
            </w:r>
            <w:r>
              <w:rPr>
                <w:rFonts w:hint="eastAsia" w:ascii="Times New Roman" w:hAnsi="Times New Roman"/>
                <w:color w:val="FF0000"/>
                <w:kern w:val="0"/>
                <w:sz w:val="22"/>
              </w:rPr>
              <w:t>自治区</w:t>
            </w:r>
            <w:r>
              <w:rPr>
                <w:rFonts w:ascii="Times New Roman" w:hAnsi="Times New Roman"/>
                <w:color w:val="FF0000"/>
                <w:kern w:val="0"/>
                <w:sz w:val="22"/>
              </w:rPr>
              <w:t>/</w:t>
            </w:r>
            <w:r>
              <w:rPr>
                <w:rFonts w:hint="eastAsia" w:ascii="Times New Roman" w:hAnsi="Times New Roman"/>
                <w:color w:val="FF0000"/>
                <w:kern w:val="0"/>
                <w:sz w:val="22"/>
              </w:rPr>
              <w:t>其他（自行填写）（2级）市</w:t>
            </w:r>
            <w:r>
              <w:rPr>
                <w:rFonts w:ascii="Times New Roman" w:hAnsi="Times New Roman"/>
                <w:color w:val="FF0000"/>
                <w:kern w:val="0"/>
                <w:sz w:val="22"/>
              </w:rPr>
              <w:t>/</w:t>
            </w:r>
            <w:r>
              <w:rPr>
                <w:rFonts w:hint="eastAsia" w:ascii="Times New Roman" w:hAnsi="Times New Roman"/>
                <w:color w:val="FF0000"/>
                <w:kern w:val="0"/>
                <w:sz w:val="22"/>
              </w:rPr>
              <w:t>地区/区</w:t>
            </w:r>
            <w:r>
              <w:rPr>
                <w:rFonts w:ascii="Times New Roman" w:hAnsi="Times New Roman"/>
                <w:color w:val="FF0000"/>
                <w:kern w:val="0"/>
                <w:sz w:val="22"/>
              </w:rPr>
              <w:t>/</w:t>
            </w:r>
            <w:r>
              <w:rPr>
                <w:rFonts w:hint="eastAsia" w:ascii="Times New Roman" w:hAnsi="Times New Roman"/>
                <w:color w:val="FF0000"/>
                <w:kern w:val="0"/>
                <w:sz w:val="22"/>
              </w:rPr>
              <w:t>县</w:t>
            </w:r>
            <w:r>
              <w:rPr>
                <w:rFonts w:ascii="Times New Roman" w:hAnsi="Times New Roman"/>
                <w:color w:val="FF0000"/>
                <w:kern w:val="0"/>
                <w:sz w:val="22"/>
              </w:rPr>
              <w:t>/</w:t>
            </w:r>
            <w:r>
              <w:rPr>
                <w:rFonts w:hint="eastAsia" w:ascii="Times New Roman" w:hAnsi="Times New Roman"/>
                <w:color w:val="FF0000"/>
                <w:kern w:val="0"/>
                <w:sz w:val="22"/>
              </w:rPr>
              <w:t>自治州</w:t>
            </w:r>
            <w:r>
              <w:rPr>
                <w:rFonts w:ascii="Times New Roman" w:hAnsi="Times New Roman"/>
                <w:color w:val="FF0000"/>
                <w:kern w:val="0"/>
                <w:sz w:val="22"/>
              </w:rPr>
              <w:t>/</w:t>
            </w:r>
            <w:r>
              <w:rPr>
                <w:rFonts w:hint="eastAsia" w:ascii="Times New Roman" w:hAnsi="Times New Roman"/>
                <w:color w:val="FF0000"/>
                <w:kern w:val="0"/>
                <w:sz w:val="22"/>
              </w:rPr>
              <w:t>盟/其他（自行填写）（3级）街道/区/县/旗/其他</w:t>
            </w:r>
            <w:r>
              <w:rPr>
                <w:rFonts w:ascii="Times New Roman" w:hAnsi="Times New Roman"/>
                <w:color w:val="FF0000"/>
                <w:kern w:val="0"/>
                <w:sz w:val="22"/>
              </w:rPr>
              <w:t>（</w:t>
            </w:r>
            <w:r>
              <w:rPr>
                <w:rFonts w:hint="eastAsia" w:ascii="Times New Roman" w:hAnsi="Times New Roman"/>
                <w:color w:val="FF0000"/>
                <w:kern w:val="0"/>
                <w:sz w:val="22"/>
              </w:rPr>
              <w:t>自行</w:t>
            </w:r>
            <w:r>
              <w:rPr>
                <w:rFonts w:ascii="Times New Roman" w:hAnsi="Times New Roman"/>
                <w:color w:val="FF0000"/>
                <w:kern w:val="0"/>
                <w:sz w:val="22"/>
              </w:rPr>
              <w:t>填写）</w:t>
            </w:r>
            <w:r>
              <w:rPr>
                <w:rFonts w:hint="eastAsia" w:ascii="Times New Roman" w:hAnsi="Times New Roman"/>
                <w:color w:val="FF0000"/>
                <w:kern w:val="0"/>
                <w:sz w:val="22"/>
              </w:rPr>
              <w:t>（4级）</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c>
          <w:tcPr>
            <w:tcW w:w="1135"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注册资本(元)</w:t>
            </w:r>
          </w:p>
        </w:tc>
        <w:tc>
          <w:tcPr>
            <w:tcW w:w="4960" w:type="dxa"/>
            <w:shd w:val="clear" w:color="auto" w:fill="auto"/>
          </w:tcPr>
          <w:p>
            <w:pPr>
              <w:rPr>
                <w:rFonts w:ascii="Times New Roman" w:hAnsi="Times New Roman"/>
                <w:color w:val="000000" w:themeColor="text1"/>
                <w:kern w:val="0"/>
                <w:sz w:val="22"/>
                <w14:textFill>
                  <w14:solidFill>
                    <w14:schemeClr w14:val="tx1"/>
                  </w14:solidFill>
                </w14:textFill>
              </w:rPr>
            </w:pPr>
          </w:p>
        </w:tc>
        <w:tc>
          <w:tcPr>
            <w:tcW w:w="1135"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9640" w:type="dxa"/>
            <w:gridSpan w:val="3"/>
            <w:shd w:val="clear" w:color="auto" w:fill="auto"/>
          </w:tcPr>
          <w:p>
            <w:pPr>
              <w:tabs>
                <w:tab w:val="left" w:pos="5140"/>
              </w:tabs>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eastAsiaTheme="minorEastAsia"/>
                <w:i/>
                <w:color w:val="FF0000"/>
                <w:sz w:val="22"/>
              </w:rPr>
              <w:t>注册资本与总股本不一致的</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请进行说明。</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五</w:t>
      </w:r>
      <w:r>
        <w:rPr>
          <w:rFonts w:ascii="微软雅黑" w:hAnsi="微软雅黑" w:eastAsia="微软雅黑"/>
          <w:sz w:val="22"/>
          <w:szCs w:val="22"/>
        </w:rPr>
        <w:t>、中介机构</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1453"/>
        <w:gridCol w:w="1453"/>
        <w:gridCol w:w="1453"/>
        <w:gridCol w:w="14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kern w:val="0"/>
                <w:sz w:val="22"/>
              </w:rPr>
              <w:t>主办券商</w:t>
            </w:r>
            <w:r>
              <w:rPr>
                <w:rFonts w:hint="eastAsia" w:asciiTheme="minorEastAsia" w:hAnsiTheme="minorEastAsia" w:eastAsiaTheme="minorEastAsia"/>
                <w:kern w:val="0"/>
                <w:sz w:val="22"/>
              </w:rPr>
              <w:t>（报告期内）</w:t>
            </w:r>
          </w:p>
        </w:tc>
        <w:tc>
          <w:tcPr>
            <w:tcW w:w="5812" w:type="dxa"/>
            <w:gridSpan w:val="4"/>
          </w:tcPr>
          <w:p>
            <w:pPr>
              <w:rPr>
                <w:rFonts w:asciiTheme="minorEastAsia" w:hAnsiTheme="minorEastAsia" w:eastAsiaTheme="minorEastAsia"/>
                <w:color w:val="FF0000"/>
                <w:kern w:val="0"/>
                <w:sz w:val="22"/>
              </w:rPr>
            </w:pPr>
            <w:r>
              <w:rPr>
                <w:rFonts w:hint="eastAsia" w:ascii="宋体" w:hAnsi="宋体"/>
                <w:color w:val="FF0000"/>
                <w:kern w:val="0"/>
                <w:sz w:val="22"/>
              </w:rPr>
              <w:t>(请填写报告期内履行持续督导职责的主办券商简称)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w:t>
            </w:r>
            <w:r>
              <w:rPr>
                <w:rFonts w:asciiTheme="minorEastAsia" w:hAnsiTheme="minorEastAsia" w:eastAsiaTheme="minorEastAsia"/>
                <w:color w:val="000000" w:themeColor="text1"/>
                <w:kern w:val="0"/>
                <w:sz w:val="22"/>
                <w14:textFill>
                  <w14:solidFill>
                    <w14:schemeClr w14:val="tx1"/>
                  </w14:solidFill>
                </w14:textFill>
              </w:rPr>
              <w:t>办公地址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报告</w:t>
            </w:r>
            <w:r>
              <w:rPr>
                <w:rFonts w:asciiTheme="minorEastAsia" w:hAnsiTheme="minorEastAsia" w:eastAsiaTheme="minorEastAsia"/>
                <w:color w:val="000000" w:themeColor="text1"/>
                <w:kern w:val="0"/>
                <w:sz w:val="22"/>
                <w14:textFill>
                  <w14:solidFill>
                    <w14:schemeClr w14:val="tx1"/>
                  </w14:solidFill>
                </w14:textFill>
              </w:rPr>
              <w:t>期内主办券商是否发生变化</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宋体" w:hAnsi="宋体"/>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主办券商</w:t>
            </w:r>
            <w:r>
              <w:rPr>
                <w:rFonts w:hint="eastAsia" w:asciiTheme="minorEastAsia" w:hAnsiTheme="minorEastAsia" w:eastAsiaTheme="minorEastAsia"/>
                <w:color w:val="000000" w:themeColor="text1"/>
                <w:kern w:val="0"/>
                <w:sz w:val="22"/>
                <w14:textFill>
                  <w14:solidFill>
                    <w14:schemeClr w14:val="tx1"/>
                  </w14:solidFill>
                </w14:textFill>
              </w:rPr>
              <w:t>（报告披露</w:t>
            </w:r>
            <w:r>
              <w:rPr>
                <w:rFonts w:asciiTheme="minorEastAsia" w:hAnsiTheme="minorEastAsia" w:eastAsiaTheme="minorEastAsia"/>
                <w:color w:val="000000" w:themeColor="text1"/>
                <w:kern w:val="0"/>
                <w:sz w:val="22"/>
                <w14:textFill>
                  <w14:solidFill>
                    <w14:schemeClr w14:val="tx1"/>
                  </w14:solidFill>
                </w14:textFill>
              </w:rPr>
              <w:t>日</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5812" w:type="dxa"/>
            <w:gridSpan w:val="4"/>
          </w:tcPr>
          <w:p>
            <w:pPr>
              <w:rPr>
                <w:rFonts w:asciiTheme="minorEastAsia" w:hAnsiTheme="minorEastAsia" w:eastAsiaTheme="minorEastAsia"/>
                <w:color w:val="FF0000"/>
                <w:kern w:val="0"/>
                <w:sz w:val="22"/>
              </w:rPr>
            </w:pPr>
            <w:r>
              <w:rPr>
                <w:rFonts w:hint="eastAsia" w:ascii="宋体" w:hAnsi="宋体"/>
                <w:color w:val="FF0000"/>
                <w:kern w:val="0"/>
                <w:sz w:val="22"/>
              </w:rPr>
              <w:t>(请填写报告披露日履行持续督导职责的主办券商简称)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会计师事务所</w:t>
            </w:r>
          </w:p>
        </w:tc>
        <w:tc>
          <w:tcPr>
            <w:tcW w:w="5812" w:type="dxa"/>
            <w:gridSpan w:val="4"/>
          </w:tcPr>
          <w:p>
            <w:pPr>
              <w:rPr>
                <w:rFonts w:asciiTheme="minorEastAsia" w:hAnsiTheme="minorEastAsia" w:eastAsiaTheme="minorEastAsia"/>
                <w:color w:val="FF0000"/>
                <w:kern w:val="0"/>
                <w:sz w:val="22"/>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w:t>
            </w:r>
            <w:r>
              <w:rPr>
                <w:rFonts w:ascii="宋体" w:hAnsi="宋体"/>
                <w:color w:val="FF0000"/>
                <w:kern w:val="0"/>
                <w:sz w:val="22"/>
              </w:rPr>
              <w:t>合伙</w:t>
            </w:r>
            <w:r>
              <w:rPr>
                <w:rFonts w:hint="eastAsia" w:ascii="宋体" w:hAnsi="宋体"/>
                <w:color w:val="FF0000"/>
                <w:kern w:val="0"/>
                <w:sz w:val="22"/>
              </w:rPr>
              <w:t>）。如</w:t>
            </w:r>
            <w:r>
              <w:rPr>
                <w:rFonts w:ascii="宋体" w:hAnsi="宋体"/>
                <w:color w:val="FF0000"/>
                <w:kern w:val="0"/>
                <w:sz w:val="22"/>
              </w:rPr>
              <w:t>无，请删除行</w:t>
            </w:r>
            <w:r>
              <w:rPr>
                <w:rFonts w:hint="eastAsia" w:ascii="宋体" w:hAnsi="宋体"/>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vMerge w:val="restart"/>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签字注册会计师</w:t>
            </w:r>
            <w:r>
              <w:rPr>
                <w:rFonts w:asciiTheme="minorEastAsia" w:hAnsiTheme="minorEastAsia" w:eastAsiaTheme="minorEastAsia"/>
                <w:color w:val="000000" w:themeColor="text1"/>
                <w:kern w:val="0"/>
                <w:sz w:val="22"/>
                <w14:textFill>
                  <w14:solidFill>
                    <w14:schemeClr w14:val="tx1"/>
                  </w14:solidFill>
                </w14:textFill>
              </w:rPr>
              <w:t>姓名</w:t>
            </w:r>
            <w:r>
              <w:rPr>
                <w:rFonts w:hint="eastAsia" w:asciiTheme="minorEastAsia" w:hAnsiTheme="minorEastAsia" w:eastAsiaTheme="minorEastAsia"/>
                <w:color w:val="000000" w:themeColor="text1"/>
                <w:kern w:val="0"/>
                <w:sz w:val="22"/>
                <w14:textFill>
                  <w14:solidFill>
                    <w14:schemeClr w14:val="tx1"/>
                  </w14:solidFill>
                </w14:textFill>
              </w:rPr>
              <w:t>及连续签字年限</w:t>
            </w:r>
          </w:p>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（如无，请删除行。）</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（姓名1）</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（姓名2）</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（姓名3）</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（姓名4）</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vMerge w:val="continue"/>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w:t>
            </w:r>
            <w:r>
              <w:rPr>
                <w:rFonts w:asciiTheme="minorEastAsia" w:hAnsiTheme="minorEastAsia" w:eastAsiaTheme="minorEastAsia"/>
                <w:color w:val="000000" w:themeColor="text1"/>
                <w:kern w:val="0"/>
                <w:sz w:val="22"/>
                <w14:textFill>
                  <w14:solidFill>
                    <w14:schemeClr w14:val="tx1"/>
                  </w14:solidFill>
                </w14:textFill>
              </w:rPr>
              <w:t>事务所办公地址</w:t>
            </w:r>
          </w:p>
        </w:tc>
        <w:tc>
          <w:tcPr>
            <w:tcW w:w="5812" w:type="dxa"/>
            <w:gridSpan w:val="4"/>
          </w:tcPr>
          <w:p>
            <w:pPr>
              <w:rPr>
                <w:rFonts w:asciiTheme="minorEastAsia" w:hAnsiTheme="minorEastAsia" w:eastAsiaTheme="minorEastAsia"/>
                <w:color w:val="FF0000"/>
                <w:kern w:val="0"/>
                <w:sz w:val="22"/>
              </w:rPr>
            </w:pPr>
            <w:r>
              <w:rPr>
                <w:rFonts w:hint="eastAsia" w:ascii="宋体" w:hAnsi="宋体"/>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r>
              <w:rPr>
                <w:rFonts w:hint="eastAsia" w:ascii="宋体" w:hAnsi="宋体"/>
                <w:color w:val="FF0000"/>
                <w:kern w:val="0"/>
                <w:sz w:val="22"/>
              </w:rPr>
              <w:t>如无，请删除行。</w:t>
            </w:r>
            <w:r>
              <w:rPr>
                <w:rFonts w:hint="eastAsia" w:ascii="Times New Roman" w:hAnsi="Times New Roman"/>
                <w:color w:val="FF0000"/>
                <w:kern w:val="0"/>
                <w:sz w:val="22"/>
                <w:szCs w:val="21"/>
              </w:rPr>
              <w:t>）</w:t>
            </w:r>
          </w:p>
        </w:tc>
      </w:tr>
    </w:tbl>
    <w:p>
      <w:pPr>
        <w:pStyle w:val="4"/>
        <w:keepNext w:val="0"/>
        <w:keepLines w:val="0"/>
        <w:spacing w:line="415" w:lineRule="auto"/>
        <w:rPr>
          <w:rFonts w:ascii="微软雅黑" w:hAnsi="微软雅黑" w:eastAsia="微软雅黑"/>
          <w:sz w:val="22"/>
          <w:szCs w:val="22"/>
          <w:lang w:val="en-US"/>
        </w:rPr>
      </w:pPr>
      <w:r>
        <w:rPr>
          <w:rFonts w:hint="eastAsia" w:ascii="微软雅黑" w:hAnsi="微软雅黑" w:eastAsia="微软雅黑"/>
          <w:sz w:val="22"/>
          <w:szCs w:val="22"/>
        </w:rPr>
        <w:t>六、</w:t>
      </w:r>
      <w:r>
        <w:rPr>
          <w:rFonts w:ascii="微软雅黑" w:hAnsi="微软雅黑" w:eastAsia="微软雅黑"/>
          <w:sz w:val="22"/>
          <w:szCs w:val="22"/>
        </w:rPr>
        <w:t>自愿披露</w:t>
      </w:r>
    </w:p>
    <w:p>
      <w:pPr>
        <w:rPr>
          <w:rFonts w:ascii="微软雅黑" w:hAnsi="微软雅黑" w:eastAsia="微软雅黑"/>
          <w:sz w:val="22"/>
        </w:rPr>
      </w:pPr>
      <w:r>
        <w:rPr>
          <w:rFonts w:hint="eastAsia"/>
        </w:rPr>
        <w:t>□  适用  □  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注：公司可以根据实际情况选择与企业经营关联性强、体现企业核心竞争力的信息进行披露，如企业拥有的专利技术、重要的合作伙伴、已完成的业务案例等。</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七</w:t>
      </w:r>
      <w:r>
        <w:rPr>
          <w:rFonts w:ascii="微软雅黑" w:hAnsi="微软雅黑" w:eastAsia="微软雅黑"/>
          <w:sz w:val="22"/>
          <w:szCs w:val="22"/>
        </w:rPr>
        <w:t>、</w:t>
      </w:r>
      <w:r>
        <w:rPr>
          <w:rFonts w:hint="eastAsia" w:ascii="微软雅黑" w:hAnsi="微软雅黑" w:eastAsia="微软雅黑"/>
          <w:sz w:val="22"/>
          <w:szCs w:val="22"/>
        </w:rPr>
        <w:t>报告期</w:t>
      </w:r>
      <w:r>
        <w:rPr>
          <w:rFonts w:ascii="微软雅黑" w:hAnsi="微软雅黑" w:eastAsia="微软雅黑"/>
          <w:sz w:val="22"/>
          <w:szCs w:val="22"/>
        </w:rPr>
        <w:t>后更新情况</w:t>
      </w:r>
    </w:p>
    <w:p>
      <w:pPr>
        <w:rPr>
          <w:rFonts w:ascii="微软雅黑" w:hAnsi="微软雅黑" w:eastAsia="微软雅黑"/>
          <w:b/>
          <w:sz w:val="22"/>
        </w:rPr>
      </w:pPr>
      <w:r>
        <w:rPr>
          <w:rFonts w:hint="eastAsia"/>
        </w:rPr>
        <w:t>□  适用  □  不适用</w:t>
      </w:r>
    </w:p>
    <w:tbl>
      <w:tblPr>
        <w:tblStyle w:val="46"/>
        <w:tblW w:w="965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3" w:hRule="atLeast"/>
        </w:trPr>
        <w:tc>
          <w:tcPr>
            <w:tcW w:w="9651" w:type="dxa"/>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除</w:t>
            </w:r>
            <w:r>
              <w:rPr>
                <w:rFonts w:asciiTheme="minorEastAsia" w:hAnsiTheme="minorEastAsia" w:eastAsiaTheme="minorEastAsia"/>
                <w:i/>
                <w:color w:val="FF0000"/>
                <w:sz w:val="22"/>
              </w:rPr>
              <w:t>特殊标注的项目外，</w:t>
            </w:r>
            <w:r>
              <w:rPr>
                <w:rFonts w:hint="eastAsia" w:asciiTheme="minorEastAsia" w:hAnsiTheme="minorEastAsia" w:eastAsiaTheme="minorEastAsia"/>
                <w:i/>
                <w:color w:val="FF0000"/>
                <w:sz w:val="22"/>
              </w:rPr>
              <w:t>本节第一项</w:t>
            </w:r>
            <w:r>
              <w:rPr>
                <w:rFonts w:asciiTheme="minorEastAsia" w:hAnsiTheme="minorEastAsia" w:eastAsiaTheme="minorEastAsia"/>
                <w:i/>
                <w:color w:val="FF0000"/>
                <w:sz w:val="22"/>
              </w:rPr>
              <w:t>至第</w:t>
            </w:r>
            <w:r>
              <w:rPr>
                <w:rFonts w:hint="eastAsia" w:asciiTheme="minorEastAsia" w:hAnsiTheme="minorEastAsia" w:eastAsiaTheme="minorEastAsia"/>
                <w:i/>
                <w:color w:val="FF0000"/>
                <w:sz w:val="22"/>
              </w:rPr>
              <w:t>六</w:t>
            </w:r>
            <w:r>
              <w:rPr>
                <w:rFonts w:asciiTheme="minorEastAsia" w:hAnsiTheme="minorEastAsia" w:eastAsiaTheme="minorEastAsia"/>
                <w:i/>
                <w:color w:val="FF0000"/>
                <w:sz w:val="22"/>
              </w:rPr>
              <w:t>项应按照报告期末情况填列，</w:t>
            </w:r>
            <w:r>
              <w:rPr>
                <w:rFonts w:hint="eastAsia" w:asciiTheme="minorEastAsia" w:hAnsiTheme="minorEastAsia" w:eastAsiaTheme="minorEastAsia"/>
                <w:i/>
                <w:color w:val="FF0000"/>
                <w:sz w:val="22"/>
              </w:rPr>
              <w:t>如以上</w:t>
            </w:r>
            <w:r>
              <w:rPr>
                <w:rFonts w:asciiTheme="minorEastAsia" w:hAnsiTheme="minorEastAsia" w:eastAsiaTheme="minorEastAsia"/>
                <w:i/>
                <w:color w:val="FF0000"/>
                <w:sz w:val="22"/>
              </w:rPr>
              <w:t>事项在报告期末至</w:t>
            </w:r>
            <w:r>
              <w:rPr>
                <w:rFonts w:hint="eastAsia" w:asciiTheme="minorEastAsia" w:hAnsiTheme="minorEastAsia" w:eastAsiaTheme="minorEastAsia"/>
                <w:i/>
                <w:color w:val="FF0000"/>
                <w:sz w:val="22"/>
              </w:rPr>
              <w:t>半年报</w:t>
            </w:r>
            <w:r>
              <w:rPr>
                <w:rFonts w:asciiTheme="minorEastAsia" w:hAnsiTheme="minorEastAsia" w:eastAsiaTheme="minorEastAsia"/>
                <w:i/>
                <w:color w:val="FF0000"/>
                <w:sz w:val="22"/>
              </w:rPr>
              <w:t>披露日间发生变更，请进行说明。</w:t>
            </w:r>
            <w:r>
              <w:rPr>
                <w:rFonts w:hint="eastAsia" w:asciiTheme="minorEastAsia" w:hAnsiTheme="minorEastAsia" w:eastAsiaTheme="minorEastAsia"/>
                <w:i/>
                <w:color w:val="000000" w:themeColor="text1"/>
                <w:sz w:val="22"/>
                <w14:textFill>
                  <w14:solidFill>
                    <w14:schemeClr w14:val="tx1"/>
                  </w14:solidFill>
                </w14:textFill>
              </w:rPr>
              <w:t xml:space="preserve"> </w:t>
            </w:r>
          </w:p>
        </w:tc>
      </w:tr>
    </w:tbl>
    <w:p>
      <w:pPr>
        <w:rPr>
          <w:rFonts w:ascii="微软雅黑" w:hAnsi="微软雅黑" w:eastAsia="微软雅黑"/>
          <w:color w:val="000000" w:themeColor="text1"/>
          <w:sz w:val="22"/>
          <w:szCs w:val="44"/>
          <w14:textFill>
            <w14:solidFill>
              <w14:schemeClr w14:val="tx1"/>
            </w14:solidFill>
          </w14:textFill>
        </w:rPr>
      </w:pPr>
      <w:r>
        <w:rPr>
          <w:rFonts w:ascii="微软雅黑" w:hAnsi="微软雅黑" w:eastAsia="微软雅黑"/>
          <w:color w:val="000000" w:themeColor="text1"/>
          <w:sz w:val="22"/>
          <w:szCs w:val="44"/>
          <w14:textFill>
            <w14:solidFill>
              <w14:schemeClr w14:val="tx1"/>
            </w14:solidFill>
          </w14:textFill>
        </w:rPr>
        <w:br w:type="page"/>
      </w:r>
    </w:p>
    <w:p>
      <w:pPr>
        <w:pStyle w:val="35"/>
        <w:rPr>
          <w:rFonts w:ascii="黑体" w:hAnsi="黑体" w:eastAsia="黑体"/>
          <w:color w:val="000000" w:themeColor="text1"/>
          <w:sz w:val="36"/>
          <w:szCs w:val="36"/>
          <w14:textFill>
            <w14:solidFill>
              <w14:schemeClr w14:val="tx1"/>
            </w14:solidFill>
          </w14:textFill>
        </w:rPr>
        <w:sectPr>
          <w:pgSz w:w="11906" w:h="16838"/>
          <w:pgMar w:top="1440" w:right="1841" w:bottom="1440" w:left="1800" w:header="851" w:footer="992" w:gutter="0"/>
          <w:cols w:space="425" w:num="1"/>
          <w:docGrid w:type="lines" w:linePitch="312" w:charSpace="0"/>
        </w:sectPr>
      </w:pPr>
    </w:p>
    <w:p>
      <w:pPr>
        <w:pStyle w:val="35"/>
        <w:rPr>
          <w:rFonts w:ascii="黑体" w:hAnsi="黑体" w:eastAsia="黑体"/>
          <w:sz w:val="36"/>
          <w:szCs w:val="36"/>
        </w:rPr>
      </w:pPr>
      <w:r>
        <w:rPr>
          <w:rFonts w:hint="eastAsia" w:ascii="黑体" w:hAnsi="黑体" w:eastAsia="黑体"/>
          <w:sz w:val="36"/>
          <w:szCs w:val="36"/>
        </w:rPr>
        <w:t>第三节 会计数据和经营情况</w:t>
      </w:r>
    </w:p>
    <w:p>
      <w:pPr>
        <w:widowControl/>
        <w:jc w:val="left"/>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注：编制合并报表的公司应当以合并财务报表数据填列或计算本节会计科目和指标。</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rPr>
        <w:t>主要</w:t>
      </w:r>
      <w:r>
        <w:rPr>
          <w:rFonts w:ascii="微软雅黑" w:hAnsi="微软雅黑" w:eastAsia="微软雅黑"/>
          <w:sz w:val="22"/>
          <w:szCs w:val="22"/>
        </w:rPr>
        <w:t>会计数据</w:t>
      </w:r>
      <w:r>
        <w:rPr>
          <w:rFonts w:hint="eastAsia" w:ascii="微软雅黑" w:hAnsi="微软雅黑" w:eastAsia="微软雅黑"/>
          <w:sz w:val="22"/>
          <w:szCs w:val="22"/>
        </w:rPr>
        <w:t>和</w:t>
      </w:r>
      <w:r>
        <w:rPr>
          <w:rFonts w:ascii="微软雅黑" w:hAnsi="微软雅黑" w:eastAsia="微软雅黑"/>
          <w:sz w:val="22"/>
          <w:szCs w:val="22"/>
        </w:rPr>
        <w:t>财务指标</w:t>
      </w:r>
    </w:p>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（一）盈利能力</w:t>
      </w:r>
    </w:p>
    <w:p>
      <w:pPr>
        <w:ind w:left="6300" w:firstLine="420"/>
        <w:jc w:val="right"/>
      </w:pPr>
      <w:r>
        <w:rPr>
          <w:rFonts w:hint="eastAsia"/>
        </w:rPr>
        <w:t>单位</w:t>
      </w:r>
      <w:r>
        <w:t>：</w:t>
      </w:r>
      <w:r>
        <w:rPr>
          <w:rFonts w:hint="eastAsia"/>
        </w:rPr>
        <w:t>元</w:t>
      </w:r>
      <w: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4112"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毛利率%</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挂牌公司股东的扣</w:t>
            </w:r>
            <w:r>
              <w:rPr>
                <w:rFonts w:hint="eastAsia" w:asciiTheme="minorEastAsia" w:hAnsiTheme="minorEastAsia" w:eastAsiaTheme="minorEastAsia"/>
                <w:color w:val="000000" w:themeColor="text1"/>
                <w:kern w:val="0"/>
                <w:sz w:val="22"/>
                <w14:textFill>
                  <w14:solidFill>
                    <w14:schemeClr w14:val="tx1"/>
                  </w14:solidFill>
                </w14:textFill>
              </w:rPr>
              <w:t>除非经常性</w:t>
            </w:r>
            <w:r>
              <w:rPr>
                <w:rFonts w:asciiTheme="minorEastAsia" w:hAnsiTheme="minorEastAsia" w:eastAsiaTheme="minorEastAsia"/>
                <w:color w:val="000000" w:themeColor="text1"/>
                <w:kern w:val="0"/>
                <w:sz w:val="22"/>
                <w14:textFill>
                  <w14:solidFill>
                    <w14:schemeClr w14:val="tx1"/>
                  </w14:solidFill>
                </w14:textFill>
              </w:rPr>
              <w:t>损益后的净利润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加权平均净资产收益率%（依据归属于挂牌公司股东的净利润计算）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w:t>
            </w: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依归属于挂牌公司股东的扣除非经常性损益后的净利润计算）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基本每股收益</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（二）偿债能力</w:t>
      </w:r>
    </w:p>
    <w:p>
      <w:pPr>
        <w:ind w:left="6300" w:firstLine="420"/>
        <w:jc w:val="right"/>
        <w:rPr>
          <w:lang w:val="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4112"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负债总计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挂牌公司股东的净资产</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w:t>
            </w:r>
            <w:r>
              <w:rPr>
                <w:rFonts w:hint="eastAsia" w:asciiTheme="minorEastAsia" w:hAnsiTheme="minorEastAsia" w:eastAsiaTheme="minorEastAsia"/>
                <w:color w:val="000000" w:themeColor="text1"/>
                <w:kern w:val="0"/>
                <w:sz w:val="22"/>
                <w14:textFill>
                  <w14:solidFill>
                    <w14:schemeClr w14:val="tx1"/>
                  </w14:solidFill>
                </w14:textFill>
              </w:rPr>
              <w:t>每股</w:t>
            </w:r>
            <w:r>
              <w:rPr>
                <w:rFonts w:asciiTheme="minorEastAsia" w:hAnsiTheme="minorEastAsia" w:eastAsiaTheme="minorEastAsia"/>
                <w:color w:val="000000" w:themeColor="text1"/>
                <w:kern w:val="0"/>
                <w:sz w:val="22"/>
                <w14:textFill>
                  <w14:solidFill>
                    <w14:schemeClr w14:val="tx1"/>
                  </w14:solidFill>
                </w14:textFill>
              </w:rPr>
              <w:t>净资</w:t>
            </w:r>
            <w:r>
              <w:rPr>
                <w:rFonts w:hint="eastAsia" w:asciiTheme="minorEastAsia" w:hAnsiTheme="minorEastAsia" w:eastAsiaTheme="minorEastAsia"/>
                <w:color w:val="000000" w:themeColor="text1"/>
                <w:kern w:val="0"/>
                <w:sz w:val="22"/>
                <w14:textFill>
                  <w14:solidFill>
                    <w14:schemeClr w14:val="tx1"/>
                  </w14:solidFill>
                </w14:textFill>
              </w:rPr>
              <w:t>产</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资产负债率%（母公司）</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资产负债率%（合并）</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流动比率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利息保障倍数</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（三）营运情况</w:t>
      </w:r>
    </w:p>
    <w:p>
      <w:pPr>
        <w:ind w:left="6300" w:firstLine="420"/>
        <w:jc w:val="right"/>
        <w:rPr>
          <w:lang w:val="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经营活动产生的</w:t>
            </w:r>
            <w:r>
              <w:rPr>
                <w:rFonts w:asciiTheme="minorEastAsia" w:hAnsiTheme="minorEastAsia" w:eastAsiaTheme="minorEastAsia"/>
                <w:color w:val="000000" w:themeColor="text1"/>
                <w:kern w:val="0"/>
                <w:sz w:val="22"/>
                <w14:textFill>
                  <w14:solidFill>
                    <w14:schemeClr w14:val="tx1"/>
                  </w14:solidFill>
                </w14:textFill>
              </w:rPr>
              <w:t>现金流量净额</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应收账款</w:t>
            </w:r>
            <w:r>
              <w:rPr>
                <w:rFonts w:asciiTheme="minorEastAsia" w:hAnsiTheme="minorEastAsia" w:eastAsiaTheme="minorEastAsia"/>
                <w:color w:val="000000" w:themeColor="text1"/>
                <w:kern w:val="0"/>
                <w:sz w:val="22"/>
                <w14:textFill>
                  <w14:solidFill>
                    <w14:schemeClr w14:val="tx1"/>
                  </w14:solidFill>
                </w14:textFill>
              </w:rPr>
              <w:t>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存货周转率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（四）成长情况</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总资产</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净利润</w:t>
            </w:r>
            <w:r>
              <w:rPr>
                <w:rFonts w:hint="eastAsia" w:asciiTheme="minorEastAsia" w:hAnsiTheme="minorEastAsia" w:eastAsiaTheme="minorEastAsia"/>
                <w:color w:val="000000" w:themeColor="text1"/>
                <w:kern w:val="0"/>
                <w:sz w:val="22"/>
                <w14:textFill>
                  <w14:solidFill>
                    <w14:schemeClr w14:val="tx1"/>
                  </w14:solidFill>
                </w14:textFill>
              </w:rPr>
              <w:t>增长率%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color w:val="000000" w:themeColor="text1"/>
          <w14:textFill>
            <w14:solidFill>
              <w14:schemeClr w14:val="tx1"/>
            </w14:solidFill>
          </w14:textFill>
        </w:rPr>
      </w:pPr>
      <w:r>
        <w:rPr>
          <w:rFonts w:hint="eastAsia"/>
          <w:b/>
          <w:color w:val="000000" w:themeColor="text1"/>
          <w14:textFill>
            <w14:solidFill>
              <w14:schemeClr w14:val="tx1"/>
            </w14:solidFill>
          </w14:textFill>
        </w:rPr>
        <w:t>（五）补充财务指标</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注：公司可以根据实际情况选择与企业经营关联性强、体现企业核心竞争力的关键指标进行披露，例如市场份额、客户保持率、研发投入与当期营业收入比、新产品投资回报率等。</w:t>
            </w:r>
          </w:p>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自愿披露的指标应有助于投资者判断企业经营状况，列示指标时应当说明计算的方法及所用数据的来源。</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二、主要经营情况回顾</w:t>
      </w:r>
    </w:p>
    <w:p>
      <w:pPr>
        <w:outlineLvl w:val="3"/>
        <w:rPr>
          <w:rFonts w:ascii="宋体" w:hAnsi="宋体" w:cs="宋体"/>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业务概要</w:t>
      </w:r>
    </w:p>
    <w:p>
      <w:pPr>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商业模式</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注：本公司是处于</w:t>
            </w:r>
            <w:r>
              <w:rPr>
                <w:rFonts w:hint="eastAsia" w:asciiTheme="minorEastAsia" w:hAnsiTheme="minorEastAsia" w:eastAsiaTheme="minorEastAsia"/>
                <w:i/>
                <w:color w:val="FF0000"/>
                <w:szCs w:val="44"/>
                <w:u w:val="single"/>
              </w:rPr>
              <w:t>（细分行业）</w:t>
            </w:r>
            <w:r>
              <w:rPr>
                <w:rFonts w:hint="eastAsia" w:asciiTheme="minorEastAsia" w:hAnsiTheme="minorEastAsia" w:eastAsiaTheme="minorEastAsia"/>
                <w:i/>
                <w:color w:val="FF0000"/>
                <w:szCs w:val="44"/>
              </w:rPr>
              <w:t>的（</w:t>
            </w:r>
            <w:r>
              <w:rPr>
                <w:rFonts w:hint="eastAsia" w:asciiTheme="minorEastAsia" w:hAnsiTheme="minorEastAsia" w:eastAsiaTheme="minorEastAsia"/>
                <w:i/>
                <w:color w:val="FF0000"/>
                <w:szCs w:val="44"/>
                <w:u w:val="single"/>
              </w:rPr>
              <w:t>定位，如开发商、生产商、运营商、服务提供商等）</w:t>
            </w:r>
            <w:r>
              <w:rPr>
                <w:rFonts w:hint="eastAsia" w:asciiTheme="minorEastAsia" w:hAnsiTheme="minorEastAsia" w:eastAsiaTheme="minorEastAsia"/>
                <w:i/>
                <w:color w:val="FF0000"/>
                <w:szCs w:val="44"/>
              </w:rPr>
              <w:t>，拥有</w:t>
            </w:r>
            <w:r>
              <w:rPr>
                <w:rFonts w:hint="eastAsia" w:asciiTheme="minorEastAsia" w:hAnsiTheme="minorEastAsia" w:eastAsiaTheme="minorEastAsia"/>
                <w:i/>
                <w:color w:val="FF0000"/>
                <w:szCs w:val="44"/>
                <w:u w:val="single"/>
              </w:rPr>
              <w:t>（关键资源，如专利技术、核心团队、经营资质等）</w:t>
            </w:r>
            <w:r>
              <w:rPr>
                <w:rFonts w:hint="eastAsia" w:asciiTheme="minorEastAsia" w:hAnsiTheme="minorEastAsia" w:eastAsiaTheme="minorEastAsia"/>
                <w:i/>
                <w:color w:val="FF0000"/>
                <w:szCs w:val="44"/>
              </w:rPr>
              <w:t>，为（</w:t>
            </w:r>
            <w:r>
              <w:rPr>
                <w:rFonts w:hint="eastAsia" w:asciiTheme="minorEastAsia" w:hAnsiTheme="minorEastAsia" w:eastAsiaTheme="minorEastAsia"/>
                <w:i/>
                <w:color w:val="FF0000"/>
                <w:szCs w:val="44"/>
                <w:u w:val="single"/>
              </w:rPr>
              <w:t xml:space="preserve">哪些客户，如客户类型、客户构成等）                 </w:t>
            </w:r>
            <w:r>
              <w:rPr>
                <w:rFonts w:hint="eastAsia" w:asciiTheme="minorEastAsia" w:hAnsiTheme="minorEastAsia" w:eastAsiaTheme="minorEastAsia"/>
                <w:i/>
                <w:color w:val="FF0000"/>
                <w:szCs w:val="44"/>
              </w:rPr>
              <w:t>提供（</w:t>
            </w:r>
            <w:r>
              <w:rPr>
                <w:rFonts w:hint="eastAsia" w:asciiTheme="minorEastAsia" w:hAnsiTheme="minorEastAsia" w:eastAsiaTheme="minorEastAsia"/>
                <w:i/>
                <w:color w:val="FF0000"/>
                <w:szCs w:val="44"/>
                <w:u w:val="single"/>
              </w:rPr>
              <w:t xml:space="preserve">产品特性或价值主张，如高科技、低成本、便利性等）         </w:t>
            </w:r>
            <w:r>
              <w:rPr>
                <w:rFonts w:hint="eastAsia" w:asciiTheme="minorEastAsia" w:hAnsiTheme="minorEastAsia" w:eastAsiaTheme="minorEastAsia"/>
                <w:i/>
                <w:color w:val="FF0000"/>
                <w:szCs w:val="44"/>
              </w:rPr>
              <w:t xml:space="preserve">的 </w:t>
            </w:r>
            <w:r>
              <w:rPr>
                <w:rFonts w:hint="eastAsia" w:asciiTheme="minorEastAsia" w:hAnsiTheme="minorEastAsia" w:eastAsiaTheme="minorEastAsia"/>
                <w:i/>
                <w:color w:val="FF0000"/>
                <w:szCs w:val="44"/>
                <w:u w:val="single"/>
              </w:rPr>
              <w:t>（产品、服务、业务等）</w:t>
            </w:r>
            <w:r>
              <w:rPr>
                <w:rFonts w:hint="eastAsia" w:asciiTheme="minorEastAsia" w:hAnsiTheme="minorEastAsia" w:eastAsiaTheme="minorEastAsia"/>
                <w:i/>
                <w:color w:val="FF0000"/>
                <w:szCs w:val="44"/>
              </w:rPr>
              <w:t>。公司通过（</w:t>
            </w:r>
            <w:r>
              <w:rPr>
                <w:rFonts w:hint="eastAsia" w:asciiTheme="minorEastAsia" w:hAnsiTheme="minorEastAsia" w:eastAsiaTheme="minorEastAsia"/>
                <w:i/>
                <w:color w:val="FF0000"/>
                <w:szCs w:val="44"/>
                <w:u w:val="single"/>
              </w:rPr>
              <w:t>销售渠道、营销模式，如直销、分销等）</w:t>
            </w:r>
            <w:r>
              <w:rPr>
                <w:rFonts w:hint="eastAsia" w:asciiTheme="minorEastAsia" w:hAnsiTheme="minorEastAsia" w:eastAsiaTheme="minorEastAsia"/>
                <w:i/>
                <w:color w:val="FF0000"/>
                <w:szCs w:val="44"/>
              </w:rPr>
              <w:t>开拓业务，收入来源是</w:t>
            </w:r>
            <w:r>
              <w:rPr>
                <w:rFonts w:hint="eastAsia" w:asciiTheme="minorEastAsia" w:hAnsiTheme="minorEastAsia" w:eastAsiaTheme="minorEastAsia"/>
                <w:i/>
                <w:color w:val="FF0000"/>
                <w:szCs w:val="44"/>
                <w:u w:val="single"/>
              </w:rPr>
              <w:t>(收入形式，如产品销售、服务收费、租赁收费等)</w:t>
            </w:r>
            <w:r>
              <w:rPr>
                <w:rFonts w:hint="eastAsia" w:asciiTheme="minorEastAsia" w:hAnsiTheme="minorEastAsia" w:eastAsiaTheme="minorEastAsia"/>
                <w:i/>
                <w:color w:val="FF0000"/>
                <w:szCs w:val="44"/>
              </w:rPr>
              <w:t>。</w:t>
            </w:r>
          </w:p>
        </w:tc>
      </w:tr>
    </w:tbl>
    <w:p>
      <w:pPr>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与创新属性</w:t>
      </w:r>
      <w:r>
        <w:rPr>
          <w:rFonts w:asciiTheme="minorEastAsia" w:hAnsiTheme="minorEastAsia" w:eastAsiaTheme="minorEastAsia"/>
          <w:b/>
          <w:color w:val="000000" w:themeColor="text1"/>
          <w:szCs w:val="44"/>
          <w14:textFill>
            <w14:solidFill>
              <w14:schemeClr w14:val="tx1"/>
            </w14:solidFill>
          </w14:textFill>
        </w:rPr>
        <w:t>相关</w:t>
      </w:r>
      <w:r>
        <w:rPr>
          <w:rFonts w:hint="eastAsia" w:asciiTheme="minorEastAsia" w:hAnsiTheme="minorEastAsia" w:eastAsiaTheme="minorEastAsia"/>
          <w:b/>
          <w:color w:val="000000" w:themeColor="text1"/>
          <w:szCs w:val="44"/>
          <w14:textFill>
            <w14:solidFill>
              <w14:schemeClr w14:val="tx1"/>
            </w14:solidFill>
          </w14:textFill>
        </w:rPr>
        <w:t>的</w:t>
      </w:r>
      <w:r>
        <w:rPr>
          <w:rFonts w:asciiTheme="minorEastAsia" w:hAnsiTheme="minorEastAsia" w:eastAsiaTheme="minorEastAsia"/>
          <w:b/>
          <w:color w:val="000000" w:themeColor="text1"/>
          <w:szCs w:val="44"/>
          <w14:textFill>
            <w14:solidFill>
              <w14:schemeClr w14:val="tx1"/>
            </w14:solidFill>
          </w14:textFill>
        </w:rPr>
        <w:t>认定</w:t>
      </w:r>
      <w:r>
        <w:rPr>
          <w:rFonts w:hint="eastAsia" w:asciiTheme="minorEastAsia" w:hAnsiTheme="minorEastAsia" w:eastAsiaTheme="minorEastAsia"/>
          <w:b/>
          <w:color w:val="000000" w:themeColor="text1"/>
          <w:szCs w:val="44"/>
          <w14:textFill>
            <w14:solidFill>
              <w14:schemeClr w14:val="tx1"/>
            </w14:solidFill>
          </w14:textFill>
        </w:rPr>
        <w:t>情况</w:t>
      </w:r>
    </w:p>
    <w:p>
      <w:pPr>
        <w:rPr>
          <w:rFonts w:asciiTheme="minorEastAsia" w:hAnsiTheme="minorEastAsia" w:eastAsiaTheme="minorEastAsia" w:cstheme="minorBidi"/>
          <w:color w:val="000000" w:themeColor="text1"/>
          <w:sz w:val="22"/>
          <w14:textFill>
            <w14:solidFill>
              <w14:schemeClr w14:val="tx1"/>
            </w14:solidFill>
          </w14:textFill>
        </w:rPr>
      </w:pPr>
      <w:r>
        <w:rPr>
          <w:rFonts w:hint="eastAsia" w:asciiTheme="minorEastAsia" w:hAnsiTheme="minorEastAsia" w:eastAsiaTheme="minorEastAsia" w:cstheme="minorBidi"/>
          <w:color w:val="000000" w:themeColor="text1"/>
          <w:sz w:val="22"/>
          <w14:textFill>
            <w14:solidFill>
              <w14:schemeClr w14:val="tx1"/>
            </w14:solidFill>
          </w14:textFill>
        </w:rPr>
        <w:t>与最近一期</w:t>
      </w:r>
      <w:r>
        <w:rPr>
          <w:rFonts w:asciiTheme="minorEastAsia" w:hAnsiTheme="minorEastAsia" w:eastAsiaTheme="minorEastAsia" w:cstheme="minorBidi"/>
          <w:color w:val="000000" w:themeColor="text1"/>
          <w:sz w:val="22"/>
          <w14:textFill>
            <w14:solidFill>
              <w14:schemeClr w14:val="tx1"/>
            </w14:solidFill>
          </w14:textFill>
        </w:rPr>
        <w:t>年度报告相比是否有更新</w:t>
      </w:r>
    </w:p>
    <w:p>
      <w:pPr>
        <w:rPr>
          <w:b/>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有更新</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无更新</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“专精特新”认定</w:t>
            </w:r>
          </w:p>
        </w:tc>
        <w:tc>
          <w:tcPr>
            <w:tcW w:w="6521"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匚国家级  匚省（市）级（如不适用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“单项冠军”认定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匚国家级   匚省（市）级（如不适用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color w:val="000000" w:themeColor="text1"/>
                <w:kern w:val="0"/>
                <w:sz w:val="22"/>
                <w14:textFill>
                  <w14:solidFill>
                    <w14:schemeClr w14:val="tx1"/>
                  </w14:solidFill>
                </w14:textFill>
              </w:rPr>
            </w:pPr>
            <w:r>
              <w:rPr>
                <w:rFonts w:hint="eastAsia"/>
                <w:sz w:val="22"/>
              </w:rPr>
              <w:t>“高新技术企业”认定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匚是（如不适用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sz w:val="22"/>
              </w:rPr>
            </w:pPr>
            <w:r>
              <w:rPr>
                <w:rFonts w:hint="eastAsia"/>
                <w:sz w:val="22"/>
              </w:rPr>
              <w:t>“科技型中小企业”认定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匚是（如不适用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sz w:val="22"/>
              </w:rPr>
            </w:pPr>
            <w:r>
              <w:rPr>
                <w:rFonts w:hint="eastAsia"/>
                <w:sz w:val="22"/>
              </w:rPr>
              <w:t>“技术先进型服务企业”认定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匚是（如不适用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2" w:hRule="atLeast"/>
        </w:trPr>
        <w:tc>
          <w:tcPr>
            <w:tcW w:w="3119" w:type="dxa"/>
            <w:vMerge w:val="restart"/>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其他与创新属性相关的认定情况</w:t>
            </w:r>
            <w:r>
              <w:rPr>
                <w:rFonts w:hint="eastAsia" w:ascii="Times New Roman" w:hAnsi="Times New Roman"/>
                <w:color w:val="FF0000"/>
                <w:kern w:val="0"/>
                <w:sz w:val="22"/>
              </w:rPr>
              <w:t>（如不适用</w:t>
            </w:r>
            <w:r>
              <w:rPr>
                <w:rFonts w:ascii="Times New Roman" w:hAnsi="Times New Roman"/>
                <w:color w:val="FF0000"/>
                <w:kern w:val="0"/>
                <w:sz w:val="22"/>
              </w:rPr>
              <w:t>，请删除</w:t>
            </w:r>
            <w:r>
              <w:rPr>
                <w:rFonts w:hint="eastAsia" w:ascii="Times New Roman" w:hAnsi="Times New Roman"/>
                <w:color w:val="FF0000"/>
                <w:kern w:val="0"/>
                <w:sz w:val="22"/>
              </w:rPr>
              <w:t>）</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（认定1）-（认定单位1）</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3" w:hRule="atLeast"/>
        </w:trPr>
        <w:tc>
          <w:tcPr>
            <w:tcW w:w="3119" w:type="dxa"/>
            <w:vMerge w:val="continue"/>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p>
        </w:tc>
        <w:tc>
          <w:tcPr>
            <w:tcW w:w="6521" w:type="dxa"/>
            <w:shd w:val="clear" w:color="auto" w:fill="auto"/>
          </w:tcPr>
          <w:p>
            <w:pPr>
              <w:tabs>
                <w:tab w:val="left" w:pos="1140"/>
              </w:tabs>
              <w:rPr>
                <w:rFonts w:ascii="Times New Roman" w:hAnsi="Times New Roman"/>
                <w:color w:val="FF0000"/>
                <w:kern w:val="0"/>
                <w:sz w:val="22"/>
              </w:rPr>
            </w:pPr>
            <w:r>
              <w:rPr>
                <w:rFonts w:hint="eastAsia" w:ascii="Times New Roman" w:hAnsi="Times New Roman"/>
                <w:color w:val="FF0000"/>
                <w:kern w:val="0"/>
                <w:sz w:val="22"/>
              </w:rPr>
              <w:t>（认定2）-（认定单位2）（请自行</w:t>
            </w:r>
            <w:r>
              <w:rPr>
                <w:rFonts w:ascii="Times New Roman" w:hAnsi="Times New Roman"/>
                <w:color w:val="FF0000"/>
                <w:kern w:val="0"/>
                <w:sz w:val="22"/>
              </w:rPr>
              <w:t>添行</w:t>
            </w:r>
            <w:r>
              <w:rPr>
                <w:rFonts w:hint="eastAsia" w:ascii="Times New Roman" w:hAnsi="Times New Roman"/>
                <w:color w:val="FF0000"/>
                <w:kern w:val="0"/>
                <w:sz w:val="22"/>
              </w:rPr>
              <w:t>）</w:t>
            </w:r>
          </w:p>
          <w:p>
            <w:pPr>
              <w:tabs>
                <w:tab w:val="left" w:pos="1140"/>
              </w:tabs>
              <w:rPr>
                <w:rFonts w:ascii="Times New Roman" w:hAnsi="Times New Roman"/>
                <w:color w:val="FF0000"/>
                <w:kern w:val="0"/>
                <w:sz w:val="22"/>
              </w:rPr>
            </w:pPr>
            <w:r>
              <w:rPr>
                <w:rFonts w:hint="eastAsia" w:asciiTheme="minorEastAsia" w:hAnsiTheme="minorEastAsia" w:eastAsiaTheme="minorEastAsia"/>
                <w:i/>
                <w:color w:val="FF0000"/>
                <w:szCs w:val="44"/>
              </w:rPr>
              <w:t>注1</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其他与创新属性相关的认定情况（如</w:t>
            </w:r>
            <w:r>
              <w:rPr>
                <w:rFonts w:asciiTheme="minorEastAsia" w:hAnsiTheme="minorEastAsia" w:eastAsiaTheme="minorEastAsia"/>
                <w:i/>
                <w:color w:val="FF0000"/>
                <w:szCs w:val="44"/>
              </w:rPr>
              <w:t>瞪羚企业</w:t>
            </w:r>
            <w:r>
              <w:rPr>
                <w:rFonts w:hint="eastAsia" w:asciiTheme="minorEastAsia" w:hAnsiTheme="minorEastAsia" w:eastAsiaTheme="minorEastAsia"/>
                <w:i/>
                <w:color w:val="FF0000"/>
                <w:szCs w:val="44"/>
              </w:rPr>
              <w:t>、隐形冠军</w:t>
            </w:r>
            <w:r>
              <w:rPr>
                <w:rFonts w:asciiTheme="minorEastAsia" w:hAnsiTheme="minorEastAsia" w:eastAsiaTheme="minorEastAsia"/>
                <w:i/>
                <w:color w:val="FF0000"/>
                <w:szCs w:val="44"/>
              </w:rPr>
              <w:t>等</w:t>
            </w:r>
            <w:r>
              <w:rPr>
                <w:rFonts w:hint="eastAsia" w:asciiTheme="minorEastAsia" w:hAnsiTheme="minorEastAsia" w:eastAsiaTheme="minorEastAsia"/>
                <w:i/>
                <w:color w:val="FF0000"/>
                <w:szCs w:val="44"/>
              </w:rPr>
              <w:t>）请自行填写，公司应结合自身特点披露体现公司创新特征</w:t>
            </w:r>
            <w:r>
              <w:rPr>
                <w:rFonts w:asciiTheme="minorEastAsia" w:hAnsiTheme="minorEastAsia" w:eastAsiaTheme="minorEastAsia"/>
                <w:i/>
                <w:color w:val="FF0000"/>
                <w:szCs w:val="44"/>
              </w:rPr>
              <w:t>、创新发展</w:t>
            </w:r>
            <w:r>
              <w:rPr>
                <w:rFonts w:hint="eastAsia" w:asciiTheme="minorEastAsia" w:hAnsiTheme="minorEastAsia" w:eastAsiaTheme="minorEastAsia"/>
                <w:i/>
                <w:color w:val="FF0000"/>
                <w:szCs w:val="44"/>
              </w:rPr>
              <w:t>能力</w:t>
            </w:r>
            <w:r>
              <w:rPr>
                <w:rFonts w:asciiTheme="minorEastAsia" w:hAnsiTheme="minorEastAsia" w:eastAsiaTheme="minorEastAsia"/>
                <w:i/>
                <w:color w:val="FF0000"/>
                <w:szCs w:val="44"/>
              </w:rPr>
              <w:t>的认定及</w:t>
            </w:r>
            <w:r>
              <w:rPr>
                <w:rFonts w:hint="eastAsia" w:asciiTheme="minorEastAsia" w:hAnsiTheme="minorEastAsia" w:eastAsiaTheme="minorEastAsia"/>
                <w:i/>
                <w:color w:val="FF0000"/>
                <w:szCs w:val="44"/>
              </w:rPr>
              <w:t>认定</w:t>
            </w:r>
            <w:r>
              <w:rPr>
                <w:rFonts w:asciiTheme="minorEastAsia" w:hAnsiTheme="minorEastAsia" w:eastAsiaTheme="minorEastAsia"/>
                <w:i/>
                <w:color w:val="FF0000"/>
                <w:szCs w:val="44"/>
              </w:rPr>
              <w:t>单位</w:t>
            </w:r>
            <w:r>
              <w:rPr>
                <w:rFonts w:hint="eastAsia" w:asciiTheme="minorEastAsia" w:hAnsiTheme="minorEastAsia" w:eastAsiaTheme="minorEastAsia"/>
                <w:i/>
                <w:color w:val="FF0000"/>
                <w:szCs w:val="4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详细情况</w:t>
            </w:r>
          </w:p>
        </w:tc>
        <w:tc>
          <w:tcPr>
            <w:tcW w:w="6521" w:type="dxa"/>
            <w:shd w:val="clear" w:color="auto" w:fill="auto"/>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注2</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详细情况</w:t>
            </w:r>
            <w:r>
              <w:rPr>
                <w:rFonts w:asciiTheme="minorEastAsia" w:hAnsiTheme="minorEastAsia" w:eastAsiaTheme="minorEastAsia"/>
                <w:i/>
                <w:color w:val="FF0000"/>
                <w:szCs w:val="44"/>
              </w:rPr>
              <w:t>中应</w:t>
            </w:r>
            <w:r>
              <w:rPr>
                <w:rFonts w:hint="eastAsia" w:asciiTheme="minorEastAsia" w:hAnsiTheme="minorEastAsia" w:eastAsiaTheme="minorEastAsia"/>
                <w:i/>
                <w:color w:val="FF0000"/>
                <w:szCs w:val="44"/>
              </w:rPr>
              <w:t>披露公司获得相关认定的类别</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时间</w:t>
            </w:r>
            <w:r>
              <w:rPr>
                <w:rFonts w:asciiTheme="minorEastAsia" w:hAnsiTheme="minorEastAsia" w:eastAsiaTheme="minorEastAsia"/>
                <w:i/>
                <w:color w:val="FF0000"/>
                <w:szCs w:val="44"/>
              </w:rPr>
              <w:t>、批次、</w:t>
            </w:r>
            <w:r>
              <w:rPr>
                <w:rFonts w:hint="eastAsia" w:asciiTheme="minorEastAsia" w:hAnsiTheme="minorEastAsia" w:eastAsiaTheme="minorEastAsia"/>
                <w:i/>
                <w:color w:val="FF0000"/>
                <w:szCs w:val="44"/>
              </w:rPr>
              <w:t>认定有效期等信息，</w:t>
            </w:r>
            <w:r>
              <w:rPr>
                <w:rFonts w:asciiTheme="minorEastAsia" w:hAnsiTheme="minorEastAsia" w:eastAsiaTheme="minorEastAsia"/>
                <w:i/>
                <w:color w:val="FF0000"/>
                <w:szCs w:val="44"/>
              </w:rPr>
              <w:t>可以</w:t>
            </w:r>
            <w:r>
              <w:rPr>
                <w:rFonts w:hint="eastAsia" w:asciiTheme="minorEastAsia" w:hAnsiTheme="minorEastAsia" w:eastAsiaTheme="minorEastAsia"/>
                <w:i/>
                <w:color w:val="FF0000"/>
                <w:szCs w:val="44"/>
              </w:rPr>
              <w:t>简要介绍获得相关</w:t>
            </w:r>
            <w:r>
              <w:rPr>
                <w:rFonts w:asciiTheme="minorEastAsia" w:hAnsiTheme="minorEastAsia" w:eastAsiaTheme="minorEastAsia"/>
                <w:i/>
                <w:color w:val="FF0000"/>
                <w:szCs w:val="44"/>
              </w:rPr>
              <w:t>认定的</w:t>
            </w:r>
            <w:r>
              <w:rPr>
                <w:rFonts w:hint="eastAsia" w:asciiTheme="minorEastAsia" w:hAnsiTheme="minorEastAsia" w:eastAsiaTheme="minorEastAsia"/>
                <w:i/>
                <w:color w:val="FF0000"/>
                <w:szCs w:val="44"/>
              </w:rPr>
              <w:t>主要指标依据、对公司的经营影响、</w:t>
            </w:r>
            <w:r>
              <w:rPr>
                <w:rFonts w:asciiTheme="minorEastAsia" w:hAnsiTheme="minorEastAsia" w:eastAsiaTheme="minorEastAsia"/>
                <w:i/>
                <w:color w:val="FF0000"/>
                <w:szCs w:val="44"/>
              </w:rPr>
              <w:t>未来发展目标或方向等。</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其中</w:t>
            </w:r>
            <w:r>
              <w:rPr>
                <w:rFonts w:asciiTheme="minorEastAsia" w:hAnsiTheme="minorEastAsia" w:eastAsiaTheme="minorEastAsia"/>
                <w:i/>
                <w:color w:val="FF0000"/>
                <w:szCs w:val="44"/>
              </w:rPr>
              <w:t>，国家级</w:t>
            </w:r>
            <w:r>
              <w:rPr>
                <w:rFonts w:hint="eastAsia" w:asciiTheme="minorEastAsia" w:hAnsiTheme="minorEastAsia" w:eastAsiaTheme="minorEastAsia"/>
                <w:i/>
                <w:color w:val="FF0000"/>
                <w:szCs w:val="44"/>
              </w:rPr>
              <w:t>专精特新“小巨人”企业认定依据应</w:t>
            </w:r>
            <w:r>
              <w:rPr>
                <w:rFonts w:asciiTheme="minorEastAsia" w:hAnsiTheme="minorEastAsia" w:eastAsiaTheme="minorEastAsia"/>
                <w:i/>
                <w:color w:val="FF0000"/>
                <w:szCs w:val="44"/>
              </w:rPr>
              <w:t>为</w:t>
            </w:r>
            <w:r>
              <w:rPr>
                <w:rFonts w:hint="eastAsia" w:asciiTheme="minorEastAsia" w:hAnsiTheme="minorEastAsia" w:eastAsiaTheme="minorEastAsia"/>
                <w:i/>
                <w:color w:val="FF0000"/>
                <w:szCs w:val="44"/>
              </w:rPr>
              <w:t>《工业和信息化部办公厅关于开展专精特新“小巨人”企业培育工作的通知》,若公司依据《关于支持“专精特新”中小企业高质量发展的通知》（财建〔2021〕2号）同时</w:t>
            </w:r>
            <w:r>
              <w:rPr>
                <w:rFonts w:asciiTheme="minorEastAsia" w:hAnsiTheme="minorEastAsia" w:eastAsiaTheme="minorEastAsia"/>
                <w:i/>
                <w:color w:val="FF0000"/>
                <w:szCs w:val="44"/>
              </w:rPr>
              <w:t>被列</w:t>
            </w:r>
            <w:r>
              <w:rPr>
                <w:rFonts w:hint="eastAsia" w:asciiTheme="minorEastAsia" w:hAnsiTheme="minorEastAsia" w:eastAsiaTheme="minorEastAsia"/>
                <w:i/>
                <w:color w:val="FF0000"/>
                <w:szCs w:val="44"/>
              </w:rPr>
              <w:t>为重点“小巨人”企业，</w:t>
            </w:r>
            <w:r>
              <w:rPr>
                <w:rFonts w:asciiTheme="minorEastAsia" w:hAnsiTheme="minorEastAsia" w:eastAsiaTheme="minorEastAsia"/>
                <w:i/>
                <w:color w:val="FF0000"/>
                <w:szCs w:val="44"/>
              </w:rPr>
              <w:t>请</w:t>
            </w:r>
            <w:r>
              <w:rPr>
                <w:rFonts w:hint="eastAsia" w:asciiTheme="minorEastAsia" w:hAnsiTheme="minorEastAsia" w:eastAsiaTheme="minorEastAsia"/>
                <w:i/>
                <w:color w:val="FF0000"/>
                <w:szCs w:val="44"/>
              </w:rPr>
              <w:t>一并</w:t>
            </w:r>
            <w:r>
              <w:rPr>
                <w:rFonts w:asciiTheme="minorEastAsia" w:hAnsiTheme="minorEastAsia" w:eastAsiaTheme="minorEastAsia"/>
                <w:i/>
                <w:color w:val="FF0000"/>
                <w:szCs w:val="44"/>
              </w:rPr>
              <w:t>说明</w:t>
            </w:r>
            <w:r>
              <w:rPr>
                <w:rFonts w:hint="eastAsia" w:asciiTheme="minorEastAsia" w:hAnsiTheme="minorEastAsia" w:eastAsiaTheme="minorEastAsia"/>
                <w:i/>
                <w:color w:val="FF0000"/>
                <w:szCs w:val="44"/>
              </w:rPr>
              <w:t>详细</w:t>
            </w:r>
            <w:r>
              <w:rPr>
                <w:rFonts w:asciiTheme="minorEastAsia" w:hAnsiTheme="minorEastAsia" w:eastAsiaTheme="minorEastAsia"/>
                <w:i/>
                <w:color w:val="FF0000"/>
                <w:szCs w:val="44"/>
              </w:rPr>
              <w:t>情况</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国家级</w:t>
            </w:r>
            <w:r>
              <w:rPr>
                <w:rFonts w:hint="eastAsia" w:asciiTheme="minorEastAsia" w:hAnsiTheme="minorEastAsia" w:eastAsiaTheme="minorEastAsia"/>
                <w:i/>
                <w:color w:val="FF0000"/>
                <w:szCs w:val="44"/>
              </w:rPr>
              <w:t>制造业单项冠军认定依据应为《制造业单项冠军企业培育提升专项行动实施方案》（工信部产业〔2016〕105号)，认定类别分</w:t>
            </w:r>
            <w:r>
              <w:rPr>
                <w:rFonts w:asciiTheme="minorEastAsia" w:hAnsiTheme="minorEastAsia" w:eastAsiaTheme="minorEastAsia"/>
                <w:i/>
                <w:color w:val="FF0000"/>
                <w:szCs w:val="44"/>
              </w:rPr>
              <w:t>为</w:t>
            </w:r>
            <w:r>
              <w:rPr>
                <w:rFonts w:hint="eastAsia" w:asciiTheme="minorEastAsia" w:hAnsiTheme="minorEastAsia" w:eastAsiaTheme="minorEastAsia"/>
                <w:i/>
                <w:color w:val="FF0000"/>
                <w:szCs w:val="44"/>
              </w:rPr>
              <w:t>单项冠军示范企业、单项冠军培育企业、单项冠军产品等；高新技术企业认定依据</w:t>
            </w:r>
            <w:r>
              <w:rPr>
                <w:rFonts w:asciiTheme="minorEastAsia" w:hAnsiTheme="minorEastAsia" w:eastAsiaTheme="minorEastAsia"/>
                <w:i/>
                <w:color w:val="FF0000"/>
                <w:szCs w:val="44"/>
              </w:rPr>
              <w:t>应为</w:t>
            </w:r>
            <w:r>
              <w:rPr>
                <w:rFonts w:hint="eastAsia" w:asciiTheme="minorEastAsia" w:hAnsiTheme="minorEastAsia" w:eastAsiaTheme="minorEastAsia"/>
                <w:i/>
                <w:color w:val="FF0000"/>
                <w:szCs w:val="44"/>
              </w:rPr>
              <w:t>《高新技术企业认定管理办法》(国科发火〔2016〕32号)；科技型中小企业认定依据</w:t>
            </w:r>
            <w:r>
              <w:rPr>
                <w:rFonts w:asciiTheme="minorEastAsia" w:hAnsiTheme="minorEastAsia" w:eastAsiaTheme="minorEastAsia"/>
                <w:i/>
                <w:color w:val="FF0000"/>
                <w:szCs w:val="44"/>
              </w:rPr>
              <w:t>应为</w:t>
            </w:r>
            <w:r>
              <w:rPr>
                <w:rFonts w:hint="eastAsia" w:asciiTheme="minorEastAsia" w:hAnsiTheme="minorEastAsia" w:eastAsiaTheme="minorEastAsia"/>
                <w:i/>
                <w:color w:val="FF0000"/>
                <w:szCs w:val="44"/>
              </w:rPr>
              <w:t>《科技部财政部国家税务总局关于印发〈科技型中小企业评价办法〉的通知》（国科发政〔2017〕115号）；技术先进型服务企业认定依据</w:t>
            </w:r>
            <w:r>
              <w:rPr>
                <w:rFonts w:asciiTheme="minorEastAsia" w:hAnsiTheme="minorEastAsia" w:eastAsiaTheme="minorEastAsia"/>
                <w:i/>
                <w:color w:val="FF0000"/>
                <w:szCs w:val="44"/>
              </w:rPr>
              <w:t>应</w:t>
            </w:r>
            <w:r>
              <w:rPr>
                <w:rFonts w:hint="eastAsia" w:asciiTheme="minorEastAsia" w:hAnsiTheme="minorEastAsia" w:eastAsiaTheme="minorEastAsia"/>
                <w:i/>
                <w:color w:val="FF0000"/>
                <w:szCs w:val="44"/>
              </w:rPr>
              <w:t>包括《关于将技术先进型服务企业所得税政策推广至全国实施的通知》以及本省（自治区、直辖市、计划单列市）的技术先进型服务企业认定管理办法等。</w:t>
            </w:r>
          </w:p>
        </w:tc>
      </w:tr>
    </w:tbl>
    <w:p>
      <w:pPr>
        <w:outlineLvl w:val="3"/>
        <w:rPr>
          <w:b/>
          <w:color w:val="000000" w:themeColor="text1"/>
          <w14:textFill>
            <w14:solidFill>
              <w14:schemeClr w14:val="tx1"/>
            </w14:solidFill>
          </w14:textFill>
        </w:rPr>
      </w:pP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（二）经营情况回顾</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1、资产负债结构分析</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left="6300" w:firstLine="420"/>
        <w:jc w:val="right"/>
        <w:rPr>
          <w:lang w:val="zh-CN"/>
        </w:rPr>
      </w:pPr>
      <w:r>
        <w:rPr>
          <w:rFonts w:hint="eastAsia"/>
        </w:rPr>
        <w:t>单位</w:t>
      </w:r>
      <w:r>
        <w:t>：</w:t>
      </w:r>
      <w:r>
        <w:rPr>
          <w:rFonts w:hint="eastAsia"/>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986"/>
        <w:gridCol w:w="155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3260"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3260"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上年期末</w:t>
            </w:r>
          </w:p>
        </w:tc>
        <w:tc>
          <w:tcPr>
            <w:tcW w:w="1559"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9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70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9"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9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对与上年期末相比变动达到或超过30%的重要财务数据或指标，公司应充分解释导致变动的原因。公司可免于分析金额占总资产10%以下的资产负债表科目。</w:t>
            </w: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2、营业情况与</w:t>
      </w:r>
      <w:r>
        <w:rPr>
          <w:b/>
          <w:color w:val="000000" w:themeColor="text1"/>
          <w14:textFill>
            <w14:solidFill>
              <w14:schemeClr w14:val="tx1"/>
            </w14:solidFill>
          </w14:textFill>
        </w:rPr>
        <w:t>现金流量</w:t>
      </w:r>
      <w:r>
        <w:rPr>
          <w:rFonts w:hint="eastAsia"/>
          <w:b/>
          <w:color w:val="000000" w:themeColor="text1"/>
          <w14:textFill>
            <w14:solidFill>
              <w14:schemeClr w14:val="tx1"/>
            </w14:solidFill>
          </w14:textFill>
        </w:rPr>
        <w:t>分析</w:t>
      </w:r>
    </w:p>
    <w:p>
      <w:pPr>
        <w:ind w:left="181" w:leftChars="86"/>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left="6481" w:leftChars="3086" w:firstLine="420"/>
        <w:jc w:val="right"/>
        <w:rPr>
          <w:lang w:val="zh-CN"/>
        </w:rPr>
      </w:pPr>
      <w:r>
        <w:rPr>
          <w:rFonts w:hint="eastAsia"/>
        </w:rPr>
        <w:t>单位</w:t>
      </w:r>
      <w:r>
        <w:t>：</w:t>
      </w:r>
      <w:r>
        <w:rPr>
          <w:rFonts w:hint="eastAsia"/>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985"/>
        <w:gridCol w:w="1530"/>
        <w:gridCol w:w="1531"/>
        <w:gridCol w:w="1531"/>
        <w:gridCol w:w="1503"/>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vMerge w:val="restart"/>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3061" w:type="dxa"/>
            <w:gridSpan w:val="2"/>
            <w:tcBorders>
              <w:bottom w:val="single" w:color="5B9BD5" w:themeColor="accent1" w:sz="4" w:space="0"/>
            </w:tcBorders>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3034" w:type="dxa"/>
            <w:gridSpan w:val="2"/>
            <w:tcBorders>
              <w:bottom w:val="single" w:color="5B9BD5" w:themeColor="accent1" w:sz="4" w:space="0"/>
            </w:tcBorders>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上年同期</w:t>
            </w:r>
          </w:p>
        </w:tc>
        <w:tc>
          <w:tcPr>
            <w:tcW w:w="1559" w:type="dxa"/>
            <w:vMerge w:val="restart"/>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vMerge w:val="continue"/>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0"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531"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占营业收入的</w:t>
            </w:r>
            <w:r>
              <w:rPr>
                <w:rFonts w:asciiTheme="minorEastAsia" w:hAnsiTheme="minorEastAsia" w:eastAsiaTheme="minorEastAsia"/>
                <w:b/>
                <w:color w:val="000000" w:themeColor="text1"/>
                <w:sz w:val="22"/>
                <w14:textFill>
                  <w14:solidFill>
                    <w14:schemeClr w14:val="tx1"/>
                  </w14:solidFill>
                </w14:textFill>
              </w:rPr>
              <w:t>比重%</w:t>
            </w:r>
          </w:p>
        </w:tc>
        <w:tc>
          <w:tcPr>
            <w:tcW w:w="1531"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503" w:type="dxa"/>
            <w:shd w:val="pct10" w:color="auto" w:fill="auto"/>
            <w:vAlign w:val="center"/>
          </w:tcPr>
          <w:p>
            <w:pPr>
              <w:tabs>
                <w:tab w:val="left" w:pos="5140"/>
              </w:tabs>
              <w:ind w:left="181" w:leftChars="86"/>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占营业收入的</w:t>
            </w:r>
            <w:r>
              <w:rPr>
                <w:rFonts w:asciiTheme="minorEastAsia" w:hAnsiTheme="minorEastAsia" w:eastAsiaTheme="minorEastAsia"/>
                <w:b/>
                <w:color w:val="000000" w:themeColor="text1"/>
                <w:sz w:val="22"/>
                <w14:textFill>
                  <w14:solidFill>
                    <w14:schemeClr w14:val="tx1"/>
                  </w14:solidFill>
                </w14:textFill>
              </w:rPr>
              <w:t>比重%</w:t>
            </w:r>
          </w:p>
        </w:tc>
        <w:tc>
          <w:tcPr>
            <w:tcW w:w="1559"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03"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w:t>
            </w:r>
            <w:r>
              <w:rPr>
                <w:rFonts w:asciiTheme="minorEastAsia" w:hAnsiTheme="minorEastAsia" w:eastAsiaTheme="minorEastAsia"/>
                <w:color w:val="000000" w:themeColor="text1"/>
                <w:sz w:val="22"/>
                <w14:textFill>
                  <w14:solidFill>
                    <w14:schemeClr w14:val="tx1"/>
                  </w14:solidFill>
                </w14:textFill>
              </w:rPr>
              <w:t>添行</w:t>
            </w:r>
            <w:r>
              <w:rPr>
                <w:rFonts w:hint="eastAsia" w:asciiTheme="minorEastAsia" w:hAnsiTheme="minorEastAsia" w:eastAsiaTheme="minorEastAsia"/>
                <w:color w:val="000000" w:themeColor="text1"/>
                <w:sz w:val="22"/>
                <w14:textFill>
                  <w14:solidFill>
                    <w14:schemeClr w14:val="tx1"/>
                  </w14:solidFill>
                </w14:textFill>
              </w:rPr>
              <w:t>）</w:t>
            </w:r>
          </w:p>
        </w:tc>
        <w:tc>
          <w:tcPr>
            <w:tcW w:w="153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03"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rPr>
              <w:t>经营活动产生的现金流量净额</w:t>
            </w:r>
          </w:p>
        </w:tc>
        <w:tc>
          <w:tcPr>
            <w:tcW w:w="153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03"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985"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rPr>
              <w:t>投资活动产生的现金流量净额</w:t>
            </w:r>
          </w:p>
        </w:tc>
        <w:tc>
          <w:tcPr>
            <w:tcW w:w="153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03"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985"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rPr>
              <w:t>筹资活动产生的现金流量净额</w:t>
            </w:r>
          </w:p>
        </w:tc>
        <w:tc>
          <w:tcPr>
            <w:tcW w:w="1530"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31"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c>
          <w:tcPr>
            <w:tcW w:w="1503"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ind w:left="181" w:leftChars="86"/>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w:t>
            </w:r>
            <w:r>
              <w:rPr>
                <w:rFonts w:hint="eastAsia" w:asciiTheme="minorEastAsia" w:hAnsiTheme="minorEastAsia" w:eastAsiaTheme="minorEastAsia"/>
                <w:i/>
                <w:color w:val="FF0000"/>
                <w:szCs w:val="44"/>
              </w:rPr>
              <w:t>0%的重要财务数据或指标，公司应充分解释导致变动的原因。公司可免于分析金额占营业收入10%以下的利润表科目。</w:t>
            </w:r>
          </w:p>
        </w:tc>
      </w:tr>
    </w:tbl>
    <w:p>
      <w:pPr>
        <w:pStyle w:val="4"/>
        <w:rPr>
          <w:rFonts w:ascii="微软雅黑" w:hAnsi="微软雅黑" w:eastAsia="微软雅黑"/>
          <w:color w:val="000000" w:themeColor="text1"/>
          <w:sz w:val="22"/>
          <w:szCs w:val="44"/>
          <w14:textFill>
            <w14:solidFill>
              <w14:schemeClr w14:val="tx1"/>
            </w14:solidFill>
          </w14:textFill>
        </w:rPr>
      </w:pPr>
      <w:r>
        <w:rPr>
          <w:rFonts w:hint="eastAsia" w:ascii="微软雅黑" w:hAnsi="微软雅黑" w:eastAsia="微软雅黑"/>
          <w:color w:val="000000" w:themeColor="text1"/>
          <w:sz w:val="22"/>
          <w:szCs w:val="44"/>
          <w14:textFill>
            <w14:solidFill>
              <w14:schemeClr w14:val="tx1"/>
            </w14:solidFill>
          </w14:textFill>
        </w:rPr>
        <w:t>三、非经常性</w:t>
      </w:r>
      <w:r>
        <w:rPr>
          <w:rFonts w:ascii="微软雅黑" w:hAnsi="微软雅黑" w:eastAsia="微软雅黑"/>
          <w:color w:val="000000" w:themeColor="text1"/>
          <w:sz w:val="22"/>
          <w:szCs w:val="44"/>
          <w14:textFill>
            <w14:solidFill>
              <w14:schemeClr w14:val="tx1"/>
            </w14:solidFill>
          </w14:textFill>
        </w:rPr>
        <w:t>损益</w:t>
      </w:r>
      <w:r>
        <w:rPr>
          <w:rFonts w:hint="eastAsia" w:ascii="微软雅黑" w:hAnsi="微软雅黑" w:eastAsia="微软雅黑"/>
          <w:color w:val="000000" w:themeColor="text1"/>
          <w:sz w:val="22"/>
          <w:szCs w:val="44"/>
          <w14:textFill>
            <w14:solidFill>
              <w14:schemeClr w14:val="tx1"/>
            </w14:solidFill>
          </w14:textFill>
        </w:rPr>
        <w:t>项目及</w:t>
      </w:r>
      <w:r>
        <w:rPr>
          <w:rFonts w:ascii="微软雅黑" w:hAnsi="微软雅黑" w:eastAsia="微软雅黑"/>
          <w:color w:val="000000" w:themeColor="text1"/>
          <w:sz w:val="22"/>
          <w:szCs w:val="44"/>
          <w14:textFill>
            <w14:solidFill>
              <w14:schemeClr w14:val="tx1"/>
            </w14:solidFill>
          </w14:textFill>
        </w:rPr>
        <w:t>金额</w:t>
      </w:r>
      <w:r>
        <w:rPr>
          <w:rFonts w:hint="eastAsia" w:ascii="微软雅黑" w:hAnsi="微软雅黑" w:eastAsia="微软雅黑"/>
          <w:color w:val="000000" w:themeColor="text1"/>
          <w:sz w:val="22"/>
          <w:szCs w:val="44"/>
          <w14:textFill>
            <w14:solidFill>
              <w14:schemeClr w14:val="tx1"/>
            </w14:solidFill>
          </w14:textFill>
        </w:rPr>
        <w:t xml:space="preserve"> </w:t>
      </w:r>
      <w:r>
        <w:rPr>
          <w:rFonts w:ascii="微软雅黑" w:hAnsi="微软雅黑" w:eastAsia="微软雅黑"/>
          <w:color w:val="000000" w:themeColor="text1"/>
          <w:sz w:val="22"/>
          <w:szCs w:val="44"/>
          <w14:textFill>
            <w14:solidFill>
              <w14:schemeClr w14:val="tx1"/>
            </w14:solidFill>
          </w14:textFill>
        </w:rPr>
        <w:t xml:space="preserve">                                                 </w:t>
      </w:r>
      <w:r>
        <w:rPr>
          <w:rFonts w:hint="eastAsia" w:ascii="微软雅黑" w:hAnsi="微软雅黑" w:eastAsia="微软雅黑"/>
          <w:color w:val="000000" w:themeColor="text1"/>
          <w:sz w:val="22"/>
          <w:szCs w:val="44"/>
          <w14:textFill>
            <w14:solidFill>
              <w14:schemeClr w14:val="tx1"/>
            </w14:solidFill>
          </w14:textFill>
        </w:rPr>
        <w:t xml:space="preserve"> </w:t>
      </w:r>
    </w:p>
    <w:p>
      <w:pPr>
        <w:jc w:val="right"/>
        <w:rPr>
          <w:rFonts w:ascii="微软雅黑" w:hAnsi="微软雅黑" w:eastAsia="微软雅黑"/>
          <w:b/>
          <w:sz w:val="22"/>
          <w:szCs w:val="44"/>
        </w:rPr>
      </w:pPr>
      <w:r>
        <w:rPr>
          <w:rFonts w:hint="eastAsia"/>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项目</w:t>
            </w:r>
          </w:p>
        </w:tc>
        <w:tc>
          <w:tcPr>
            <w:tcW w:w="4394"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非经常性损益合计</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所得税</w:t>
            </w:r>
            <w:r>
              <w:rPr>
                <w:rFonts w:asciiTheme="minorEastAsia" w:hAnsiTheme="minorEastAsia" w:eastAsiaTheme="minorEastAsia"/>
                <w:color w:val="000000" w:themeColor="text1"/>
                <w:kern w:val="0"/>
                <w:sz w:val="22"/>
                <w14:textFill>
                  <w14:solidFill>
                    <w14:schemeClr w14:val="tx1"/>
                  </w14:solidFill>
                </w14:textFill>
              </w:rPr>
              <w:t>影响数</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color w:val="000000" w:themeColor="text1"/>
                <w:sz w:val="22"/>
                <w14:textFill>
                  <w14:solidFill>
                    <w14:schemeClr w14:val="tx1"/>
                  </w14:solidFill>
                </w14:textFill>
              </w:rPr>
              <w:t>少数股东权益影响额（税后）</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w:t>
            </w:r>
            <w:r>
              <w:rPr>
                <w:rFonts w:asciiTheme="minorEastAsia" w:hAnsiTheme="minorEastAsia" w:eastAsiaTheme="minorEastAsia"/>
                <w:b/>
                <w:color w:val="000000" w:themeColor="text1"/>
                <w:kern w:val="0"/>
                <w:sz w:val="22"/>
                <w14:textFill>
                  <w14:solidFill>
                    <w14:schemeClr w14:val="tx1"/>
                  </w14:solidFill>
                </w14:textFill>
              </w:rPr>
              <w:t>损益净额</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四、会计政策变更、会计</w:t>
      </w:r>
      <w:r>
        <w:rPr>
          <w:rFonts w:ascii="微软雅黑" w:hAnsi="微软雅黑" w:eastAsia="微软雅黑"/>
          <w:sz w:val="22"/>
          <w:szCs w:val="22"/>
        </w:rPr>
        <w:t>估计变更或重大</w:t>
      </w:r>
      <w:r>
        <w:rPr>
          <w:rFonts w:hint="eastAsia" w:ascii="微软雅黑" w:hAnsi="微软雅黑" w:eastAsia="微软雅黑"/>
          <w:sz w:val="22"/>
          <w:szCs w:val="22"/>
        </w:rPr>
        <w:t>差错更正等</w:t>
      </w:r>
      <w:r>
        <w:rPr>
          <w:rFonts w:ascii="微软雅黑" w:hAnsi="微软雅黑" w:eastAsia="微软雅黑"/>
          <w:sz w:val="22"/>
          <w:szCs w:val="22"/>
        </w:rPr>
        <w:t>情况</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（一）会计数据</w:t>
      </w:r>
      <w:r>
        <w:rPr>
          <w:b/>
          <w:color w:val="000000" w:themeColor="text1"/>
          <w14:textFill>
            <w14:solidFill>
              <w14:schemeClr w14:val="tx1"/>
            </w14:solidFill>
          </w14:textFill>
        </w:rPr>
        <w:t>追溯调整或重述</w:t>
      </w:r>
      <w:r>
        <w:rPr>
          <w:rFonts w:hint="eastAsia"/>
          <w:b/>
          <w:color w:val="000000" w:themeColor="text1"/>
          <w14:textFill>
            <w14:solidFill>
              <w14:schemeClr w14:val="tx1"/>
            </w14:solidFill>
          </w14:textFill>
        </w:rPr>
        <w:t>情况</w:t>
      </w:r>
    </w:p>
    <w:p>
      <w:r>
        <w:rPr>
          <w:rFonts w:hint="eastAsia"/>
        </w:rPr>
        <w:t>□</w:t>
      </w:r>
      <w:r>
        <w:t xml:space="preserve">  </w:t>
      </w:r>
      <w:r>
        <w:rPr>
          <w:rFonts w:hint="eastAsia"/>
        </w:rPr>
        <w:t>会计政策变更</w:t>
      </w:r>
      <w:r>
        <w:t xml:space="preserve">    </w:t>
      </w:r>
      <w:r>
        <w:rPr>
          <w:rFonts w:hint="eastAsia"/>
        </w:rPr>
        <w:t xml:space="preserve">     □</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hAnsiTheme="minorEastAsia" w:eastAsiaTheme="minorEastAsia"/>
          <w:color w:val="FF0000"/>
          <w:szCs w:val="44"/>
        </w:rPr>
        <w:t xml:space="preserve">       </w:t>
      </w:r>
      <w:r>
        <w:rPr>
          <w:color w:val="000000" w:themeColor="text1"/>
          <w14:textFill>
            <w14:solidFill>
              <w14:schemeClr w14:val="tx1"/>
            </w14:solidFill>
          </w14:textFill>
        </w:rPr>
        <w:t xml:space="preserve"> </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640"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科目/指标</w:t>
            </w:r>
          </w:p>
        </w:tc>
        <w:tc>
          <w:tcPr>
            <w:tcW w:w="4110" w:type="dxa"/>
            <w:gridSpan w:val="2"/>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上年同期</w:t>
            </w:r>
            <w:r>
              <w:rPr>
                <w:rFonts w:asciiTheme="minorEastAsia" w:hAnsiTheme="minorEastAsia" w:eastAsiaTheme="minorEastAsia"/>
                <w:b/>
                <w:color w:val="000000" w:themeColor="text1"/>
                <w:kern w:val="0"/>
                <w:sz w:val="22"/>
                <w14:textFill>
                  <w14:solidFill>
                    <w14:schemeClr w14:val="tx1"/>
                  </w14:solidFill>
                </w14:textFill>
              </w:rPr>
              <w:t>）</w:t>
            </w:r>
          </w:p>
        </w:tc>
        <w:tc>
          <w:tcPr>
            <w:tcW w:w="4111" w:type="dxa"/>
            <w:gridSpan w:val="2"/>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上上年同期</w:t>
            </w:r>
            <w:r>
              <w:rPr>
                <w:rFonts w:asciiTheme="minorEastAsia" w:hAnsiTheme="minorEastAsia" w:eastAsia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Theme="minorEastAsia" w:hAnsiTheme="minorEastAsia" w:eastAsiaTheme="minorEastAsia"/>
                <w:b/>
                <w:color w:val="000000" w:themeColor="text1"/>
                <w:kern w:val="0"/>
                <w:sz w:val="22"/>
                <w14:textFill>
                  <w14:solidFill>
                    <w14:schemeClr w14:val="tx1"/>
                  </w14:solidFill>
                </w14:textFill>
              </w:rPr>
            </w:pPr>
          </w:p>
        </w:tc>
        <w:tc>
          <w:tcPr>
            <w:tcW w:w="1984"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212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w:t>
            </w:r>
            <w:r>
              <w:rPr>
                <w:rFonts w:asciiTheme="minorEastAsia" w:hAnsiTheme="minorEastAsia" w:eastAsiaTheme="minorEastAsia"/>
                <w:b/>
                <w:color w:val="000000" w:themeColor="text1"/>
                <w:kern w:val="0"/>
                <w:sz w:val="22"/>
                <w14:textFill>
                  <w14:solidFill>
                    <w14:schemeClr w14:val="tx1"/>
                  </w14:solidFill>
                </w14:textFill>
              </w:rPr>
              <w:t>重述后</w:t>
            </w:r>
          </w:p>
        </w:tc>
        <w:tc>
          <w:tcPr>
            <w:tcW w:w="2268"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1843"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7" w:hRule="atLeast"/>
        </w:trPr>
        <w:tc>
          <w:tcPr>
            <w:tcW w:w="1419"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7"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（二）会计政策、会计估计变更或重大会计差错更正的原因及影响</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五、境内外会计准则下会计数据差异</w:t>
      </w:r>
    </w:p>
    <w:p>
      <w:pPr>
        <w:ind w:left="360"/>
        <w:rPr>
          <w:rFonts w:asciiTheme="minorEastAsia" w:hAnsiTheme="minorEastAsia" w:eastAsiaTheme="minorEastAsia" w:cstheme="minorBidi"/>
          <w:color w:val="000000" w:themeColor="text1"/>
          <w:sz w:val="22"/>
          <w14:textFill>
            <w14:solidFill>
              <w14:schemeClr w14:val="tx1"/>
            </w14:solidFill>
          </w14:textFill>
        </w:rPr>
      </w:pP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适用</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不适用</w:t>
      </w:r>
    </w:p>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单位</w:t>
      </w:r>
      <w:r>
        <w:rPr>
          <w:rFonts w:asciiTheme="minorEastAsia" w:hAnsiTheme="minorEastAsia" w:eastAsiaTheme="minorEastAsia"/>
          <w:color w:val="000000" w:themeColor="text1"/>
          <w:sz w:val="22"/>
          <w14:textFill>
            <w14:solidFill>
              <w14:schemeClr w14:val="tx1"/>
            </w14:solidFill>
          </w14:textFill>
        </w:rPr>
        <w:t>：元</w:t>
      </w:r>
    </w:p>
    <w:tbl>
      <w:tblPr>
        <w:tblStyle w:val="142"/>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1842"/>
        <w:gridCol w:w="1701"/>
        <w:gridCol w:w="1701"/>
        <w:gridCol w:w="170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vMerge w:val="restart"/>
            <w:shd w:val="clear" w:color="auto" w:fill="D8D8D8" w:themeFill="background1" w:themeFillShade="D9"/>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3543" w:type="dxa"/>
            <w:gridSpan w:val="2"/>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归属于挂牌公司股东的净利润</w:t>
            </w:r>
          </w:p>
        </w:tc>
        <w:tc>
          <w:tcPr>
            <w:tcW w:w="3402" w:type="dxa"/>
            <w:gridSpan w:val="2"/>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归属于挂牌公司股东的净资产</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vMerge w:val="continue"/>
            <w:shd w:val="clear" w:color="auto" w:fill="D8D8D8" w:themeFill="background1" w:themeFillShade="D9"/>
          </w:tcPr>
          <w:p>
            <w:pPr>
              <w:rPr>
                <w:rFonts w:asciiTheme="minorEastAsia" w:hAnsiTheme="minorEastAsia" w:eastAsiaTheme="minorEastAsia"/>
                <w:b/>
                <w:color w:val="000000" w:themeColor="text1"/>
                <w:sz w:val="22"/>
                <w14:textFill>
                  <w14:solidFill>
                    <w14:schemeClr w14:val="tx1"/>
                  </w14:solidFill>
                </w14:textFill>
              </w:rPr>
            </w:pPr>
          </w:p>
        </w:tc>
        <w:tc>
          <w:tcPr>
            <w:tcW w:w="1842"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1701"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w:t>
            </w:r>
          </w:p>
        </w:tc>
        <w:tc>
          <w:tcPr>
            <w:tcW w:w="1701"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1701" w:type="dxa"/>
            <w:shd w:val="clear" w:color="auto" w:fill="D8D8D8" w:themeFill="background1" w:themeFillShade="D9"/>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按境内</w:t>
            </w:r>
            <w:r>
              <w:rPr>
                <w:rFonts w:asciiTheme="minorEastAsia" w:hAnsiTheme="minorEastAsia" w:eastAsiaTheme="minorEastAsia"/>
                <w:color w:val="000000" w:themeColor="text1"/>
                <w:sz w:val="22"/>
                <w14:textFill>
                  <w14:solidFill>
                    <w14:schemeClr w14:val="tx1"/>
                  </w14:solidFill>
                </w14:textFill>
              </w:rPr>
              <w:t>会计准则</w:t>
            </w:r>
          </w:p>
        </w:tc>
        <w:tc>
          <w:tcPr>
            <w:tcW w:w="1842"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按</w:t>
            </w:r>
            <w:r>
              <w:rPr>
                <w:rFonts w:hint="eastAsia" w:asciiTheme="minorEastAsia" w:hAnsiTheme="minorEastAsia" w:eastAsiaTheme="minorEastAsia"/>
                <w:sz w:val="22"/>
              </w:rPr>
              <w:t>境外</w:t>
            </w:r>
            <w:r>
              <w:rPr>
                <w:rFonts w:asciiTheme="minorEastAsia" w:hAnsiTheme="minorEastAsia" w:eastAsiaTheme="minorEastAsia"/>
                <w:color w:val="000000" w:themeColor="text1"/>
                <w:sz w:val="22"/>
                <w14:textFill>
                  <w14:solidFill>
                    <w14:schemeClr w14:val="tx1"/>
                  </w14:solidFill>
                </w14:textFill>
              </w:rPr>
              <w:t>会计准则调整的项目及金额</w:t>
            </w:r>
          </w:p>
        </w:tc>
        <w:tc>
          <w:tcPr>
            <w:tcW w:w="1842"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c>
          <w:tcPr>
            <w:tcW w:w="1701" w:type="dxa"/>
            <w:vAlign w:val="center"/>
          </w:tcPr>
          <w:p>
            <w:pPr>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p>
        </w:tc>
        <w:tc>
          <w:tcPr>
            <w:tcW w:w="1842"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clear" w:color="auto" w:fill="D8D8D8" w:themeFill="background1" w:themeFillShade="D9"/>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sz w:val="22"/>
              </w:rPr>
              <w:t>按境外</w:t>
            </w:r>
            <w:r>
              <w:rPr>
                <w:rFonts w:asciiTheme="minorEastAsia" w:hAnsiTheme="minorEastAsia" w:eastAsiaTheme="minorEastAsia"/>
                <w:sz w:val="22"/>
              </w:rPr>
              <w:t>会计准则</w:t>
            </w:r>
          </w:p>
        </w:tc>
        <w:tc>
          <w:tcPr>
            <w:tcW w:w="1842"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c>
          <w:tcPr>
            <w:tcW w:w="1701" w:type="dxa"/>
          </w:tcPr>
          <w:p>
            <w:pPr>
              <w:rPr>
                <w:rFonts w:asciiTheme="minorEastAsia" w:hAnsiTheme="minorEastAsia" w:eastAsiaTheme="minorEastAsia"/>
                <w:color w:val="000000" w:themeColor="text1"/>
                <w:sz w:val="22"/>
                <w14:textFill>
                  <w14:solidFill>
                    <w14:schemeClr w14:val="tx1"/>
                  </w14:solidFill>
                </w14:textFill>
              </w:rPr>
            </w:pPr>
          </w:p>
        </w:tc>
      </w:tr>
    </w:tbl>
    <w:p>
      <w:pPr>
        <w:widowControl/>
        <w:jc w:val="left"/>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境内外</w:t>
      </w:r>
      <w:r>
        <w:rPr>
          <w:rFonts w:asciiTheme="minorEastAsia" w:hAnsiTheme="minorEastAsia"/>
          <w:b/>
          <w:color w:val="000000" w:themeColor="text1"/>
          <w:szCs w:val="21"/>
          <w14:textFill>
            <w14:solidFill>
              <w14:schemeClr w14:val="tx1"/>
            </w14:solidFill>
          </w14:textFill>
        </w:rPr>
        <w:t>会计准则下会计数据差异原因说明</w:t>
      </w:r>
      <w:r>
        <w:rPr>
          <w:rFonts w:hint="eastAsia" w:asciiTheme="minorEastAsia" w:hAnsiTheme="minorEastAsia"/>
          <w:b/>
          <w:color w:val="000000" w:themeColor="text1"/>
          <w:szCs w:val="21"/>
          <w14:textFill>
            <w14:solidFill>
              <w14:schemeClr w14:val="tx1"/>
            </w14:solidFill>
          </w14:textFill>
        </w:rPr>
        <w:t>：</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注：同时发行境外上市外资股的公司，若按不同会计准则计算的净利润和归属于挂牌公司股东的净资产存在重大差异的，应当说明差异的主要原因。</w:t>
            </w:r>
          </w:p>
        </w:tc>
      </w:tr>
    </w:tbl>
    <w:p>
      <w:pPr>
        <w:pStyle w:val="4"/>
        <w:keepNext w:val="0"/>
        <w:keepLines w:val="0"/>
        <w:spacing w:line="415" w:lineRule="auto"/>
        <w:rPr>
          <w:rFonts w:ascii="微软雅黑" w:hAnsi="微软雅黑" w:eastAsia="微软雅黑"/>
          <w:sz w:val="22"/>
          <w:szCs w:val="22"/>
        </w:rPr>
      </w:pPr>
      <w:r>
        <w:br w:type="page"/>
      </w:r>
      <w:r>
        <w:rPr>
          <w:rFonts w:hint="eastAsia" w:ascii="微软雅黑" w:hAnsi="微软雅黑" w:eastAsia="微软雅黑"/>
          <w:sz w:val="22"/>
          <w:szCs w:val="22"/>
        </w:rPr>
        <w:t>六</w:t>
      </w:r>
      <w:r>
        <w:rPr>
          <w:rFonts w:ascii="微软雅黑" w:hAnsi="微软雅黑" w:eastAsia="微软雅黑"/>
          <w:sz w:val="22"/>
          <w:szCs w:val="22"/>
        </w:rPr>
        <w:t>、</w:t>
      </w:r>
      <w:r>
        <w:rPr>
          <w:rFonts w:hint="eastAsia" w:ascii="微软雅黑" w:hAnsi="微软雅黑" w:eastAsia="微软雅黑"/>
          <w:sz w:val="22"/>
          <w:szCs w:val="22"/>
        </w:rPr>
        <w:t>主要控股参股公司分析</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（一）主要控股参股公司基本情况</w:t>
      </w:r>
    </w:p>
    <w:p>
      <w:pPr>
        <w:ind w:left="181" w:leftChars="86"/>
      </w:pPr>
      <w:r>
        <w:rPr>
          <w:rFonts w:hint="eastAsia"/>
        </w:rPr>
        <w:t>□  适用  □  不适用</w:t>
      </w:r>
    </w:p>
    <w:p>
      <w:pPr>
        <w:ind w:left="181" w:leftChars="86"/>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单位</w:t>
      </w:r>
      <w:r>
        <w:rPr>
          <w:rFonts w:asciiTheme="minorEastAsia" w:hAnsiTheme="minorEastAsia" w:eastAsiaTheme="minorEastAsia"/>
          <w:color w:val="000000" w:themeColor="text1"/>
          <w:sz w:val="22"/>
          <w14:textFill>
            <w14:solidFill>
              <w14:schemeClr w14:val="tx1"/>
            </w14:solidFill>
          </w14:textFill>
        </w:rPr>
        <w:t>：元</w:t>
      </w:r>
    </w:p>
    <w:tbl>
      <w:tblPr>
        <w:tblStyle w:val="45"/>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56"/>
        <w:gridCol w:w="1625"/>
        <w:gridCol w:w="933"/>
        <w:gridCol w:w="933"/>
        <w:gridCol w:w="825"/>
        <w:gridCol w:w="825"/>
        <w:gridCol w:w="933"/>
        <w:gridCol w:w="825"/>
      </w:tblGrid>
      <w:tr>
        <w:tblPrEx>
          <w:tblCellMar>
            <w:top w:w="0" w:type="dxa"/>
            <w:left w:w="108" w:type="dxa"/>
            <w:bottom w:w="0" w:type="dxa"/>
            <w:right w:w="108" w:type="dxa"/>
          </w:tblCellMar>
        </w:tblPrEx>
        <w:trPr>
          <w:trHeight w:val="222" w:hRule="atLeast"/>
        </w:trPr>
        <w:tc>
          <w:tcPr>
            <w:tcW w:w="135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公司名称</w:t>
            </w:r>
          </w:p>
        </w:tc>
        <w:tc>
          <w:tcPr>
            <w:tcW w:w="16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公司类型</w:t>
            </w:r>
          </w:p>
        </w:tc>
        <w:tc>
          <w:tcPr>
            <w:tcW w:w="93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主要业务</w:t>
            </w:r>
          </w:p>
        </w:tc>
        <w:tc>
          <w:tcPr>
            <w:tcW w:w="93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注册资本</w:t>
            </w:r>
          </w:p>
        </w:tc>
        <w:tc>
          <w:tcPr>
            <w:tcW w:w="8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总资产</w:t>
            </w:r>
          </w:p>
        </w:tc>
        <w:tc>
          <w:tcPr>
            <w:tcW w:w="8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净资产</w:t>
            </w:r>
          </w:p>
        </w:tc>
        <w:tc>
          <w:tcPr>
            <w:tcW w:w="93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营业收入</w:t>
            </w:r>
          </w:p>
        </w:tc>
        <w:tc>
          <w:tcPr>
            <w:tcW w:w="8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净利润</w:t>
            </w:r>
          </w:p>
        </w:tc>
      </w:tr>
      <w:tr>
        <w:tblPrEx>
          <w:tblCellMar>
            <w:top w:w="0" w:type="dxa"/>
            <w:left w:w="108" w:type="dxa"/>
            <w:bottom w:w="0" w:type="dxa"/>
            <w:right w:w="108" w:type="dxa"/>
          </w:tblCellMar>
        </w:tblPrEx>
        <w:trPr>
          <w:trHeight w:val="213" w:hRule="atLeast"/>
        </w:trPr>
        <w:tc>
          <w:tcPr>
            <w:tcW w:w="135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r>
              <w:rPr>
                <w:rFonts w:hint="eastAsia"/>
                <w:lang w:val="zh-CN"/>
              </w:rPr>
              <w:t>…（自动添行）</w:t>
            </w:r>
          </w:p>
        </w:tc>
        <w:tc>
          <w:tcPr>
            <w:tcW w:w="16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r>
              <w:rPr>
                <w:rFonts w:hint="eastAsia" w:asciiTheme="minorEastAsia" w:hAnsiTheme="minorEastAsia" w:eastAsiaTheme="minorEastAsia"/>
                <w:color w:val="FF0000"/>
                <w:szCs w:val="21"/>
              </w:rPr>
              <w:t>（子公司/参股公司）</w:t>
            </w:r>
          </w:p>
        </w:tc>
        <w:tc>
          <w:tcPr>
            <w:tcW w:w="93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93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8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8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93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c>
          <w:tcPr>
            <w:tcW w:w="82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p>
        </w:tc>
      </w:tr>
    </w:tbl>
    <w:p>
      <w:pPr>
        <w:rPr>
          <w:b/>
        </w:rPr>
      </w:pP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（二）主要参股公司业务</w:t>
      </w:r>
      <w:r>
        <w:rPr>
          <w:b/>
          <w:color w:val="000000" w:themeColor="text1"/>
          <w14:textFill>
            <w14:solidFill>
              <w14:schemeClr w14:val="tx1"/>
            </w14:solidFill>
          </w14:textFill>
        </w:rPr>
        <w:t>分析</w:t>
      </w:r>
    </w:p>
    <w:p>
      <w:pPr>
        <w:ind w:left="181" w:leftChars="86"/>
      </w:pPr>
      <w:r>
        <w:rPr>
          <w:rFonts w:hint="eastAsia"/>
        </w:rPr>
        <w:t>□  适用  □  不适用</w:t>
      </w:r>
    </w:p>
    <w:tbl>
      <w:tblPr>
        <w:tblStyle w:val="45"/>
        <w:tblW w:w="5000" w:type="pct"/>
        <w:jc w:val="center"/>
        <w:tblLayout w:type="autofit"/>
        <w:tblCellMar>
          <w:top w:w="0" w:type="dxa"/>
          <w:left w:w="108" w:type="dxa"/>
          <w:bottom w:w="0" w:type="dxa"/>
          <w:right w:w="108" w:type="dxa"/>
        </w:tblCellMar>
      </w:tblPr>
      <w:tblGrid>
        <w:gridCol w:w="3199"/>
        <w:gridCol w:w="2912"/>
        <w:gridCol w:w="2370"/>
      </w:tblGrid>
      <w:tr>
        <w:tblPrEx>
          <w:tblCellMar>
            <w:top w:w="0" w:type="dxa"/>
            <w:left w:w="108" w:type="dxa"/>
            <w:bottom w:w="0" w:type="dxa"/>
            <w:right w:w="108" w:type="dxa"/>
          </w:tblCellMar>
        </w:tblPrEx>
        <w:trPr>
          <w:trHeight w:val="222" w:hRule="atLeast"/>
          <w:jc w:val="center"/>
        </w:trPr>
        <w:tc>
          <w:tcPr>
            <w:tcW w:w="188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公司名称</w:t>
            </w:r>
          </w:p>
        </w:tc>
        <w:tc>
          <w:tcPr>
            <w:tcW w:w="1717"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与公司从事业务的关联性</w:t>
            </w:r>
          </w:p>
        </w:tc>
        <w:tc>
          <w:tcPr>
            <w:tcW w:w="1397"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vAlign w:val="center"/>
          </w:tcPr>
          <w:p>
            <w:pPr>
              <w:ind w:left="181" w:leftChars="86"/>
              <w:jc w:val="center"/>
              <w:rPr>
                <w:b/>
                <w:lang w:val="zh-CN"/>
              </w:rPr>
            </w:pPr>
            <w:r>
              <w:rPr>
                <w:rFonts w:hint="eastAsia"/>
                <w:b/>
                <w:lang w:val="zh-CN"/>
              </w:rPr>
              <w:t>持有目的</w:t>
            </w:r>
          </w:p>
        </w:tc>
      </w:tr>
      <w:tr>
        <w:tblPrEx>
          <w:tblCellMar>
            <w:top w:w="0" w:type="dxa"/>
            <w:left w:w="108" w:type="dxa"/>
            <w:bottom w:w="0" w:type="dxa"/>
            <w:right w:w="108" w:type="dxa"/>
          </w:tblCellMar>
        </w:tblPrEx>
        <w:trPr>
          <w:trHeight w:val="213" w:hRule="atLeast"/>
          <w:jc w:val="center"/>
        </w:trPr>
        <w:tc>
          <w:tcPr>
            <w:tcW w:w="1886"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lang w:val="zh-CN"/>
              </w:rPr>
            </w:pPr>
            <w:r>
              <w:rPr>
                <w:rFonts w:hint="eastAsia"/>
                <w:lang w:val="zh-CN"/>
              </w:rPr>
              <w:t>…（自动添行）</w:t>
            </w:r>
          </w:p>
        </w:tc>
        <w:tc>
          <w:tcPr>
            <w:tcW w:w="1717"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color w:val="FF0000"/>
                <w:lang w:val="zh-CN"/>
              </w:rPr>
            </w:pPr>
            <w:r>
              <w:rPr>
                <w:rFonts w:hint="eastAsia"/>
                <w:color w:val="FF0000"/>
                <w:lang w:val="zh-CN"/>
              </w:rPr>
              <w:t>（仅参股公司适用）</w:t>
            </w:r>
          </w:p>
        </w:tc>
        <w:tc>
          <w:tcPr>
            <w:tcW w:w="1397" w:type="pct"/>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left="181" w:leftChars="86"/>
              <w:jc w:val="left"/>
              <w:rPr>
                <w:color w:val="FF0000"/>
                <w:lang w:val="zh-CN"/>
              </w:rPr>
            </w:pPr>
            <w:r>
              <w:rPr>
                <w:rFonts w:hint="eastAsia"/>
                <w:color w:val="FF0000"/>
                <w:lang w:val="zh-CN"/>
              </w:rPr>
              <w:t>（仅参股公司适用）</w:t>
            </w:r>
          </w:p>
        </w:tc>
      </w:tr>
    </w:tbl>
    <w:p>
      <w:pPr>
        <w:rPr>
          <w:b/>
        </w:rPr>
      </w:pPr>
    </w:p>
    <w:p>
      <w:r>
        <w:rPr>
          <w:rFonts w:hint="eastAsia"/>
          <w:b/>
        </w:rPr>
        <w:t>合并报表范围内是否包含私募基金管理人：</w:t>
      </w:r>
    </w:p>
    <w:p>
      <w:pPr>
        <w:ind w:left="181" w:leftChars="86"/>
      </w:pPr>
      <w:r>
        <w:rPr>
          <w:rFonts w:hint="eastAsia"/>
        </w:rPr>
        <w:t>□  是  □  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合并报表的合并范围内存在私募基金管理人，应当说明子公司私募业务开展情况，并在财务报表附注中披露私募业务分部报告。</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七</w:t>
      </w:r>
      <w:r>
        <w:rPr>
          <w:rFonts w:ascii="微软雅黑" w:hAnsi="微软雅黑" w:eastAsia="微软雅黑"/>
          <w:sz w:val="22"/>
          <w:szCs w:val="22"/>
        </w:rPr>
        <w:t>、</w:t>
      </w:r>
      <w:r>
        <w:rPr>
          <w:rFonts w:hint="eastAsia" w:ascii="微软雅黑" w:hAnsi="微软雅黑" w:eastAsia="微软雅黑"/>
          <w:sz w:val="22"/>
          <w:szCs w:val="22"/>
        </w:rPr>
        <w:t>公司控制</w:t>
      </w:r>
      <w:r>
        <w:rPr>
          <w:rFonts w:ascii="微软雅黑" w:hAnsi="微软雅黑" w:eastAsia="微软雅黑"/>
          <w:sz w:val="22"/>
          <w:szCs w:val="22"/>
        </w:rPr>
        <w:t>的结构化主体</w:t>
      </w:r>
      <w:r>
        <w:rPr>
          <w:rFonts w:hint="eastAsia" w:ascii="微软雅黑" w:hAnsi="微软雅黑" w:eastAsia="微软雅黑"/>
          <w:sz w:val="22"/>
          <w:szCs w:val="22"/>
        </w:rPr>
        <w:t>情况</w:t>
      </w:r>
    </w:p>
    <w:p>
      <w:pPr>
        <w:ind w:left="181" w:leftChars="86"/>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八</w:t>
      </w:r>
      <w:r>
        <w:rPr>
          <w:rFonts w:ascii="微软雅黑" w:hAnsi="微软雅黑" w:eastAsia="微软雅黑"/>
          <w:sz w:val="22"/>
          <w:szCs w:val="22"/>
        </w:rPr>
        <w:t>、</w:t>
      </w:r>
      <w:r>
        <w:rPr>
          <w:rFonts w:hint="eastAsia" w:ascii="微软雅黑" w:hAnsi="微软雅黑" w:eastAsia="微软雅黑"/>
          <w:sz w:val="22"/>
          <w:szCs w:val="22"/>
        </w:rPr>
        <w:t>企业社会责任</w:t>
      </w:r>
    </w:p>
    <w:p>
      <w:pPr>
        <w:pStyle w:val="5"/>
        <w:keepNext w:val="0"/>
        <w:keepLines w:val="0"/>
        <w:spacing w:line="377" w:lineRule="auto"/>
        <w:jc w:val="left"/>
        <w:rPr>
          <w:szCs w:val="22"/>
        </w:rPr>
      </w:pPr>
      <w:r>
        <w:rPr>
          <w:rFonts w:hint="eastAsia"/>
          <w:szCs w:val="22"/>
        </w:rPr>
        <w:t xml:space="preserve">（一）精准扶贫工作情况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：鼓励公司结合自身生产经营情况、战略发展规划、人才与资源优势等开展各项精准扶贫工作，并积极披露报告期内履行扶贫社会责任的具体情况，包括</w:t>
            </w:r>
            <w:r>
              <w:rPr>
                <w:rFonts w:asciiTheme="minorEastAsia" w:hAnsiTheme="minorEastAsia" w:eastAsiaTheme="minorEastAsia"/>
                <w:i/>
                <w:color w:val="FF0000"/>
                <w:szCs w:val="44"/>
              </w:rPr>
              <w:t>精准</w:t>
            </w:r>
            <w:r>
              <w:rPr>
                <w:rFonts w:hint="eastAsia" w:asciiTheme="minorEastAsia" w:hAnsiTheme="minorEastAsia" w:eastAsiaTheme="minorEastAsia"/>
                <w:i/>
                <w:color w:val="FF0000"/>
                <w:szCs w:val="44"/>
              </w:rPr>
              <w:t>扶贫</w:t>
            </w:r>
            <w:r>
              <w:rPr>
                <w:rFonts w:asciiTheme="minorEastAsia" w:hAnsiTheme="minorEastAsia" w:eastAsiaTheme="minorEastAsia"/>
                <w:i/>
                <w:color w:val="FF0000"/>
                <w:szCs w:val="44"/>
              </w:rPr>
              <w:t>计划、</w:t>
            </w:r>
            <w:r>
              <w:rPr>
                <w:rFonts w:hint="eastAsia" w:asciiTheme="minorEastAsia" w:hAnsiTheme="minorEastAsia" w:eastAsiaTheme="minorEastAsia"/>
                <w:i/>
                <w:color w:val="FF0000"/>
                <w:szCs w:val="44"/>
              </w:rPr>
              <w:t>精准</w:t>
            </w:r>
            <w:r>
              <w:rPr>
                <w:rFonts w:asciiTheme="minorEastAsia" w:hAnsiTheme="minorEastAsia" w:eastAsiaTheme="minorEastAsia"/>
                <w:i/>
                <w:color w:val="FF0000"/>
                <w:szCs w:val="44"/>
              </w:rPr>
              <w:t>扶贫概要、精准扶贫成效及后续</w:t>
            </w:r>
            <w:r>
              <w:rPr>
                <w:rFonts w:hint="eastAsia" w:asciiTheme="minorEastAsia" w:hAnsiTheme="minorEastAsia" w:eastAsiaTheme="minorEastAsia"/>
                <w:i/>
                <w:color w:val="FF0000"/>
                <w:szCs w:val="44"/>
              </w:rPr>
              <w:t>精准</w:t>
            </w:r>
            <w:r>
              <w:rPr>
                <w:rFonts w:asciiTheme="minorEastAsia" w:hAnsiTheme="minorEastAsia" w:eastAsiaTheme="minorEastAsia"/>
                <w:i/>
                <w:color w:val="FF0000"/>
                <w:szCs w:val="44"/>
              </w:rPr>
              <w:t>扶贫计划等</w:t>
            </w:r>
            <w:r>
              <w:rPr>
                <w:rFonts w:hint="eastAsia" w:asciiTheme="minorEastAsia" w:hAnsiTheme="minorEastAsia" w:eastAsiaTheme="minorEastAsia"/>
                <w:i/>
                <w:color w:val="FF0000"/>
                <w:szCs w:val="44"/>
              </w:rPr>
              <w:t>。</w:t>
            </w:r>
          </w:p>
        </w:tc>
      </w:tr>
    </w:tbl>
    <w:p>
      <w:pPr>
        <w:pStyle w:val="5"/>
        <w:keepNext w:val="0"/>
        <w:keepLines w:val="0"/>
        <w:spacing w:line="377" w:lineRule="auto"/>
        <w:jc w:val="left"/>
        <w:rPr>
          <w:szCs w:val="22"/>
        </w:rPr>
      </w:pPr>
      <w:r>
        <w:rPr>
          <w:rFonts w:hint="eastAsia"/>
          <w:szCs w:val="22"/>
        </w:rPr>
        <w:t>（二）其他社会责任履行</w:t>
      </w:r>
      <w:r>
        <w:rPr>
          <w:szCs w:val="22"/>
        </w:rPr>
        <w:t>情况</w:t>
      </w:r>
      <w:r>
        <w:rPr>
          <w:rFonts w:hint="eastAsia"/>
          <w:szCs w:val="22"/>
        </w:rPr>
        <w:t xml:space="preserve">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pPr>
        <w:tabs>
          <w:tab w:val="left" w:pos="5140"/>
        </w:tabs>
        <w:rPr>
          <w:rFonts w:ascii="黑体" w:hAnsi="黑体" w:eastAsia="黑体"/>
          <w:b/>
          <w:bCs/>
          <w:sz w:val="36"/>
          <w:szCs w:val="36"/>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注：第三节第一到第八项披露的部分内容如与财务报表附注相同的，公司可以在财务报表</w:t>
      </w:r>
      <w:r>
        <w:rPr>
          <w:rFonts w:asciiTheme="minorEastAsia" w:hAnsiTheme="minorEastAsia" w:eastAsiaTheme="minorEastAsia"/>
          <w:i/>
          <w:color w:val="FF0000"/>
          <w:szCs w:val="44"/>
        </w:rPr>
        <w:t>附注部分</w:t>
      </w:r>
      <w:r>
        <w:rPr>
          <w:rFonts w:hint="eastAsia" w:asciiTheme="minorEastAsia" w:hAnsiTheme="minorEastAsia" w:eastAsiaTheme="minorEastAsia"/>
          <w:i/>
          <w:color w:val="FF0000"/>
          <w:szCs w:val="44"/>
        </w:rPr>
        <w:t>建立相关查询索引，避免重复。</w:t>
      </w:r>
    </w:p>
    <w:p>
      <w:pPr>
        <w:pStyle w:val="35"/>
        <w:rPr>
          <w:rFonts w:ascii="黑体" w:hAnsi="黑体" w:eastAsia="黑体"/>
          <w:sz w:val="36"/>
          <w:szCs w:val="36"/>
        </w:rPr>
      </w:pPr>
      <w:r>
        <w:rPr>
          <w:rFonts w:hint="eastAsia" w:ascii="黑体" w:hAnsi="黑体" w:eastAsia="黑体"/>
          <w:sz w:val="36"/>
          <w:szCs w:val="36"/>
        </w:rPr>
        <w:t>第四节</w:t>
      </w:r>
      <w:r>
        <w:rPr>
          <w:rFonts w:ascii="黑体" w:hAnsi="黑体" w:eastAsia="黑体"/>
          <w:sz w:val="36"/>
          <w:szCs w:val="36"/>
        </w:rPr>
        <w:t xml:space="preserve"> </w:t>
      </w:r>
      <w:r>
        <w:rPr>
          <w:rFonts w:hint="eastAsia" w:ascii="黑体" w:hAnsi="黑体" w:eastAsia="黑体"/>
          <w:sz w:val="36"/>
          <w:szCs w:val="36"/>
        </w:rPr>
        <w:t>重大事件</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一、重大事件索引</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99"/>
        <w:gridCol w:w="1535"/>
        <w:gridCol w:w="14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shd w:val="pct10" w:color="auto" w:fill="auto"/>
          </w:tcPr>
          <w:p>
            <w:pPr>
              <w:jc w:val="center"/>
              <w:rPr>
                <w:rFonts w:asciiTheme="minorEastAsia" w:hAnsiTheme="minorEastAsia" w:eastAsiaTheme="minorEastAsia"/>
                <w:b/>
                <w:sz w:val="22"/>
              </w:rPr>
            </w:pPr>
            <w:r>
              <w:rPr>
                <w:rFonts w:asciiTheme="minorEastAsia" w:hAnsiTheme="minorEastAsia" w:eastAsiaTheme="minorEastAsia"/>
                <w:b/>
                <w:sz w:val="22"/>
              </w:rPr>
              <w:t>事项</w:t>
            </w:r>
          </w:p>
        </w:tc>
        <w:tc>
          <w:tcPr>
            <w:tcW w:w="1535"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是或</w:t>
            </w:r>
            <w:r>
              <w:rPr>
                <w:rFonts w:asciiTheme="minorEastAsia" w:hAnsiTheme="minorEastAsia" w:eastAsiaTheme="minorEastAsia"/>
                <w:b/>
                <w:sz w:val="22"/>
              </w:rPr>
              <w:t>否</w:t>
            </w:r>
          </w:p>
        </w:tc>
        <w:tc>
          <w:tcPr>
            <w:tcW w:w="1405"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是否存在重大诉讼、仲裁事项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r>
              <w:rPr>
                <w:rFonts w:hint="eastAsia" w:asciiTheme="minorEastAsia" w:hAnsiTheme="minorEastAsia" w:eastAsiaTheme="minorEastAsia"/>
                <w:sz w:val="22"/>
              </w:rPr>
              <w:t>四．二．</w:t>
            </w:r>
            <w:r>
              <w:rPr>
                <w:rFonts w:asciiTheme="minorEastAsia" w:hAnsiTheme="minorEastAsia" w:eastAsiaTheme="minorEastAsia"/>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是否存在提供</w:t>
            </w:r>
            <w:r>
              <w:rPr>
                <w:rFonts w:asciiTheme="minorEastAsia" w:hAnsiTheme="minorEastAsia" w:eastAsiaTheme="minorEastAsia"/>
                <w:sz w:val="22"/>
              </w:rPr>
              <w:t>担保事项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是否对外提供借款</w:t>
            </w:r>
          </w:p>
        </w:tc>
        <w:tc>
          <w:tcPr>
            <w:tcW w:w="1535" w:type="dxa"/>
          </w:tcPr>
          <w:p>
            <w:pPr>
              <w:ind w:left="181" w:leftChars="86"/>
              <w:rPr>
                <w:rFonts w:asciiTheme="minorEastAsia" w:hAnsiTheme="minorEastAsia" w:eastAsiaTheme="minorEastAsia"/>
                <w:sz w:val="22"/>
              </w:rPr>
            </w:pPr>
          </w:p>
        </w:tc>
        <w:tc>
          <w:tcPr>
            <w:tcW w:w="1405" w:type="dxa"/>
          </w:tcPr>
          <w:p>
            <w:pPr>
              <w:ind w:left="181" w:leftChars="86"/>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股东及其关联方占用或转移公司资金、资产</w:t>
            </w:r>
            <w:r>
              <w:rPr>
                <w:rFonts w:hint="eastAsia" w:asciiTheme="minorEastAsia" w:hAnsiTheme="minorEastAsia" w:eastAsiaTheme="minorEastAsia"/>
                <w:sz w:val="22"/>
              </w:rPr>
              <w:t>及其他</w:t>
            </w:r>
            <w:r>
              <w:rPr>
                <w:rFonts w:asciiTheme="minorEastAsia" w:hAnsiTheme="minorEastAsia" w:eastAsiaTheme="minorEastAsia"/>
                <w:sz w:val="22"/>
              </w:rPr>
              <w:t>资源</w:t>
            </w:r>
            <w:r>
              <w:rPr>
                <w:rFonts w:hint="eastAsia" w:asciiTheme="minorEastAsia" w:hAnsiTheme="minorEastAsia" w:eastAsiaTheme="minorEastAsia"/>
                <w:sz w:val="22"/>
              </w:rPr>
              <w:t>的</w:t>
            </w:r>
            <w:r>
              <w:rPr>
                <w:rFonts w:asciiTheme="minorEastAsia" w:hAnsiTheme="minorEastAsia" w:eastAsiaTheme="minorEastAsia"/>
                <w:sz w:val="22"/>
              </w:rPr>
              <w:t>情况</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日常性关联交易</w:t>
            </w:r>
            <w:r>
              <w:rPr>
                <w:rFonts w:hint="eastAsia" w:asciiTheme="minorEastAsia" w:hAnsiTheme="minorEastAsia" w:eastAsiaTheme="minorEastAsia"/>
                <w:sz w:val="22"/>
              </w:rPr>
              <w:t>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是否存在其他重大关联交易事项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经股东大会审议的收购</w:t>
            </w:r>
            <w:r>
              <w:rPr>
                <w:rFonts w:hint="eastAsia" w:asciiTheme="minorEastAsia" w:hAnsiTheme="minorEastAsia" w:eastAsiaTheme="minorEastAsia"/>
                <w:sz w:val="22"/>
              </w:rPr>
              <w:t>、</w:t>
            </w:r>
            <w:r>
              <w:rPr>
                <w:rFonts w:asciiTheme="minorEastAsia" w:hAnsiTheme="minorEastAsia" w:eastAsiaTheme="minorEastAsia"/>
                <w:sz w:val="22"/>
              </w:rPr>
              <w:t>出售资产</w:t>
            </w:r>
            <w:r>
              <w:rPr>
                <w:rFonts w:hint="eastAsia" w:asciiTheme="minorEastAsia" w:hAnsiTheme="minorEastAsia" w:eastAsiaTheme="minorEastAsia"/>
                <w:sz w:val="22"/>
              </w:rPr>
              <w:t>、对外投资</w:t>
            </w:r>
            <w:r>
              <w:rPr>
                <w:rFonts w:hint="eastAsia" w:asciiTheme="minorEastAsia" w:hAnsiTheme="minorEastAsia" w:eastAsiaTheme="minorEastAsia"/>
                <w:color w:val="000000" w:themeColor="text1"/>
                <w:sz w:val="22"/>
                <w14:textFill>
                  <w14:solidFill>
                    <w14:schemeClr w14:val="tx1"/>
                  </w14:solidFill>
                </w14:textFill>
              </w:rPr>
              <w:t>以及报告期内发生的</w:t>
            </w:r>
            <w:r>
              <w:rPr>
                <w:rFonts w:hint="eastAsia" w:asciiTheme="minorEastAsia" w:hAnsiTheme="minorEastAsia" w:eastAsiaTheme="minorEastAsia"/>
                <w:sz w:val="22"/>
              </w:rPr>
              <w:t>企业合并事项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是否存在股权激励计划、员工持股计划或其他员工激励措施</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w:t>
            </w:r>
            <w:r>
              <w:rPr>
                <w:rFonts w:asciiTheme="minorEastAsia" w:hAnsiTheme="minorEastAsia" w:eastAsiaTheme="minorEastAsia"/>
                <w:color w:val="000000" w:themeColor="text1"/>
                <w:sz w:val="22"/>
                <w14:textFill>
                  <w14:solidFill>
                    <w14:schemeClr w14:val="tx1"/>
                  </w14:solidFill>
                </w14:textFill>
              </w:rPr>
              <w:t>存在股份回购事项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已披露的承诺</w:t>
            </w:r>
            <w:r>
              <w:rPr>
                <w:rFonts w:hint="eastAsia" w:asciiTheme="minorEastAsia" w:hAnsiTheme="minorEastAsia" w:eastAsiaTheme="minorEastAsia"/>
                <w:sz w:val="22"/>
              </w:rPr>
              <w:t>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资产被查封、扣押、冻结或者被抵押、质押的情况</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是否存在被调查处罚的事项</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是否存在失信情况</w:t>
            </w:r>
          </w:p>
        </w:tc>
        <w:tc>
          <w:tcPr>
            <w:tcW w:w="1535" w:type="dxa"/>
          </w:tcPr>
          <w:p>
            <w:pPr>
              <w:jc w:val="center"/>
              <w:rPr>
                <w:rFonts w:asciiTheme="minorEastAsia" w:hAnsiTheme="minorEastAsia" w:eastAsiaTheme="minorEastAsia"/>
                <w:sz w:val="22"/>
              </w:rPr>
            </w:pPr>
          </w:p>
        </w:tc>
        <w:tc>
          <w:tcPr>
            <w:tcW w:w="1405"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破产重整事项</w:t>
            </w:r>
          </w:p>
        </w:tc>
        <w:tc>
          <w:tcPr>
            <w:tcW w:w="1535" w:type="dxa"/>
          </w:tcPr>
          <w:p>
            <w:pPr>
              <w:ind w:left="181" w:leftChars="86"/>
              <w:jc w:val="center"/>
              <w:rPr>
                <w:rFonts w:asciiTheme="minorEastAsia" w:hAnsiTheme="minorEastAsia" w:eastAsiaTheme="minorEastAsia"/>
                <w:sz w:val="22"/>
              </w:rPr>
            </w:pPr>
          </w:p>
        </w:tc>
        <w:tc>
          <w:tcPr>
            <w:tcW w:w="1405" w:type="dxa"/>
          </w:tcPr>
          <w:p>
            <w:pPr>
              <w:ind w:left="181" w:leftChars="86"/>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是否存在自愿披露的其他事项</w:t>
            </w:r>
          </w:p>
        </w:tc>
        <w:tc>
          <w:tcPr>
            <w:tcW w:w="1535" w:type="dxa"/>
          </w:tcPr>
          <w:p>
            <w:pPr>
              <w:ind w:left="181" w:leftChars="86"/>
              <w:jc w:val="center"/>
              <w:rPr>
                <w:rFonts w:asciiTheme="minorEastAsia" w:hAnsiTheme="minorEastAsia" w:eastAsiaTheme="minorEastAsia"/>
                <w:sz w:val="22"/>
              </w:rPr>
            </w:pPr>
          </w:p>
        </w:tc>
        <w:tc>
          <w:tcPr>
            <w:tcW w:w="1405" w:type="dxa"/>
          </w:tcPr>
          <w:p>
            <w:pPr>
              <w:ind w:left="181" w:leftChars="86"/>
              <w:jc w:val="center"/>
              <w:rPr>
                <w:rFonts w:asciiTheme="minorEastAsia" w:hAnsiTheme="minorEastAsia" w:eastAsiaTheme="minorEastAsia"/>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二、重大事件详情（如事项</w:t>
      </w:r>
      <w:r>
        <w:rPr>
          <w:rFonts w:ascii="微软雅黑" w:hAnsi="微软雅黑" w:eastAsia="微软雅黑"/>
          <w:sz w:val="22"/>
          <w:szCs w:val="22"/>
        </w:rPr>
        <w:t>存在</w:t>
      </w:r>
      <w:r>
        <w:rPr>
          <w:rFonts w:hint="eastAsia" w:ascii="微软雅黑" w:hAnsi="微软雅黑" w:eastAsia="微软雅黑"/>
          <w:sz w:val="22"/>
          <w:szCs w:val="22"/>
        </w:rPr>
        <w:t>选择以下</w:t>
      </w:r>
      <w:r>
        <w:rPr>
          <w:rFonts w:ascii="微软雅黑" w:hAnsi="微软雅黑" w:eastAsia="微软雅黑"/>
          <w:sz w:val="22"/>
          <w:szCs w:val="22"/>
        </w:rPr>
        <w:t>表格</w:t>
      </w:r>
      <w:r>
        <w:rPr>
          <w:rFonts w:hint="eastAsia" w:ascii="微软雅黑" w:hAnsi="微软雅黑" w:eastAsia="微软雅黑"/>
          <w:sz w:val="22"/>
          <w:szCs w:val="22"/>
        </w:rPr>
        <w:t>填列</w:t>
      </w:r>
      <w:r>
        <w:rPr>
          <w:rFonts w:ascii="微软雅黑" w:hAnsi="微软雅黑" w:eastAsia="微软雅黑"/>
          <w:sz w:val="22"/>
          <w:szCs w:val="22"/>
        </w:rPr>
        <w:t>）</w:t>
      </w:r>
    </w:p>
    <w:p>
      <w:pPr>
        <w:pStyle w:val="5"/>
        <w:keepNext w:val="0"/>
        <w:keepLines w:val="0"/>
        <w:spacing w:line="377" w:lineRule="auto"/>
        <w:jc w:val="left"/>
        <w:rPr>
          <w:szCs w:val="22"/>
        </w:rPr>
      </w:pPr>
      <w:r>
        <w:rPr>
          <w:rFonts w:hint="eastAsia"/>
          <w:szCs w:val="22"/>
        </w:rPr>
        <w:t xml:space="preserve">（一）重大诉讼、仲裁事项                                       </w:t>
      </w:r>
    </w:p>
    <w:p>
      <w:pPr>
        <w:rPr>
          <w:b/>
        </w:rPr>
      </w:pPr>
      <w:r>
        <w:rPr>
          <w:rFonts w:hint="eastAsia"/>
          <w:b/>
        </w:rPr>
        <w:t>本报告期公司无重大诉讼、仲裁事项（适用/</w:t>
      </w:r>
      <w:r>
        <w:rPr>
          <w:b/>
        </w:rPr>
        <w:t>不适用</w:t>
      </w:r>
      <w:r>
        <w:rPr>
          <w:rFonts w:hint="eastAsia"/>
          <w:b/>
        </w:rPr>
        <w:t>）</w:t>
      </w:r>
    </w:p>
    <w:p>
      <w:pPr>
        <w:rPr>
          <w:rFonts w:ascii="宋体" w:hAnsi="宋体" w:cs="宋体"/>
          <w:i/>
          <w:iCs/>
          <w:color w:val="FF0000"/>
          <w:szCs w:val="21"/>
        </w:rPr>
      </w:pPr>
      <w:r>
        <w:rPr>
          <w:rFonts w:hint="eastAsia" w:ascii="宋体" w:hAnsi="宋体" w:cs="宋体"/>
          <w:i/>
          <w:iCs/>
          <w:color w:val="FF0000"/>
          <w:szCs w:val="21"/>
        </w:rPr>
        <w:t>（注：诉讼、资金占用、承诺事项，如索引表中填写“否”，此处应勾选“适用”；如索引表中填写“是”，此处应勾选“不适用”。）</w:t>
      </w:r>
    </w:p>
    <w:p>
      <w:pPr>
        <w:rPr>
          <w:rFonts w:ascii="宋体" w:hAnsi="宋体" w:cs="宋体"/>
          <w:i/>
          <w:iCs/>
          <w:color w:val="FF0000"/>
          <w:szCs w:val="21"/>
        </w:rPr>
      </w:pPr>
      <w:r>
        <w:rPr>
          <w:rFonts w:hint="eastAsia" w:ascii="宋体" w:hAnsi="宋体" w:cs="宋体"/>
          <w:i/>
          <w:iCs/>
          <w:color w:val="FF0000"/>
          <w:szCs w:val="21"/>
        </w:rPr>
        <w:t>注：1、包括报告期内新增以及已在上期报告中披露但尚未结案的诉讼、仲裁事项；</w:t>
      </w:r>
    </w:p>
    <w:p>
      <w:pPr>
        <w:rPr>
          <w:rFonts w:ascii="宋体" w:hAnsi="宋体" w:cs="宋体"/>
          <w:i/>
          <w:iCs/>
          <w:color w:val="FF0000"/>
          <w:szCs w:val="21"/>
        </w:rPr>
      </w:pPr>
      <w:r>
        <w:rPr>
          <w:rFonts w:hint="eastAsia" w:ascii="宋体" w:hAnsi="宋体" w:cs="宋体"/>
          <w:i/>
          <w:iCs/>
          <w:color w:val="FF0000"/>
          <w:szCs w:val="21"/>
        </w:rPr>
        <w:t>2、涉及金额按原告或申请人的金额计算；涉及反诉或反请求的，涉及金额以双方主张金额的较高者计算。</w:t>
      </w:r>
    </w:p>
    <w:p>
      <w:pPr>
        <w:rPr>
          <w:b/>
        </w:rPr>
      </w:pPr>
      <w:r>
        <w:rPr>
          <w:rFonts w:hint="eastAsia" w:asciiTheme="minorEastAsia" w:hAnsiTheme="minorEastAsia" w:eastAsiaTheme="minorEastAsia"/>
          <w:b/>
          <w:color w:val="000000" w:themeColor="text1"/>
          <w:szCs w:val="44"/>
          <w14:textFill>
            <w14:solidFill>
              <w14:schemeClr w14:val="tx1"/>
            </w14:solidFill>
          </w14:textFill>
        </w:rPr>
        <w:t>1、</w:t>
      </w:r>
      <w:r>
        <w:rPr>
          <w:rFonts w:hint="eastAsia"/>
          <w:b/>
        </w:rPr>
        <w:t>报告期内发生的诉讼、仲裁事项</w:t>
      </w:r>
    </w:p>
    <w:p>
      <w:pPr>
        <w:ind w:left="181" w:leftChars="86"/>
      </w:pPr>
      <w:r>
        <w:rPr>
          <w:rFonts w:hint="eastAsia"/>
        </w:rPr>
        <w:t>报告期内发生的诉讼、仲裁事项涉及的累计金额是否占净资产</w:t>
      </w:r>
      <w:r>
        <w:t>10%</w:t>
      </w:r>
      <w:r>
        <w:rPr>
          <w:rFonts w:hint="eastAsia"/>
        </w:rPr>
        <w:t>及以上</w:t>
      </w:r>
    </w:p>
    <w:p>
      <w:pPr>
        <w:ind w:left="181" w:leftChars="86"/>
      </w:pPr>
      <w:r>
        <w:rPr>
          <w:rFonts w:hint="eastAsia"/>
        </w:rPr>
        <w:t>□</w:t>
      </w:r>
      <w:r>
        <w:tab/>
      </w:r>
      <w:r>
        <w:rPr>
          <w:rFonts w:hint="eastAsia"/>
        </w:rPr>
        <w:t>是</w:t>
      </w:r>
      <w:r>
        <w:t xml:space="preserve">  </w:t>
      </w:r>
      <w:r>
        <w:rPr>
          <w:rFonts w:hint="eastAsia"/>
        </w:rPr>
        <w:t>□</w:t>
      </w:r>
      <w:r>
        <w:t xml:space="preserve">  </w:t>
      </w:r>
      <w:r>
        <w:rPr>
          <w:rFonts w:hint="eastAsia"/>
        </w:rPr>
        <w:t>否</w:t>
      </w:r>
    </w:p>
    <w:p>
      <w:pPr>
        <w:ind w:left="181" w:leftChars="86"/>
        <w:jc w:val="right"/>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2268"/>
        <w:gridCol w:w="2410"/>
        <w:gridCol w:w="1559"/>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性质</w:t>
            </w:r>
          </w:p>
        </w:tc>
        <w:tc>
          <w:tcPr>
            <w:tcW w:w="4678" w:type="dxa"/>
            <w:gridSpan w:val="2"/>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累计</w:t>
            </w:r>
            <w:r>
              <w:rPr>
                <w:rFonts w:ascii="宋体" w:hAnsi="宋体"/>
                <w:b/>
                <w:color w:val="000000" w:themeColor="text1"/>
                <w:kern w:val="0"/>
                <w:sz w:val="22"/>
                <w14:textFill>
                  <w14:solidFill>
                    <w14:schemeClr w14:val="tx1"/>
                  </w14:solidFill>
                </w14:textFill>
              </w:rPr>
              <w:t>金额</w:t>
            </w:r>
          </w:p>
        </w:tc>
        <w:tc>
          <w:tcPr>
            <w:tcW w:w="1559"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合计</w:t>
            </w:r>
          </w:p>
        </w:tc>
        <w:tc>
          <w:tcPr>
            <w:tcW w:w="1701"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continue"/>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p>
        </w:tc>
        <w:tc>
          <w:tcPr>
            <w:tcW w:w="2268"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w:t>
            </w:r>
            <w:r>
              <w:rPr>
                <w:rFonts w:ascii="宋体" w:hAnsi="宋体"/>
                <w:b/>
                <w:color w:val="000000" w:themeColor="text1"/>
                <w:kern w:val="0"/>
                <w:sz w:val="22"/>
                <w14:textFill>
                  <w14:solidFill>
                    <w14:schemeClr w14:val="tx1"/>
                  </w14:solidFill>
                </w14:textFill>
              </w:rPr>
              <w:t>原告</w:t>
            </w:r>
            <w:r>
              <w:rPr>
                <w:rFonts w:hint="eastAsia" w:ascii="宋体" w:hAnsi="宋体"/>
                <w:b/>
                <w:color w:val="000000" w:themeColor="text1"/>
                <w:kern w:val="0"/>
                <w:sz w:val="22"/>
                <w14:textFill>
                  <w14:solidFill>
                    <w14:schemeClr w14:val="tx1"/>
                  </w14:solidFill>
                </w14:textFill>
              </w:rPr>
              <w:t>/申请</w:t>
            </w:r>
            <w:r>
              <w:rPr>
                <w:rFonts w:ascii="宋体" w:hAnsi="宋体"/>
                <w:b/>
                <w:color w:val="000000" w:themeColor="text1"/>
                <w:kern w:val="0"/>
                <w:sz w:val="22"/>
                <w14:textFill>
                  <w14:solidFill>
                    <w14:schemeClr w14:val="tx1"/>
                  </w14:solidFill>
                </w14:textFill>
              </w:rPr>
              <w:t>人</w:t>
            </w:r>
          </w:p>
        </w:tc>
        <w:tc>
          <w:tcPr>
            <w:tcW w:w="2410" w:type="dxa"/>
            <w:shd w:val="pct10" w:color="auto" w:fill="auto"/>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作为被</w:t>
            </w:r>
            <w:r>
              <w:rPr>
                <w:rFonts w:ascii="宋体" w:hAnsi="宋体"/>
                <w:b/>
                <w:color w:val="000000" w:themeColor="text1"/>
                <w:kern w:val="0"/>
                <w:sz w:val="22"/>
                <w14:textFill>
                  <w14:solidFill>
                    <w14:schemeClr w14:val="tx1"/>
                  </w14:solidFill>
                </w14:textFill>
              </w:rPr>
              <w:t>告</w:t>
            </w:r>
            <w:r>
              <w:rPr>
                <w:rFonts w:hint="eastAsia" w:ascii="宋体" w:hAnsi="宋体"/>
                <w:b/>
                <w:color w:val="000000" w:themeColor="text1"/>
                <w:kern w:val="0"/>
                <w:sz w:val="22"/>
                <w14:textFill>
                  <w14:solidFill>
                    <w14:schemeClr w14:val="tx1"/>
                  </w14:solidFill>
                </w14:textFill>
              </w:rPr>
              <w:t>/被申请</w:t>
            </w:r>
            <w:r>
              <w:rPr>
                <w:rFonts w:ascii="宋体" w:hAnsi="宋体"/>
                <w:b/>
                <w:color w:val="000000" w:themeColor="text1"/>
                <w:kern w:val="0"/>
                <w:sz w:val="22"/>
                <w14:textFill>
                  <w14:solidFill>
                    <w14:schemeClr w14:val="tx1"/>
                  </w14:solidFill>
                </w14:textFill>
              </w:rPr>
              <w:t>人</w:t>
            </w:r>
          </w:p>
        </w:tc>
        <w:tc>
          <w:tcPr>
            <w:tcW w:w="1559" w:type="dxa"/>
            <w:vMerge w:val="continue"/>
            <w:shd w:val="pct10" w:color="auto" w:fill="auto"/>
          </w:tcPr>
          <w:p>
            <w:pPr>
              <w:jc w:val="center"/>
              <w:rPr>
                <w:rFonts w:ascii="宋体" w:hAnsi="宋体"/>
                <w:b/>
                <w:color w:val="000000" w:themeColor="text1"/>
                <w:kern w:val="0"/>
                <w:sz w:val="22"/>
                <w14:textFill>
                  <w14:solidFill>
                    <w14:schemeClr w14:val="tx1"/>
                  </w14:solidFill>
                </w14:textFill>
              </w:rPr>
            </w:pPr>
          </w:p>
        </w:tc>
        <w:tc>
          <w:tcPr>
            <w:tcW w:w="1701" w:type="dxa"/>
            <w:vMerge w:val="continue"/>
            <w:shd w:val="pct10" w:color="auto" w:fill="auto"/>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诉讼或</w:t>
            </w:r>
            <w:r>
              <w:rPr>
                <w:rFonts w:ascii="宋体" w:hAnsi="宋体"/>
                <w:color w:val="000000" w:themeColor="text1"/>
                <w:kern w:val="0"/>
                <w:sz w:val="22"/>
                <w14:textFill>
                  <w14:solidFill>
                    <w14:schemeClr w14:val="tx1"/>
                  </w14:solidFill>
                </w14:textFill>
              </w:rPr>
              <w:t>仲裁</w:t>
            </w:r>
          </w:p>
        </w:tc>
        <w:tc>
          <w:tcPr>
            <w:tcW w:w="2268" w:type="dxa"/>
          </w:tcPr>
          <w:p>
            <w:pPr>
              <w:ind w:left="181" w:leftChars="86"/>
              <w:jc w:val="left"/>
              <w:rPr>
                <w:rFonts w:ascii="宋体" w:hAnsi="宋体"/>
                <w:color w:val="000000" w:themeColor="text1"/>
                <w:kern w:val="0"/>
                <w:sz w:val="22"/>
                <w14:textFill>
                  <w14:solidFill>
                    <w14:schemeClr w14:val="tx1"/>
                  </w14:solidFill>
                </w14:textFill>
              </w:rPr>
            </w:pPr>
          </w:p>
        </w:tc>
        <w:tc>
          <w:tcPr>
            <w:tcW w:w="2410" w:type="dxa"/>
          </w:tcPr>
          <w:p>
            <w:pPr>
              <w:ind w:left="181" w:leftChars="86"/>
              <w:jc w:val="left"/>
              <w:rPr>
                <w:rFonts w:ascii="宋体" w:hAnsi="宋体"/>
                <w:color w:val="000000" w:themeColor="text1"/>
                <w:kern w:val="0"/>
                <w:sz w:val="22"/>
                <w14:textFill>
                  <w14:solidFill>
                    <w14:schemeClr w14:val="tx1"/>
                  </w14:solidFill>
                </w14:textFill>
              </w:rPr>
            </w:pPr>
          </w:p>
        </w:tc>
        <w:tc>
          <w:tcPr>
            <w:tcW w:w="1559" w:type="dxa"/>
          </w:tcPr>
          <w:p>
            <w:pPr>
              <w:ind w:left="181" w:leftChars="86"/>
              <w:jc w:val="left"/>
              <w:rPr>
                <w:rFonts w:ascii="宋体" w:hAnsi="宋体"/>
                <w:color w:val="000000" w:themeColor="text1"/>
                <w:kern w:val="0"/>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（注</w:t>
            </w:r>
            <w:r>
              <w:rPr>
                <w:rFonts w:asciiTheme="minorEastAsia" w:hAnsiTheme="minorEastAsia" w:eastAsiaTheme="minorEastAsia"/>
                <w:color w:val="FF0000"/>
                <w:sz w:val="22"/>
              </w:rPr>
              <w:t>：合并报表归母净资产</w:t>
            </w:r>
            <w:r>
              <w:rPr>
                <w:rFonts w:hint="eastAsia" w:asciiTheme="minorEastAsia" w:hAnsiTheme="minorEastAsia" w:eastAsiaTheme="minorEastAsia"/>
                <w:color w:val="FF0000"/>
                <w:sz w:val="22"/>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、以临时公告形式披露的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xml:space="preserve">□  适用  □  不适用  </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rFonts w:asciiTheme="minorEastAsia" w:hAnsiTheme="minorEastAsia" w:eastAsiaTheme="minorEastAsia"/>
          <w:b/>
          <w:color w:val="000000" w:themeColor="text1"/>
          <w:szCs w:val="44"/>
          <w14:textFill>
            <w14:solidFill>
              <w14:schemeClr w14:val="tx1"/>
            </w14:solidFill>
          </w14:textFill>
        </w:rPr>
      </w:pPr>
      <w:r>
        <w:rPr>
          <w:rFonts w:hint="eastAsia"/>
        </w:rPr>
        <w:t>单位：元</w:t>
      </w:r>
    </w:p>
    <w:tbl>
      <w:tblPr>
        <w:tblStyle w:val="45"/>
        <w:tblW w:w="10767"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1417"/>
        <w:gridCol w:w="851"/>
        <w:gridCol w:w="992"/>
        <w:gridCol w:w="1417"/>
        <w:gridCol w:w="141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851"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结案</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金额</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是否形成预计负债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案件</w:t>
            </w:r>
            <w:r>
              <w:rPr>
                <w:rFonts w:ascii="宋体" w:hAnsi="宋体"/>
                <w:b/>
                <w:color w:val="000000" w:themeColor="text1"/>
                <w:kern w:val="0"/>
                <w:sz w:val="22"/>
                <w14:textFill>
                  <w14:solidFill>
                    <w14:schemeClr w14:val="tx1"/>
                  </w14:solidFill>
                </w14:textFill>
              </w:rPr>
              <w:t>进展或执行情况</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tabs>
                <w:tab w:val="left" w:pos="5140"/>
              </w:tabs>
              <w:rPr>
                <w:rFonts w:ascii="宋体" w:hAnsi="宋体" w:eastAsiaTheme="minorEastAsia" w:cstheme="minorBidi"/>
                <w:color w:val="FF0000"/>
                <w:kern w:val="0"/>
                <w:sz w:val="22"/>
              </w:rPr>
            </w:pPr>
            <w:r>
              <w:rPr>
                <w:rFonts w:hint="eastAsia" w:ascii="宋体" w:hAnsi="宋体" w:eastAsiaTheme="minorEastAsia" w:cstheme="minorBidi"/>
                <w:color w:val="FF0000"/>
                <w:kern w:val="0"/>
                <w:sz w:val="22"/>
              </w:rPr>
              <w:t>（注</w:t>
            </w:r>
            <w:r>
              <w:rPr>
                <w:rFonts w:ascii="宋体" w:hAnsi="宋体" w:eastAsiaTheme="minorEastAsia" w:cstheme="minorBidi"/>
                <w:color w:val="FF0000"/>
                <w:kern w:val="0"/>
                <w:sz w:val="22"/>
              </w:rPr>
              <w:t>：</w:t>
            </w:r>
            <w:r>
              <w:rPr>
                <w:rFonts w:hint="eastAsia" w:ascii="宋体" w:hAnsi="宋体" w:eastAsiaTheme="minorEastAsia" w:cstheme="minorBidi"/>
                <w:color w:val="FF0000"/>
                <w:kern w:val="0"/>
                <w:sz w:val="22"/>
              </w:rPr>
              <w:t>请参照《民事案件案由规定（2011版）》概括说明，例：买卖合同纠纷。）</w:t>
            </w:r>
          </w:p>
          <w:p>
            <w:pPr>
              <w:jc w:val="left"/>
              <w:rPr>
                <w:rFonts w:ascii="宋体" w:hAnsi="宋体"/>
                <w:color w:val="000000" w:themeColor="text1"/>
                <w:kern w:val="0"/>
                <w:sz w:val="22"/>
                <w14:textFill>
                  <w14:solidFill>
                    <w14:schemeClr w14:val="tx1"/>
                  </w14:solidFill>
                </w14:textFill>
              </w:rPr>
            </w:pPr>
          </w:p>
        </w:tc>
        <w:tc>
          <w:tcPr>
            <w:tcW w:w="851" w:type="dxa"/>
          </w:tcPr>
          <w:p>
            <w:pPr>
              <w:tabs>
                <w:tab w:val="left" w:pos="5140"/>
              </w:tabs>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eastAsiaTheme="minorEastAsia" w:cstheme="minorBidi"/>
                <w:color w:val="FF0000"/>
                <w:kern w:val="0"/>
                <w:sz w:val="22"/>
                <w:highlight w:val="yellow"/>
              </w:rPr>
            </w:pPr>
            <w:r>
              <w:rPr>
                <w:rFonts w:hint="eastAsia" w:ascii="宋体" w:hAnsi="宋体" w:eastAsiaTheme="minorEastAsia" w:cstheme="minorBidi"/>
                <w:color w:val="FF0000"/>
                <w:kern w:val="0"/>
                <w:sz w:val="22"/>
              </w:rPr>
              <w:t>（注</w:t>
            </w:r>
            <w:r>
              <w:rPr>
                <w:rFonts w:ascii="宋体" w:hAnsi="宋体" w:eastAsiaTheme="minorEastAsia" w:cstheme="minorBidi"/>
                <w:color w:val="FF0000"/>
                <w:kern w:val="0"/>
                <w:sz w:val="22"/>
              </w:rPr>
              <w:t>：</w:t>
            </w:r>
            <w:r>
              <w:rPr>
                <w:rFonts w:hint="eastAsia" w:ascii="宋体" w:hAnsi="宋体" w:eastAsiaTheme="minorEastAsia" w:cstheme="minorBidi"/>
                <w:color w:val="FF0000"/>
                <w:kern w:val="0"/>
                <w:sz w:val="22"/>
              </w:rPr>
              <w:t>仅尚未在报告期内结案的重大诉讼、仲裁事项适用</w:t>
            </w:r>
            <w:r>
              <w:rPr>
                <w:rFonts w:ascii="宋体" w:hAnsi="宋体" w:eastAsiaTheme="minorEastAsia" w:cstheme="minorBidi"/>
                <w:color w:val="FF0000"/>
                <w:kern w:val="0"/>
                <w:sz w:val="22"/>
              </w:rPr>
              <w:t>,</w:t>
            </w:r>
            <w:r>
              <w:rPr>
                <w:rFonts w:hint="eastAsia" w:ascii="宋体" w:hAnsi="宋体" w:eastAsiaTheme="minorEastAsia" w:cstheme="minorBidi"/>
                <w:color w:val="FF0000"/>
                <w:kern w:val="0"/>
                <w:sz w:val="22"/>
              </w:rPr>
              <w:t>如不适用</w:t>
            </w:r>
            <w:r>
              <w:rPr>
                <w:rFonts w:ascii="宋体" w:hAnsi="宋体" w:eastAsiaTheme="minorEastAsia" w:cstheme="minorBidi"/>
                <w:color w:val="FF0000"/>
                <w:kern w:val="0"/>
                <w:sz w:val="22"/>
              </w:rPr>
              <w:t>填</w:t>
            </w:r>
            <w:r>
              <w:rPr>
                <w:rFonts w:hint="eastAsia" w:ascii="宋体" w:hAnsi="宋体" w:eastAsiaTheme="minorEastAsia" w:cstheme="minorBidi"/>
                <w:color w:val="FF0000"/>
                <w:kern w:val="0"/>
                <w:sz w:val="22"/>
              </w:rPr>
              <w:t>写</w:t>
            </w:r>
            <w:r>
              <w:rPr>
                <w:rFonts w:ascii="宋体" w:hAnsi="宋体" w:eastAsiaTheme="minorEastAsia" w:cstheme="minorBidi"/>
                <w:color w:val="FF0000"/>
                <w:kern w:val="0"/>
                <w:sz w:val="22"/>
              </w:rPr>
              <w:t xml:space="preserve">“-” </w:t>
            </w:r>
            <w:r>
              <w:rPr>
                <w:rFonts w:hint="eastAsia" w:ascii="宋体" w:hAnsi="宋体" w:eastAsiaTheme="minorEastAsia" w:cstheme="minorBidi"/>
                <w:color w:val="FF0000"/>
                <w:kern w:val="0"/>
                <w:sz w:val="22"/>
              </w:rPr>
              <w:t>）</w:t>
            </w:r>
          </w:p>
        </w:tc>
        <w:tc>
          <w:tcPr>
            <w:tcW w:w="1417" w:type="dxa"/>
          </w:tcPr>
          <w:p>
            <w:pPr>
              <w:jc w:val="left"/>
              <w:rPr>
                <w:rFonts w:ascii="宋体" w:hAnsi="宋体"/>
                <w:color w:val="FF0000"/>
                <w:kern w:val="0"/>
                <w:sz w:val="22"/>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851"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jc w:val="center"/>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851"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jc w:val="center"/>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851"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417" w:type="dxa"/>
          </w:tcPr>
          <w:p>
            <w:pPr>
              <w:jc w:val="center"/>
              <w:rPr>
                <w:rFonts w:ascii="宋体" w:hAnsi="宋体"/>
                <w:color w:val="000000" w:themeColor="text1"/>
                <w:kern w:val="0"/>
                <w:sz w:val="22"/>
                <w14:textFill>
                  <w14:solidFill>
                    <w14:schemeClr w14:val="tx1"/>
                  </w14:solidFill>
                </w14:textFill>
              </w:rPr>
            </w:pP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重大诉讼、仲裁事项对公司的影响：</w:t>
      </w:r>
    </w:p>
    <w:tbl>
      <w:tblPr>
        <w:tblStyle w:val="12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注：公司应当披露重大诉讼、仲裁事项对公司的影响。</w:t>
            </w:r>
          </w:p>
        </w:tc>
      </w:tr>
    </w:tbl>
    <w:p>
      <w:pPr>
        <w:pStyle w:val="5"/>
        <w:keepNext w:val="0"/>
        <w:keepLines w:val="0"/>
        <w:spacing w:line="377" w:lineRule="auto"/>
        <w:jc w:val="left"/>
        <w:rPr>
          <w:szCs w:val="22"/>
        </w:rPr>
      </w:pPr>
      <w:r>
        <w:rPr>
          <w:rFonts w:hint="eastAsia"/>
          <w:szCs w:val="22"/>
        </w:rPr>
        <w:t>（二）</w:t>
      </w:r>
      <w:r>
        <w:rPr>
          <w:szCs w:val="22"/>
        </w:rPr>
        <w:t>公司发生的</w:t>
      </w:r>
      <w:r>
        <w:rPr>
          <w:rFonts w:hint="eastAsia"/>
          <w:szCs w:val="22"/>
        </w:rPr>
        <w:t>提供</w:t>
      </w:r>
      <w:r>
        <w:rPr>
          <w:szCs w:val="22"/>
        </w:rPr>
        <w:t>担保</w:t>
      </w:r>
      <w:r>
        <w:rPr>
          <w:rFonts w:hint="eastAsia"/>
          <w:szCs w:val="22"/>
        </w:rPr>
        <w:t>事项</w:t>
      </w:r>
    </w:p>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注1：提供担保事项包括：</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1.</w:t>
      </w:r>
      <w:r>
        <w:rPr>
          <w:rFonts w:hint="eastAsia" w:asciiTheme="minorEastAsia" w:hAnsiTheme="minorEastAsia" w:eastAsiaTheme="minorEastAsia"/>
          <w:i/>
          <w:color w:val="FF0000"/>
          <w:szCs w:val="44"/>
        </w:rPr>
        <w:t>挂牌公司对合并报表范围内子公司提供担保；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2.</w:t>
      </w:r>
      <w:r>
        <w:rPr>
          <w:rFonts w:hint="eastAsia" w:asciiTheme="minorEastAsia" w:hAnsiTheme="minorEastAsia" w:eastAsiaTheme="minorEastAsia"/>
          <w:i/>
          <w:color w:val="FF0000"/>
          <w:szCs w:val="44"/>
        </w:rPr>
        <w:t>挂牌公司对合并报表范围外主体提供担保；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3.</w:t>
      </w:r>
      <w:r>
        <w:rPr>
          <w:rFonts w:hint="eastAsia" w:asciiTheme="minorEastAsia" w:hAnsiTheme="minorEastAsia" w:eastAsiaTheme="minorEastAsia"/>
          <w:i/>
          <w:color w:val="FF0000"/>
          <w:szCs w:val="44"/>
        </w:rPr>
        <w:t>合并报表范围内子公司对挂牌公司合并报表范围外主体提供担保。</w:t>
      </w:r>
    </w:p>
    <w:p>
      <w:r>
        <w:rPr>
          <w:rFonts w:hint="eastAsia" w:asciiTheme="minorEastAsia" w:hAnsiTheme="minorEastAsia" w:eastAsiaTheme="minorEastAsia"/>
          <w:i/>
          <w:color w:val="FF0000"/>
          <w:szCs w:val="44"/>
        </w:rPr>
        <w:t>注2</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本节表格</w:t>
      </w:r>
      <w:r>
        <w:rPr>
          <w:rFonts w:asciiTheme="minorEastAsia" w:hAnsiTheme="minorEastAsia" w:eastAsiaTheme="minorEastAsia"/>
          <w:i/>
          <w:color w:val="FF0000"/>
          <w:szCs w:val="44"/>
        </w:rPr>
        <w:t>填写应满足</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担保金额=</w:t>
      </w:r>
      <w:r>
        <w:rPr>
          <w:rFonts w:hint="eastAsia" w:asciiTheme="minorEastAsia" w:hAnsiTheme="minorEastAsia" w:eastAsiaTheme="minorEastAsia"/>
          <w:i/>
          <w:color w:val="FF0000"/>
          <w:szCs w:val="44"/>
        </w:rPr>
        <w:t>实际履行担保责任的金额</w:t>
      </w:r>
      <w:r>
        <w:rPr>
          <w:rFonts w:asciiTheme="minorEastAsia" w:hAnsiTheme="minorEastAsia" w:eastAsiaTheme="minorEastAsia"/>
          <w:i/>
          <w:color w:val="FF0000"/>
          <w:szCs w:val="44"/>
        </w:rPr>
        <w:t>+到期已解除担保义务的金额+担保余额</w:t>
      </w:r>
      <w:r>
        <w:rPr>
          <w:rFonts w:hint="eastAsia" w:asciiTheme="minorEastAsia" w:hAnsiTheme="minorEastAsia" w:eastAsiaTheme="minorEastAsia"/>
          <w:i/>
          <w:color w:val="FF0000"/>
          <w:szCs w:val="44"/>
        </w:rPr>
        <w:t>。</w:t>
      </w:r>
    </w:p>
    <w:p>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绝对值的10</w:t>
      </w:r>
      <w:r>
        <w:t>%</w:t>
      </w:r>
      <w:r>
        <w:rPr>
          <w:rFonts w:hint="eastAsia"/>
        </w:rPr>
        <w:t>。</w:t>
      </w:r>
    </w:p>
    <w:p>
      <w:r>
        <w:rPr>
          <w:rFonts w:hint="eastAsia"/>
        </w:rPr>
        <w:t>□</w:t>
      </w:r>
      <w:r>
        <w:t xml:space="preserve">  </w:t>
      </w:r>
      <w:r>
        <w:rPr>
          <w:rFonts w:hint="eastAsia"/>
        </w:rPr>
        <w:t>是</w:t>
      </w:r>
      <w:r>
        <w:t xml:space="preserve">  </w:t>
      </w:r>
      <w:r>
        <w:rPr>
          <w:rFonts w:hint="eastAsia"/>
        </w:rPr>
        <w:t>□</w:t>
      </w:r>
      <w:r>
        <w:t xml:space="preserve">  </w:t>
      </w:r>
      <w:r>
        <w:rPr>
          <w:rFonts w:hint="eastAsia"/>
        </w:rPr>
        <w:t>否</w:t>
      </w:r>
    </w:p>
    <w:p>
      <w:pPr>
        <w:jc w:val="left"/>
        <w:rPr>
          <w:b/>
        </w:rPr>
      </w:pPr>
      <w:r>
        <w:rPr>
          <w:rFonts w:hint="eastAsia"/>
          <w:b/>
        </w:rPr>
        <w:t>公司对合并报表范围内子公司提供担保情况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5"/>
        <w:tblW w:w="5662"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33"/>
        <w:gridCol w:w="1201"/>
        <w:gridCol w:w="899"/>
        <w:gridCol w:w="1201"/>
        <w:gridCol w:w="899"/>
        <w:gridCol w:w="879"/>
        <w:gridCol w:w="899"/>
        <w:gridCol w:w="742"/>
        <w:gridCol w:w="21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61" w:hRule="atLeast"/>
          <w:jc w:val="center"/>
        </w:trPr>
        <w:tc>
          <w:tcPr>
            <w:tcW w:w="381"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926" w:type="pct"/>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386"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22"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0" w:hRule="atLeast"/>
          <w:jc w:val="center"/>
        </w:trPr>
        <w:tc>
          <w:tcPr>
            <w:tcW w:w="381"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58"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467"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386"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22"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1.1</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1.2</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p>
    <w:p>
      <w:pPr>
        <w:jc w:val="left"/>
        <w:rPr>
          <w:b/>
        </w:rPr>
      </w:pPr>
      <w:r>
        <w:rPr>
          <w:rFonts w:hint="eastAsia"/>
          <w:b/>
        </w:rPr>
        <w:t>公司对合并报表范围外主体提供担保情况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22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998"/>
        <w:gridCol w:w="709"/>
        <w:gridCol w:w="709"/>
        <w:gridCol w:w="992"/>
        <w:gridCol w:w="709"/>
        <w:gridCol w:w="850"/>
        <w:gridCol w:w="851"/>
        <w:gridCol w:w="709"/>
        <w:gridCol w:w="1134"/>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998"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被担保人是否为挂牌公司控股股东、实际控制人及其控制的</w:t>
            </w:r>
            <w:r>
              <w:rPr>
                <w:rFonts w:ascii="宋体" w:hAnsi="宋体"/>
                <w:b/>
                <w:color w:val="000000" w:themeColor="text1"/>
                <w:kern w:val="0"/>
                <w:sz w:val="22"/>
                <w14:textFill>
                  <w14:solidFill>
                    <w14:schemeClr w14:val="tx1"/>
                  </w14:solidFill>
                </w14:textFill>
              </w:rPr>
              <w:t>企业</w:t>
            </w:r>
          </w:p>
        </w:tc>
        <w:tc>
          <w:tcPr>
            <w:tcW w:w="155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998"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55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合并报表范围内子公司对挂牌公司合并报表范围外主体提供担保情况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5"/>
        <w:tblW w:w="935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81"/>
        <w:gridCol w:w="709"/>
        <w:gridCol w:w="709"/>
        <w:gridCol w:w="992"/>
        <w:gridCol w:w="709"/>
        <w:gridCol w:w="850"/>
        <w:gridCol w:w="851"/>
        <w:gridCol w:w="709"/>
        <w:gridCol w:w="1134"/>
        <w:gridCol w:w="140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1281"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1281"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407"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公司提供担保分类汇总</w:t>
      </w:r>
    </w:p>
    <w:p>
      <w:pPr>
        <w:jc w:val="right"/>
      </w:pPr>
      <w:r>
        <w:rPr>
          <w:rFonts w:hint="eastAsia"/>
        </w:rPr>
        <w:t>单位：元</w:t>
      </w:r>
    </w:p>
    <w:tbl>
      <w:tblPr>
        <w:tblStyle w:val="45"/>
        <w:tblW w:w="1006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w:t>
            </w:r>
            <w:r>
              <w:rPr>
                <w:rFonts w:hint="eastAsia" w:ascii="宋体" w:hAnsi="宋体"/>
                <w:b/>
                <w:color w:val="000000" w:themeColor="text1"/>
                <w:szCs w:val="21"/>
                <w14:textFill>
                  <w14:solidFill>
                    <w14:schemeClr w14:val="tx1"/>
                  </w14:solidFill>
                </w14:textFill>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公司直接或间接为资产负债率超过</w:t>
            </w:r>
            <w:r>
              <w:rPr>
                <w:rFonts w:ascii="宋体" w:hAnsi="宋体"/>
                <w:color w:val="000000" w:themeColor="text1"/>
                <w:szCs w:val="21"/>
                <w14:textFill>
                  <w14:solidFill>
                    <w14:schemeClr w14:val="tx1"/>
                  </w14:solidFill>
                </w14:textFill>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公司担保总额超过净资产</w:t>
            </w:r>
            <w:r>
              <w:rPr>
                <w:rFonts w:ascii="宋体" w:hAnsi="宋体"/>
                <w:color w:val="000000" w:themeColor="text1"/>
                <w:szCs w:val="21"/>
                <w14:textFill>
                  <w14:solidFill>
                    <w14:schemeClr w14:val="tx1"/>
                  </w14:solidFill>
                </w14:textFill>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应当重点</w:t>
      </w:r>
      <w:r>
        <w:rPr>
          <w:rFonts w:asciiTheme="minorEastAsia" w:hAnsiTheme="minorEastAsia" w:eastAsiaTheme="minorEastAsia"/>
          <w:b/>
          <w:color w:val="000000" w:themeColor="text1"/>
          <w:szCs w:val="24"/>
          <w14:textFill>
            <w14:solidFill>
              <w14:schemeClr w14:val="tx1"/>
            </w14:solidFill>
          </w14:textFill>
        </w:rPr>
        <w:t>说明的担保</w:t>
      </w:r>
      <w:r>
        <w:rPr>
          <w:rFonts w:hint="eastAsia" w:asciiTheme="minorEastAsia" w:hAnsiTheme="minorEastAsia" w:eastAsiaTheme="minorEastAsia"/>
          <w:b/>
          <w:color w:val="000000" w:themeColor="text1"/>
          <w:szCs w:val="24"/>
          <w14:textFill>
            <w14:solidFill>
              <w14:schemeClr w14:val="tx1"/>
            </w14:solidFill>
          </w14:textFill>
        </w:rPr>
        <w:t>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注：为挂牌</w:t>
            </w:r>
            <w:r>
              <w:rPr>
                <w:rFonts w:asciiTheme="minorEastAsia" w:hAnsiTheme="minorEastAsia" w:eastAsiaTheme="minorEastAsia"/>
                <w:i/>
                <w:color w:val="FF0000"/>
                <w:szCs w:val="44"/>
              </w:rPr>
              <w:t>公司股东、</w:t>
            </w:r>
            <w:r>
              <w:rPr>
                <w:rFonts w:hint="eastAsia" w:asciiTheme="minorEastAsia" w:hAnsiTheme="minorEastAsia" w:eastAsiaTheme="minorEastAsia"/>
                <w:i/>
                <w:color w:val="FF0000"/>
                <w:szCs w:val="44"/>
              </w:rPr>
              <w:t>实际控制人</w:t>
            </w:r>
            <w:r>
              <w:rPr>
                <w:rFonts w:asciiTheme="minorEastAsia" w:hAnsiTheme="minorEastAsia" w:eastAsiaTheme="minorEastAsia"/>
                <w:i/>
                <w:color w:val="FF0000"/>
                <w:szCs w:val="44"/>
              </w:rPr>
              <w:t>及其关联方或者资产负债率超过70%的主体提供担保的，</w:t>
            </w:r>
            <w:r>
              <w:rPr>
                <w:rFonts w:hint="eastAsia" w:asciiTheme="minorEastAsia" w:hAnsiTheme="minorEastAsia" w:eastAsiaTheme="minorEastAsia"/>
                <w:i/>
                <w:color w:val="FF0000"/>
                <w:szCs w:val="44"/>
              </w:rPr>
              <w:t>公司应当说明被担保人基本情况、担保发生原因、是否</w:t>
            </w:r>
            <w:r>
              <w:rPr>
                <w:rFonts w:asciiTheme="minorEastAsia" w:hAnsiTheme="minorEastAsia" w:eastAsiaTheme="minorEastAsia"/>
                <w:i/>
                <w:color w:val="FF0000"/>
                <w:szCs w:val="44"/>
              </w:rPr>
              <w:t>构成违规</w:t>
            </w:r>
            <w:r>
              <w:rPr>
                <w:rFonts w:hint="eastAsia" w:asciiTheme="minorEastAsia" w:hAnsiTheme="minorEastAsia" w:eastAsiaTheme="minorEastAsia"/>
                <w:i/>
                <w:color w:val="FF0000"/>
                <w:szCs w:val="44"/>
              </w:rPr>
              <w:t>担保、整改情况及对公司的影响等内容；尚未完成整改的，应当说明预计整改完成时间及具体安排。</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公司及其控股子公司的担保总额，超过公司最近一期经审计净资产</w:t>
            </w:r>
            <w:r>
              <w:rPr>
                <w:rFonts w:asciiTheme="minorEastAsia" w:hAnsiTheme="minorEastAsia" w:eastAsiaTheme="minorEastAsia"/>
                <w:i/>
                <w:color w:val="FF0000"/>
                <w:szCs w:val="44"/>
              </w:rPr>
              <w:t>50％以后提供的任何担保，应当</w:t>
            </w:r>
            <w:r>
              <w:rPr>
                <w:rFonts w:hint="eastAsia" w:asciiTheme="minorEastAsia" w:hAnsiTheme="minorEastAsia" w:eastAsiaTheme="minorEastAsia"/>
                <w:i/>
                <w:color w:val="FF0000"/>
                <w:szCs w:val="44"/>
              </w:rPr>
              <w:t>说明</w:t>
            </w:r>
            <w:r>
              <w:rPr>
                <w:rFonts w:asciiTheme="minorEastAsia" w:hAnsiTheme="minorEastAsia" w:eastAsiaTheme="minorEastAsia"/>
                <w:i/>
                <w:color w:val="FF0000"/>
                <w:szCs w:val="44"/>
              </w:rPr>
              <w:t>对公司的具体影响。</w:t>
            </w: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违规担保原因、整改情况及对公司的影响</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注：公司应当说明被担保人基本情况、违规担保发生原因、整改情况及对公司的影响等内容，尚未完成整改的，应当说明预计整改完成时间及具体安排。</w:t>
            </w:r>
          </w:p>
        </w:tc>
      </w:tr>
    </w:tbl>
    <w:p>
      <w:pPr>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担保合同</w:t>
      </w:r>
      <w:r>
        <w:rPr>
          <w:rFonts w:ascii="宋体" w:hAnsi="宋体"/>
          <w:b/>
          <w:color w:val="000000" w:themeColor="text1"/>
          <w:szCs w:val="24"/>
          <w14:textFill>
            <w14:solidFill>
              <w14:schemeClr w14:val="tx1"/>
            </w14:solidFill>
          </w14:textFill>
        </w:rPr>
        <w:t>履行</w:t>
      </w:r>
      <w:r>
        <w:rPr>
          <w:rFonts w:hint="eastAsia" w:ascii="宋体" w:hAnsi="宋体"/>
          <w:b/>
          <w:color w:val="000000" w:themeColor="text1"/>
          <w:szCs w:val="24"/>
          <w14:textFill>
            <w14:solidFill>
              <w14:schemeClr w14:val="tx1"/>
            </w14:solidFill>
          </w14:textFill>
        </w:rPr>
        <w:t>情况</w:t>
      </w:r>
    </w:p>
    <w:tbl>
      <w:tblPr>
        <w:tblStyle w:val="15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宋体" w:hAnsi="宋体"/>
                <w:color w:val="000000" w:themeColor="text1"/>
                <w:szCs w:val="44"/>
                <w14:textFill>
                  <w14:solidFill>
                    <w14:schemeClr w14:val="tx1"/>
                  </w14:solidFill>
                </w14:textFill>
              </w:rPr>
            </w:pPr>
            <w:r>
              <w:rPr>
                <w:rFonts w:hint="eastAsia" w:ascii="宋体" w:hAnsi="宋体"/>
                <w:i/>
                <w:color w:val="FF0000"/>
                <w:szCs w:val="44"/>
              </w:rPr>
              <w:t>注：对于未到期担保合同，如有明显迹象表明有可能承担连带清偿责任，应明确说明；对于已经承担清偿责任的，分析对公司的影响。</w:t>
            </w:r>
          </w:p>
        </w:tc>
      </w:tr>
    </w:tbl>
    <w:p/>
    <w:p>
      <w:pPr>
        <w:pStyle w:val="5"/>
        <w:keepNext w:val="0"/>
        <w:keepLines w:val="0"/>
        <w:spacing w:line="377" w:lineRule="auto"/>
        <w:jc w:val="left"/>
        <w:rPr>
          <w:rFonts w:ascii="黑体" w:hAnsi="黑体"/>
          <w:b w:val="0"/>
          <w:color w:val="000000" w:themeColor="text1"/>
          <w:szCs w:val="22"/>
          <w14:textFill>
            <w14:solidFill>
              <w14:schemeClr w14:val="tx1"/>
            </w14:solidFill>
          </w14:textFill>
        </w:rPr>
      </w:pPr>
      <w:r>
        <w:rPr>
          <w:rFonts w:hint="eastAsia"/>
          <w:szCs w:val="22"/>
        </w:rPr>
        <w:t>（三）对外提供借款情况</w:t>
      </w:r>
      <w:r>
        <w:rPr>
          <w:szCs w:val="22"/>
        </w:rPr>
        <w:t xml:space="preserve"> </w:t>
      </w:r>
    </w:p>
    <w:p>
      <w:pPr>
        <w:rPr>
          <w:rFonts w:asciiTheme="minorEastAsia" w:hAnsiTheme="minorEastAsia" w:eastAsiaTheme="minorEastAsia"/>
          <w:b/>
          <w:color w:val="000000" w:themeColor="text1"/>
          <w:szCs w:val="44"/>
          <w14:textFill>
            <w14:solidFill>
              <w14:schemeClr w14:val="tx1"/>
            </w14:solidFill>
          </w14:textFill>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r>
        <w:rPr>
          <w:rFonts w:hint="eastAsia"/>
        </w:rPr>
        <w:t>报告期内对外提供借款的累计金额是否占净资产</w:t>
      </w:r>
      <w:r>
        <w:t>10%</w:t>
      </w:r>
      <w:r>
        <w:rPr>
          <w:rFonts w:hint="eastAsia"/>
        </w:rPr>
        <w:t>及以上</w:t>
      </w:r>
    </w:p>
    <w:p>
      <w:pPr>
        <w:rPr>
          <w:rFonts w:asciiTheme="minorHAnsi" w:hAnsiTheme="minorHAnsi" w:eastAsiaTheme="minorEastAsia"/>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hint="eastAsia" w:asciiTheme="minorEastAsia" w:hAnsiTheme="minorEastAsia" w:eastAsiaTheme="minorEastAsia"/>
          <w:b/>
          <w:color w:val="000000" w:themeColor="text1"/>
          <w:szCs w:val="44"/>
          <w14:textFill>
            <w14:solidFill>
              <w14:schemeClr w14:val="tx1"/>
            </w14:solidFill>
          </w14:textFill>
        </w:rPr>
        <w:t xml:space="preserve">                                         </w:t>
      </w:r>
      <w:r>
        <w:rPr>
          <w:rFonts w:asciiTheme="minorEastAsia" w:hAnsiTheme="minorEastAsia" w:eastAsiaTheme="minorEastAsia"/>
          <w:b/>
          <w:color w:val="000000" w:themeColor="text1"/>
          <w:szCs w:val="44"/>
          <w14:textFill>
            <w14:solidFill>
              <w14:schemeClr w14:val="tx1"/>
            </w14:solidFill>
          </w14:textFill>
        </w:rPr>
        <w:t xml:space="preserve">  </w:t>
      </w:r>
    </w:p>
    <w:p>
      <w:pPr>
        <w:tabs>
          <w:tab w:val="left" w:pos="5140"/>
        </w:tabs>
        <w:jc w:val="right"/>
      </w:pPr>
      <w:r>
        <w:rPr>
          <w:rFonts w:hint="eastAsia"/>
        </w:rPr>
        <w:t>单位：元</w:t>
      </w:r>
    </w:p>
    <w:tbl>
      <w:tblPr>
        <w:tblStyle w:val="45"/>
        <w:tblW w:w="11143" w:type="dxa"/>
        <w:tblInd w:w="-1367"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129"/>
        <w:gridCol w:w="993"/>
        <w:gridCol w:w="1134"/>
        <w:gridCol w:w="992"/>
        <w:gridCol w:w="992"/>
        <w:gridCol w:w="709"/>
        <w:gridCol w:w="850"/>
        <w:gridCol w:w="851"/>
        <w:gridCol w:w="850"/>
        <w:gridCol w:w="851"/>
        <w:gridCol w:w="942"/>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78" w:hRule="atLeast"/>
        </w:trPr>
        <w:tc>
          <w:tcPr>
            <w:tcW w:w="1129"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债务人</w:t>
            </w:r>
          </w:p>
        </w:tc>
        <w:tc>
          <w:tcPr>
            <w:tcW w:w="993"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与公司</w:t>
            </w:r>
            <w:r>
              <w:rPr>
                <w:rFonts w:ascii="宋体" w:hAnsi="宋体"/>
                <w:b/>
                <w:color w:val="000000" w:themeColor="text1"/>
                <w:sz w:val="20"/>
                <w14:textFill>
                  <w14:solidFill>
                    <w14:schemeClr w14:val="tx1"/>
                  </w14:solidFill>
                </w14:textFill>
              </w:rPr>
              <w:t>的关联关系</w:t>
            </w:r>
          </w:p>
        </w:tc>
        <w:tc>
          <w:tcPr>
            <w:tcW w:w="1134" w:type="dxa"/>
            <w:vMerge w:val="restart"/>
            <w:shd w:val="pct10" w:color="auto" w:fill="auto"/>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债务人是否为</w:t>
            </w:r>
            <w:r>
              <w:rPr>
                <w:rFonts w:ascii="宋体" w:hAnsi="宋体"/>
                <w:b/>
                <w:color w:val="000000" w:themeColor="text1"/>
                <w:sz w:val="20"/>
                <w14:textFill>
                  <w14:solidFill>
                    <w14:schemeClr w14:val="tx1"/>
                  </w14:solidFill>
                </w14:textFill>
              </w:rPr>
              <w:t>公司董事、监事及高级管理人员</w:t>
            </w:r>
          </w:p>
        </w:tc>
        <w:tc>
          <w:tcPr>
            <w:tcW w:w="1984" w:type="dxa"/>
            <w:gridSpan w:val="2"/>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借款期间</w:t>
            </w:r>
          </w:p>
        </w:tc>
        <w:tc>
          <w:tcPr>
            <w:tcW w:w="709"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期初余额</w:t>
            </w:r>
          </w:p>
        </w:tc>
        <w:tc>
          <w:tcPr>
            <w:tcW w:w="850"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本期新增</w:t>
            </w:r>
          </w:p>
        </w:tc>
        <w:tc>
          <w:tcPr>
            <w:tcW w:w="851"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本期减少</w:t>
            </w:r>
          </w:p>
        </w:tc>
        <w:tc>
          <w:tcPr>
            <w:tcW w:w="850"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期末余额</w:t>
            </w:r>
          </w:p>
        </w:tc>
        <w:tc>
          <w:tcPr>
            <w:tcW w:w="851"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借款利率</w:t>
            </w:r>
          </w:p>
        </w:tc>
        <w:tc>
          <w:tcPr>
            <w:tcW w:w="942"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是否履行</w:t>
            </w:r>
            <w:r>
              <w:rPr>
                <w:rFonts w:ascii="宋体" w:hAnsi="宋体"/>
                <w:b/>
                <w:color w:val="000000" w:themeColor="text1"/>
                <w:sz w:val="20"/>
                <w14:textFill>
                  <w14:solidFill>
                    <w14:schemeClr w14:val="tx1"/>
                  </w14:solidFill>
                </w14:textFill>
              </w:rPr>
              <w:t>审议程序</w:t>
            </w:r>
          </w:p>
        </w:tc>
        <w:tc>
          <w:tcPr>
            <w:tcW w:w="850" w:type="dxa"/>
            <w:vMerge w:val="restart"/>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p>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是否存在</w:t>
            </w:r>
            <w:r>
              <w:rPr>
                <w:rFonts w:ascii="宋体" w:hAnsi="宋体"/>
                <w:b/>
                <w:color w:val="000000" w:themeColor="text1"/>
                <w:sz w:val="20"/>
                <w14:textFill>
                  <w14:solidFill>
                    <w14:schemeClr w14:val="tx1"/>
                  </w14:solidFill>
                </w14:textFill>
              </w:rPr>
              <w:t>抵质</w:t>
            </w:r>
          </w:p>
          <w:p>
            <w:pPr>
              <w:ind w:left="181" w:leftChars="86"/>
              <w:jc w:val="center"/>
              <w:rPr>
                <w:rFonts w:ascii="宋体" w:hAnsi="宋体"/>
                <w:b/>
                <w:color w:val="000000" w:themeColor="text1"/>
                <w:sz w:val="20"/>
                <w14:textFill>
                  <w14:solidFill>
                    <w14:schemeClr w14:val="tx1"/>
                  </w14:solidFill>
                </w14:textFill>
              </w:rPr>
            </w:pPr>
            <w:r>
              <w:rPr>
                <w:rFonts w:ascii="宋体" w:hAnsi="宋体"/>
                <w:b/>
                <w:color w:val="000000" w:themeColor="text1"/>
                <w:sz w:val="20"/>
                <w14:textFill>
                  <w14:solidFill>
                    <w14:schemeClr w14:val="tx1"/>
                  </w14:solidFill>
                </w14:textFill>
              </w:rPr>
              <w:t>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24" w:hRule="atLeast"/>
        </w:trPr>
        <w:tc>
          <w:tcPr>
            <w:tcW w:w="1129" w:type="dxa"/>
            <w:vMerge w:val="continue"/>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p>
        </w:tc>
        <w:tc>
          <w:tcPr>
            <w:tcW w:w="993"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1134" w:type="dxa"/>
            <w:vMerge w:val="continue"/>
            <w:shd w:val="pct10" w:color="auto" w:fill="auto"/>
          </w:tcPr>
          <w:p>
            <w:pPr>
              <w:jc w:val="center"/>
              <w:rPr>
                <w:rFonts w:ascii="宋体" w:hAnsi="宋体"/>
                <w:b/>
                <w:color w:val="000000" w:themeColor="text1"/>
                <w:sz w:val="20"/>
                <w14:textFill>
                  <w14:solidFill>
                    <w14:schemeClr w14:val="tx1"/>
                  </w14:solidFill>
                </w14:textFill>
              </w:rPr>
            </w:pPr>
          </w:p>
        </w:tc>
        <w:tc>
          <w:tcPr>
            <w:tcW w:w="992" w:type="dxa"/>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起始日期</w:t>
            </w:r>
          </w:p>
        </w:tc>
        <w:tc>
          <w:tcPr>
            <w:tcW w:w="992" w:type="dxa"/>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终止日期</w:t>
            </w:r>
          </w:p>
        </w:tc>
        <w:tc>
          <w:tcPr>
            <w:tcW w:w="709"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942" w:type="dxa"/>
            <w:vMerge w:val="continue"/>
            <w:shd w:val="pct10" w:color="auto" w:fill="auto"/>
          </w:tcPr>
          <w:p>
            <w:pPr>
              <w:rPr>
                <w:rFonts w:ascii="宋体" w:hAnsi="宋体"/>
                <w:b/>
                <w:color w:val="FF0000"/>
                <w:sz w:val="20"/>
              </w:rPr>
            </w:pPr>
          </w:p>
        </w:tc>
        <w:tc>
          <w:tcPr>
            <w:tcW w:w="850" w:type="dxa"/>
            <w:vMerge w:val="continue"/>
            <w:shd w:val="pct10" w:color="auto" w:fill="auto"/>
          </w:tcPr>
          <w:p>
            <w:pPr>
              <w:rPr>
                <w:rFonts w:ascii="宋体" w:hAnsi="宋体"/>
                <w:b/>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对象1</w:t>
            </w:r>
          </w:p>
        </w:tc>
        <w:tc>
          <w:tcPr>
            <w:tcW w:w="993" w:type="dxa"/>
            <w:vAlign w:val="center"/>
          </w:tcPr>
          <w:p>
            <w:pPr>
              <w:ind w:left="181" w:leftChars="86"/>
              <w:jc w:val="center"/>
              <w:rPr>
                <w:rFonts w:ascii="宋体" w:hAnsi="宋体"/>
                <w:color w:val="FF0000"/>
                <w:sz w:val="20"/>
              </w:rPr>
            </w:pPr>
          </w:p>
        </w:tc>
        <w:tc>
          <w:tcPr>
            <w:tcW w:w="1134" w:type="dxa"/>
          </w:tcPr>
          <w:p>
            <w:pPr>
              <w:ind w:left="181" w:leftChars="86"/>
              <w:jc w:val="center"/>
              <w:rPr>
                <w:rFonts w:ascii="宋体" w:hAnsi="宋体"/>
                <w:color w:val="FF0000"/>
                <w:sz w:val="20"/>
              </w:rPr>
            </w:pPr>
            <w:r>
              <w:rPr>
                <w:rFonts w:hint="eastAsia" w:ascii="宋体" w:hAnsi="宋体"/>
                <w:color w:val="FF0000"/>
                <w:sz w:val="20"/>
              </w:rPr>
              <w:t>（是</w:t>
            </w:r>
            <w:r>
              <w:rPr>
                <w:rFonts w:ascii="宋体" w:hAnsi="宋体"/>
                <w:color w:val="FF0000"/>
                <w:sz w:val="20"/>
              </w:rPr>
              <w:t>/否）</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日历控件</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w:t>
            </w:r>
            <w:r>
              <w:rPr>
                <w:rFonts w:ascii="宋体" w:hAnsi="宋体"/>
                <w:color w:val="FF0000"/>
                <w:sz w:val="20"/>
              </w:rPr>
              <w:t>控件</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（已事前及时履行</w:t>
            </w:r>
            <w:r>
              <w:rPr>
                <w:rFonts w:ascii="宋体" w:hAnsi="宋体"/>
                <w:color w:val="FF0000"/>
                <w:sz w:val="20"/>
              </w:rPr>
              <w:t>/</w:t>
            </w:r>
            <w:r>
              <w:rPr>
                <w:rFonts w:hint="eastAsia" w:ascii="宋体" w:hAnsi="宋体"/>
                <w:color w:val="FF0000"/>
                <w:sz w:val="20"/>
              </w:rPr>
              <w:t>已</w:t>
            </w:r>
            <w:r>
              <w:rPr>
                <w:rFonts w:ascii="宋体" w:hAnsi="宋体"/>
                <w:color w:val="FF0000"/>
                <w:sz w:val="20"/>
              </w:rPr>
              <w:t>事后补充履行/尚未履行</w:t>
            </w:r>
            <w:r>
              <w:rPr>
                <w:rFonts w:hint="eastAsia" w:ascii="宋体" w:hAnsi="宋体"/>
                <w:color w:val="FF0000"/>
                <w:sz w:val="20"/>
              </w:rPr>
              <w:t>）</w:t>
            </w:r>
          </w:p>
        </w:tc>
        <w:tc>
          <w:tcPr>
            <w:tcW w:w="850"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（是</w:t>
            </w:r>
            <w:r>
              <w:rPr>
                <w:rFonts w:ascii="宋体" w:hAnsi="宋体"/>
                <w:color w:val="FF0000"/>
                <w:sz w:val="20"/>
              </w:rPr>
              <w:t>/否）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对象2</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（自动</w:t>
            </w:r>
            <w:r>
              <w:rPr>
                <w:rFonts w:ascii="宋体" w:hAnsi="宋体"/>
                <w:color w:val="000000" w:themeColor="text1"/>
                <w:kern w:val="0"/>
                <w:sz w:val="20"/>
                <w14:textFill>
                  <w14:solidFill>
                    <w14:schemeClr w14:val="tx1"/>
                  </w14:solidFill>
                </w14:textFill>
              </w:rPr>
              <w:t>添行）</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b/>
                <w:color w:val="000000" w:themeColor="text1"/>
                <w:kern w:val="0"/>
                <w:sz w:val="20"/>
                <w14:textFill>
                  <w14:solidFill>
                    <w14:schemeClr w14:val="tx1"/>
                  </w14:solidFill>
                </w14:textFill>
              </w:rPr>
            </w:pPr>
            <w:r>
              <w:rPr>
                <w:rFonts w:hint="eastAsia" w:ascii="宋体" w:hAnsi="宋体"/>
                <w:b/>
                <w:color w:val="000000" w:themeColor="text1"/>
                <w:kern w:val="0"/>
                <w:sz w:val="20"/>
                <w14:textFill>
                  <w14:solidFill>
                    <w14:schemeClr w14:val="tx1"/>
                  </w14:solidFill>
                </w14:textFill>
              </w:rPr>
              <w:t>总计</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bl>
    <w:p>
      <w:pPr>
        <w:tabs>
          <w:tab w:val="left" w:pos="5140"/>
        </w:tabs>
        <w:jc w:val="right"/>
      </w:pP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对外提供借款</w:t>
      </w:r>
      <w:r>
        <w:rPr>
          <w:rFonts w:asciiTheme="minorEastAsia" w:hAnsiTheme="minorEastAsia" w:eastAsiaTheme="minorEastAsia"/>
          <w:b/>
          <w:color w:val="000000" w:themeColor="text1"/>
          <w:szCs w:val="24"/>
          <w14:textFill>
            <w14:solidFill>
              <w14:schemeClr w14:val="tx1"/>
            </w14:solidFill>
          </w14:textFill>
        </w:rPr>
        <w:t>原因</w:t>
      </w:r>
      <w:r>
        <w:rPr>
          <w:rFonts w:hint="eastAsia" w:asciiTheme="minorEastAsia" w:hAnsiTheme="minorEastAsia" w:eastAsiaTheme="minorEastAsia"/>
          <w:b/>
          <w:color w:val="000000" w:themeColor="text1"/>
          <w:szCs w:val="24"/>
          <w14:textFill>
            <w14:solidFill>
              <w14:schemeClr w14:val="tx1"/>
            </w14:solidFill>
          </w14:textFill>
        </w:rPr>
        <w:t>、</w:t>
      </w:r>
      <w:r>
        <w:rPr>
          <w:rFonts w:asciiTheme="minorEastAsia" w:hAnsiTheme="minorEastAsia" w:eastAsiaTheme="minorEastAsia"/>
          <w:b/>
          <w:color w:val="000000" w:themeColor="text1"/>
          <w:szCs w:val="24"/>
          <w14:textFill>
            <w14:solidFill>
              <w14:schemeClr w14:val="tx1"/>
            </w14:solidFill>
          </w14:textFill>
        </w:rPr>
        <w:t>归还</w:t>
      </w:r>
      <w:r>
        <w:rPr>
          <w:rFonts w:hint="eastAsia" w:asciiTheme="minorEastAsia" w:hAnsiTheme="minorEastAsia" w:eastAsiaTheme="minorEastAsia"/>
          <w:b/>
          <w:color w:val="000000" w:themeColor="text1"/>
          <w:szCs w:val="24"/>
          <w14:textFill>
            <w14:solidFill>
              <w14:schemeClr w14:val="tx1"/>
            </w14:solidFill>
          </w14:textFill>
        </w:rPr>
        <w:t>情况及</w:t>
      </w:r>
      <w:r>
        <w:rPr>
          <w:rFonts w:asciiTheme="minorEastAsia" w:hAnsiTheme="minorEastAsia" w:eastAsiaTheme="minorEastAsia"/>
          <w:b/>
          <w:color w:val="000000" w:themeColor="text1"/>
          <w:szCs w:val="24"/>
          <w14:textFill>
            <w14:solidFill>
              <w14:schemeClr w14:val="tx1"/>
            </w14:solidFill>
          </w14:textFill>
        </w:rPr>
        <w:t>对公司的影响</w:t>
      </w:r>
      <w:r>
        <w:rPr>
          <w:rFonts w:hint="eastAsia" w:asciiTheme="minorEastAsia" w:hAnsiTheme="minorEastAsia" w:eastAsiaTheme="minorEastAsia"/>
          <w:b/>
          <w:color w:val="000000" w:themeColor="text1"/>
          <w:szCs w:val="24"/>
          <w14:textFill>
            <w14:solidFill>
              <w14:schemeClr w14:val="tx1"/>
            </w14:solidFill>
          </w14:textFill>
        </w:rPr>
        <w:t>：</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rPr>
          <w:szCs w:val="22"/>
        </w:rPr>
      </w:pPr>
      <w:r>
        <w:rPr>
          <w:rFonts w:hint="eastAsia"/>
          <w:szCs w:val="22"/>
        </w:rPr>
        <w:t>（四）</w:t>
      </w:r>
      <w:r>
        <w:rPr>
          <w:szCs w:val="22"/>
        </w:rPr>
        <w:t>股东及其关联方占用或转移公司资金、资产</w:t>
      </w:r>
      <w:r>
        <w:rPr>
          <w:rFonts w:hint="eastAsia"/>
          <w:szCs w:val="22"/>
        </w:rPr>
        <w:t>及其他</w:t>
      </w:r>
      <w:r>
        <w:rPr>
          <w:szCs w:val="22"/>
        </w:rPr>
        <w:t>资源</w:t>
      </w:r>
      <w:r>
        <w:rPr>
          <w:rFonts w:hint="eastAsia"/>
          <w:szCs w:val="22"/>
        </w:rPr>
        <w:t>的</w:t>
      </w:r>
      <w:r>
        <w:rPr>
          <w:szCs w:val="22"/>
        </w:rPr>
        <w:t>情况</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本报告期公司无股东</w:t>
      </w:r>
      <w:r>
        <w:rPr>
          <w:rFonts w:asciiTheme="minorEastAsia" w:hAnsiTheme="minorEastAsia" w:eastAsiaTheme="minorEastAsia"/>
          <w:b/>
          <w:color w:val="000000" w:themeColor="text1"/>
          <w:szCs w:val="24"/>
          <w14:textFill>
            <w14:solidFill>
              <w14:schemeClr w14:val="tx1"/>
            </w14:solidFill>
          </w14:textFill>
        </w:rPr>
        <w:t>及其关联方占用或转移公司资金、资产</w:t>
      </w:r>
      <w:r>
        <w:rPr>
          <w:rFonts w:hint="eastAsia" w:asciiTheme="minorEastAsia" w:hAnsiTheme="minorEastAsia" w:eastAsiaTheme="minorEastAsia"/>
          <w:b/>
          <w:color w:val="000000" w:themeColor="text1"/>
          <w:szCs w:val="24"/>
          <w14:textFill>
            <w14:solidFill>
              <w14:schemeClr w14:val="tx1"/>
            </w14:solidFill>
          </w14:textFill>
        </w:rPr>
        <w:t>及其他</w:t>
      </w:r>
      <w:r>
        <w:rPr>
          <w:rFonts w:asciiTheme="minorEastAsia" w:hAnsiTheme="minorEastAsia" w:eastAsiaTheme="minorEastAsia"/>
          <w:b/>
          <w:color w:val="000000" w:themeColor="text1"/>
          <w:szCs w:val="24"/>
          <w14:textFill>
            <w14:solidFill>
              <w14:schemeClr w14:val="tx1"/>
            </w14:solidFill>
          </w14:textFill>
        </w:rPr>
        <w:t>资源</w:t>
      </w:r>
      <w:r>
        <w:rPr>
          <w:rFonts w:hint="eastAsia" w:asciiTheme="minorEastAsia" w:hAnsiTheme="minorEastAsia" w:eastAsiaTheme="minorEastAsia"/>
          <w:b/>
          <w:color w:val="000000" w:themeColor="text1"/>
          <w:szCs w:val="24"/>
          <w14:textFill>
            <w14:solidFill>
              <w14:schemeClr w14:val="tx1"/>
            </w14:solidFill>
          </w14:textFill>
        </w:rPr>
        <w:t>的</w:t>
      </w:r>
      <w:r>
        <w:rPr>
          <w:rFonts w:asciiTheme="minorEastAsia" w:hAnsiTheme="minorEastAsia" w:eastAsiaTheme="minorEastAsia"/>
          <w:b/>
          <w:color w:val="000000" w:themeColor="text1"/>
          <w:szCs w:val="24"/>
          <w14:textFill>
            <w14:solidFill>
              <w14:schemeClr w14:val="tx1"/>
            </w14:solidFill>
          </w14:textFill>
        </w:rPr>
        <w:t>情况</w:t>
      </w:r>
      <w:r>
        <w:rPr>
          <w:rFonts w:hint="eastAsia" w:asciiTheme="minorEastAsia" w:hAnsiTheme="minorEastAsia" w:eastAsiaTheme="minorEastAsia"/>
          <w:b/>
          <w:color w:val="000000" w:themeColor="text1"/>
          <w:szCs w:val="24"/>
          <w14:textFill>
            <w14:solidFill>
              <w14:schemeClr w14:val="tx1"/>
            </w14:solidFill>
          </w14:textFill>
        </w:rPr>
        <w:t>（适用/</w:t>
      </w:r>
      <w:r>
        <w:rPr>
          <w:rFonts w:asciiTheme="minorEastAsia" w:hAnsiTheme="minorEastAsia" w:eastAsiaTheme="minorEastAsia"/>
          <w:b/>
          <w:color w:val="000000" w:themeColor="text1"/>
          <w:szCs w:val="24"/>
          <w14:textFill>
            <w14:solidFill>
              <w14:schemeClr w14:val="tx1"/>
            </w14:solidFill>
          </w14:textFill>
        </w:rPr>
        <w:t>不适用</w:t>
      </w:r>
      <w:r>
        <w:rPr>
          <w:rFonts w:hint="eastAsia" w:asciiTheme="minorEastAsia" w:hAnsiTheme="minorEastAsia" w:eastAsiaTheme="minorEastAsia"/>
          <w:b/>
          <w:color w:val="000000" w:themeColor="text1"/>
          <w:szCs w:val="24"/>
          <w14:textFill>
            <w14:solidFill>
              <w14:schemeClr w14:val="tx1"/>
            </w14:solidFill>
          </w14:textFill>
        </w:rPr>
        <w:t>）</w:t>
      </w:r>
    </w:p>
    <w:p>
      <w:pPr>
        <w:rPr>
          <w:b/>
        </w:rPr>
      </w:pPr>
      <w:r>
        <w:rPr>
          <w:rFonts w:hint="eastAsia" w:ascii="宋体" w:hAnsi="宋体" w:cs="宋体"/>
          <w:i/>
          <w:iCs/>
          <w:color w:val="FF0000"/>
          <w:szCs w:val="21"/>
        </w:rPr>
        <w:t>（注：诉讼、资金占用、承诺事项，如索引表中填写“否”，此处应勾选“适用”；如索引表中填写“是”，此处应勾选“不适用”。）</w:t>
      </w:r>
    </w:p>
    <w:p>
      <w:pPr>
        <w:ind w:left="6901" w:leftChars="3286" w:firstLine="420"/>
        <w:jc w:val="right"/>
      </w:pPr>
    </w:p>
    <w:p>
      <w:pPr>
        <w:jc w:val="left"/>
        <w:rPr>
          <w:rFonts w:asciiTheme="minorEastAsia" w:hAnsiTheme="minorEastAsia" w:eastAsiaTheme="minorEastAsia"/>
          <w:b/>
          <w:szCs w:val="24"/>
        </w:rPr>
      </w:pPr>
      <w:r>
        <w:rPr>
          <w:rFonts w:hint="eastAsia" w:asciiTheme="minorEastAsia" w:hAnsiTheme="minorEastAsia" w:eastAsiaTheme="minorEastAsia"/>
          <w:b/>
          <w:szCs w:val="24"/>
        </w:rPr>
        <w:t>控股股东、实际控制人及其控制的企业资金占用</w:t>
      </w:r>
      <w:r>
        <w:rPr>
          <w:rFonts w:asciiTheme="minorEastAsia" w:hAnsiTheme="minorEastAsia" w:eastAsiaTheme="minorEastAsia"/>
          <w:b/>
          <w:szCs w:val="24"/>
        </w:rPr>
        <w:t>情况</w:t>
      </w:r>
      <w:r>
        <w:rPr>
          <w:rFonts w:hint="eastAsia" w:asciiTheme="minorEastAsia" w:hAnsiTheme="minorEastAsia" w:eastAsiaTheme="minorEastAsia"/>
          <w:b/>
          <w:szCs w:val="24"/>
        </w:rPr>
        <w:t xml:space="preserve">：        </w:t>
      </w:r>
      <w:r>
        <w:rPr>
          <w:rFonts w:asciiTheme="minorEastAsia" w:hAnsiTheme="minorEastAsia" w:eastAsiaTheme="minorEastAsia"/>
          <w:b/>
          <w:szCs w:val="24"/>
        </w:rPr>
        <w:t xml:space="preserve">          </w:t>
      </w:r>
      <w:r>
        <w:rPr>
          <w:rFonts w:hint="eastAsia" w:asciiTheme="minorEastAsia" w:hAnsiTheme="minorEastAsia" w:eastAsiaTheme="minorEastAsia"/>
          <w:b/>
          <w:szCs w:val="24"/>
        </w:rPr>
        <w:t xml:space="preserve">    </w:t>
      </w:r>
    </w:p>
    <w:p>
      <w:pPr>
        <w:jc w:val="right"/>
      </w:pPr>
      <w:r>
        <w:rPr>
          <w:rFonts w:hint="eastAsia"/>
        </w:rPr>
        <w:t>单位：元</w:t>
      </w:r>
    </w:p>
    <w:tbl>
      <w:tblPr>
        <w:tblStyle w:val="45"/>
        <w:tblW w:w="9634"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52"/>
        <w:gridCol w:w="1052"/>
        <w:gridCol w:w="1052"/>
        <w:gridCol w:w="1053"/>
        <w:gridCol w:w="1052"/>
        <w:gridCol w:w="1052"/>
        <w:gridCol w:w="1053"/>
        <w:gridCol w:w="22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5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占用主体</w:t>
            </w:r>
          </w:p>
        </w:tc>
        <w:tc>
          <w:tcPr>
            <w:tcW w:w="105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性质</w:t>
            </w:r>
          </w:p>
        </w:tc>
        <w:tc>
          <w:tcPr>
            <w:tcW w:w="105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053"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新增</w:t>
            </w:r>
          </w:p>
        </w:tc>
        <w:tc>
          <w:tcPr>
            <w:tcW w:w="1052"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减少</w:t>
            </w:r>
          </w:p>
        </w:tc>
        <w:tc>
          <w:tcPr>
            <w:tcW w:w="105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05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单日最高占用余额</w:t>
            </w:r>
          </w:p>
        </w:tc>
        <w:tc>
          <w:tcPr>
            <w:tcW w:w="2268"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是否履行审议程序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52"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p>
        </w:tc>
        <w:tc>
          <w:tcPr>
            <w:tcW w:w="1052" w:type="dxa"/>
            <w:shd w:val="clear" w:color="auto" w:fill="auto"/>
          </w:tcPr>
          <w:p>
            <w:pPr>
              <w:rPr>
                <w:rFonts w:ascii="宋体" w:hAnsi="宋体"/>
                <w:color w:val="FF0000"/>
                <w:sz w:val="22"/>
              </w:rPr>
            </w:pPr>
            <w:r>
              <w:rPr>
                <w:rFonts w:hint="eastAsia" w:ascii="宋体" w:hAnsi="宋体"/>
                <w:color w:val="FF0000"/>
                <w:sz w:val="22"/>
              </w:rPr>
              <w:t>（借款</w:t>
            </w:r>
            <w:r>
              <w:rPr>
                <w:rFonts w:ascii="宋体" w:hAnsi="宋体"/>
                <w:color w:val="FF0000"/>
                <w:sz w:val="22"/>
              </w:rPr>
              <w:t>/垫支/</w:t>
            </w:r>
            <w:r>
              <w:rPr>
                <w:rFonts w:hint="eastAsia" w:ascii="宋体" w:hAnsi="宋体"/>
                <w:color w:val="FF0000"/>
                <w:sz w:val="22"/>
              </w:rPr>
              <w:t>其他）</w:t>
            </w:r>
          </w:p>
        </w:tc>
        <w:tc>
          <w:tcPr>
            <w:tcW w:w="1052" w:type="dxa"/>
            <w:shd w:val="clear" w:color="auto" w:fill="auto"/>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FF0000"/>
                <w:sz w:val="22"/>
              </w:rPr>
            </w:pPr>
          </w:p>
        </w:tc>
        <w:tc>
          <w:tcPr>
            <w:tcW w:w="2268" w:type="dxa"/>
          </w:tcPr>
          <w:p>
            <w:pPr>
              <w:rPr>
                <w:rFonts w:ascii="宋体" w:hAnsi="宋体"/>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52"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p>
        </w:tc>
        <w:tc>
          <w:tcPr>
            <w:tcW w:w="1052" w:type="dxa"/>
            <w:shd w:val="clear" w:color="auto" w:fill="auto"/>
          </w:tcPr>
          <w:p>
            <w:pPr>
              <w:rPr>
                <w:rFonts w:ascii="宋体" w:hAnsi="宋体"/>
                <w:color w:val="000000" w:themeColor="text1"/>
                <w:sz w:val="22"/>
                <w14:textFill>
                  <w14:solidFill>
                    <w14:schemeClr w14:val="tx1"/>
                  </w14:solidFill>
                </w14:textFill>
              </w:rPr>
            </w:pPr>
          </w:p>
        </w:tc>
        <w:tc>
          <w:tcPr>
            <w:tcW w:w="1052" w:type="dxa"/>
            <w:shd w:val="clear" w:color="auto" w:fill="auto"/>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000000" w:themeColor="text1"/>
                <w:sz w:val="22"/>
                <w14:textFill>
                  <w14:solidFill>
                    <w14:schemeClr w14:val="tx1"/>
                  </w14:solidFill>
                </w14:textFill>
              </w:rPr>
            </w:pPr>
          </w:p>
        </w:tc>
        <w:tc>
          <w:tcPr>
            <w:tcW w:w="2268"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jc w:val="center"/>
        </w:trPr>
        <w:tc>
          <w:tcPr>
            <w:tcW w:w="1052"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052" w:type="dxa"/>
            <w:shd w:val="clear" w:color="auto" w:fill="auto"/>
          </w:tcPr>
          <w:p>
            <w:pPr>
              <w:rPr>
                <w:rFonts w:ascii="宋体" w:hAnsi="宋体"/>
                <w:color w:val="000000" w:themeColor="text1"/>
                <w:sz w:val="22"/>
                <w14:textFill>
                  <w14:solidFill>
                    <w14:schemeClr w14:val="tx1"/>
                  </w14:solidFill>
                </w14:textFill>
              </w:rPr>
            </w:pPr>
          </w:p>
        </w:tc>
        <w:tc>
          <w:tcPr>
            <w:tcW w:w="1052" w:type="dxa"/>
            <w:shd w:val="clear" w:color="auto" w:fill="auto"/>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000000" w:themeColor="text1"/>
                <w:sz w:val="22"/>
                <w14:textFill>
                  <w14:solidFill>
                    <w14:schemeClr w14:val="tx1"/>
                  </w14:solidFill>
                </w14:textFill>
              </w:rPr>
            </w:pPr>
          </w:p>
        </w:tc>
        <w:tc>
          <w:tcPr>
            <w:tcW w:w="2268"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52" w:type="dxa"/>
            <w:shd w:val="clear"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合计</w:t>
            </w:r>
          </w:p>
        </w:tc>
        <w:tc>
          <w:tcPr>
            <w:tcW w:w="1052" w:type="dxa"/>
            <w:shd w:val="clear" w:color="auto" w:fill="auto"/>
          </w:tcPr>
          <w:p>
            <w:pPr>
              <w:rPr>
                <w:rFonts w:ascii="宋体" w:hAnsi="宋体"/>
                <w:color w:val="000000" w:themeColor="text1"/>
                <w:sz w:val="22"/>
                <w14:textFill>
                  <w14:solidFill>
                    <w14:schemeClr w14:val="tx1"/>
                  </w14:solidFill>
                </w14:textFill>
              </w:rPr>
            </w:pPr>
          </w:p>
        </w:tc>
        <w:tc>
          <w:tcPr>
            <w:tcW w:w="1052" w:type="dxa"/>
            <w:shd w:val="clear" w:color="auto" w:fill="auto"/>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2" w:type="dxa"/>
          </w:tcPr>
          <w:p>
            <w:pPr>
              <w:rPr>
                <w:rFonts w:ascii="宋体" w:hAnsi="宋体"/>
                <w:color w:val="000000" w:themeColor="text1"/>
                <w:sz w:val="22"/>
                <w14:textFill>
                  <w14:solidFill>
                    <w14:schemeClr w14:val="tx1"/>
                  </w14:solidFill>
                </w14:textFill>
              </w:rPr>
            </w:pPr>
          </w:p>
        </w:tc>
        <w:tc>
          <w:tcPr>
            <w:tcW w:w="1053" w:type="dxa"/>
          </w:tcPr>
          <w:p>
            <w:pPr>
              <w:rPr>
                <w:rFonts w:ascii="宋体" w:hAnsi="宋体"/>
                <w:color w:val="000000" w:themeColor="text1"/>
                <w:sz w:val="22"/>
                <w14:textFill>
                  <w14:solidFill>
                    <w14:schemeClr w14:val="tx1"/>
                  </w14:solidFill>
                </w14:textFill>
              </w:rPr>
            </w:pPr>
          </w:p>
        </w:tc>
        <w:tc>
          <w:tcPr>
            <w:tcW w:w="2268" w:type="dxa"/>
          </w:tcPr>
          <w:p>
            <w:pPr>
              <w:rPr>
                <w:rFonts w:ascii="宋体" w:hAnsi="宋体"/>
                <w:color w:val="000000" w:themeColor="text1"/>
                <w:sz w:val="22"/>
                <w14:textFill>
                  <w14:solidFill>
                    <w14:schemeClr w14:val="tx1"/>
                  </w14:solidFill>
                </w14:textFill>
              </w:rPr>
            </w:pPr>
          </w:p>
        </w:tc>
      </w:tr>
    </w:tbl>
    <w:p>
      <w:pPr>
        <w:ind w:left="181" w:leftChars="86"/>
        <w:jc w:val="left"/>
        <w:rPr>
          <w:rFonts w:asciiTheme="minorEastAsia" w:hAnsiTheme="minorEastAsia" w:eastAsiaTheme="minorEastAsia"/>
          <w:b/>
          <w:szCs w:val="24"/>
        </w:rPr>
      </w:pPr>
      <w:r>
        <w:rPr>
          <w:rFonts w:hint="eastAsia" w:asciiTheme="minorEastAsia" w:hAnsiTheme="minorEastAsia" w:eastAsiaTheme="minorEastAsia"/>
          <w:b/>
          <w:szCs w:val="24"/>
        </w:rPr>
        <w:t>发生</w:t>
      </w:r>
      <w:r>
        <w:rPr>
          <w:rFonts w:asciiTheme="minorEastAsia" w:hAnsiTheme="minorEastAsia" w:eastAsiaTheme="minorEastAsia"/>
          <w:b/>
          <w:szCs w:val="24"/>
        </w:rPr>
        <w:t>原因</w:t>
      </w:r>
      <w:r>
        <w:rPr>
          <w:rFonts w:hint="eastAsia" w:asciiTheme="minorEastAsia" w:hAnsiTheme="minorEastAsia" w:eastAsiaTheme="minorEastAsia"/>
          <w:b/>
          <w:szCs w:val="24"/>
        </w:rPr>
        <w:t>、</w:t>
      </w:r>
      <w:r>
        <w:rPr>
          <w:rFonts w:asciiTheme="minorEastAsia" w:hAnsiTheme="minorEastAsia" w:eastAsiaTheme="minorEastAsia"/>
          <w:b/>
          <w:szCs w:val="24"/>
        </w:rPr>
        <w:t>整改情况</w:t>
      </w:r>
      <w:r>
        <w:rPr>
          <w:rFonts w:hint="eastAsia" w:asciiTheme="minorEastAsia" w:hAnsiTheme="minorEastAsia" w:eastAsiaTheme="minorEastAsia"/>
          <w:b/>
          <w:szCs w:val="24"/>
        </w:rPr>
        <w:t>及</w:t>
      </w:r>
      <w:r>
        <w:rPr>
          <w:rFonts w:asciiTheme="minorEastAsia" w:hAnsiTheme="minorEastAsia" w:eastAsiaTheme="minorEastAsia"/>
          <w:b/>
          <w:szCs w:val="24"/>
        </w:rPr>
        <w:t>对公司的影响</w:t>
      </w:r>
      <w:r>
        <w:rPr>
          <w:rFonts w:hint="eastAsia" w:asciiTheme="minorEastAsia" w:hAnsiTheme="minorEastAsia" w:eastAsiaTheme="minorEastAsia"/>
          <w:b/>
          <w:szCs w:val="24"/>
        </w:rPr>
        <w:t>：</w:t>
      </w:r>
    </w:p>
    <w:tbl>
      <w:tblPr>
        <w:tblStyle w:val="96"/>
        <w:tblW w:w="964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注：对于报告期内</w:t>
            </w:r>
            <w:r>
              <w:rPr>
                <w:rFonts w:asciiTheme="minorEastAsia" w:hAnsiTheme="minorEastAsia" w:eastAsiaTheme="minorEastAsia"/>
                <w:i/>
                <w:color w:val="FF0000"/>
                <w:szCs w:val="44"/>
              </w:rPr>
              <w:t>发生股东</w:t>
            </w:r>
            <w:r>
              <w:rPr>
                <w:rFonts w:hint="eastAsia" w:asciiTheme="minorEastAsia" w:hAnsiTheme="minorEastAsia" w:eastAsiaTheme="minorEastAsia"/>
                <w:i/>
                <w:color w:val="FF0000"/>
                <w:szCs w:val="44"/>
              </w:rPr>
              <w:t>及其</w:t>
            </w:r>
            <w:r>
              <w:rPr>
                <w:rFonts w:asciiTheme="minorEastAsia" w:hAnsiTheme="minorEastAsia" w:eastAsiaTheme="minorEastAsia"/>
                <w:i/>
                <w:color w:val="FF0000"/>
                <w:szCs w:val="44"/>
              </w:rPr>
              <w:t>关联方</w:t>
            </w:r>
            <w:r>
              <w:rPr>
                <w:rFonts w:hint="eastAsia" w:asciiTheme="minorEastAsia" w:hAnsiTheme="minorEastAsia" w:eastAsiaTheme="minorEastAsia"/>
                <w:i/>
                <w:color w:val="FF0000"/>
                <w:szCs w:val="44"/>
              </w:rPr>
              <w:t>以各种形式占用或者转移公司</w:t>
            </w:r>
            <w:r>
              <w:rPr>
                <w:rFonts w:asciiTheme="minorEastAsia" w:hAnsiTheme="minorEastAsia" w:eastAsiaTheme="minorEastAsia"/>
                <w:i/>
                <w:color w:val="FF0000"/>
                <w:szCs w:val="44"/>
              </w:rPr>
              <w:t>的资金、资产</w:t>
            </w:r>
            <w:r>
              <w:rPr>
                <w:rFonts w:hint="eastAsia" w:asciiTheme="minorEastAsia" w:hAnsiTheme="minorEastAsia" w:eastAsiaTheme="minorEastAsia"/>
                <w:i/>
                <w:color w:val="FF0000"/>
                <w:szCs w:val="44"/>
              </w:rPr>
              <w:t>及</w:t>
            </w:r>
            <w:r>
              <w:rPr>
                <w:rFonts w:asciiTheme="minorEastAsia" w:hAnsiTheme="minorEastAsia" w:eastAsiaTheme="minorEastAsia"/>
                <w:i/>
                <w:color w:val="FF0000"/>
                <w:szCs w:val="44"/>
              </w:rPr>
              <w:t>其他资源的，</w:t>
            </w:r>
            <w:r>
              <w:rPr>
                <w:rFonts w:hint="eastAsia" w:asciiTheme="minorEastAsia" w:hAnsiTheme="minorEastAsia" w:eastAsiaTheme="minorEastAsia"/>
                <w:i/>
                <w:color w:val="FF0000"/>
                <w:szCs w:val="44"/>
              </w:rPr>
              <w:t>公司应当说明发生原因、整改情况、预计归还方式及时间及对公司的影响，其中发生控股股东、实际控制人及其控制的企业占用资金情形的，还应当</w:t>
            </w:r>
            <w:r>
              <w:rPr>
                <w:rFonts w:asciiTheme="minorEastAsia" w:hAnsiTheme="minorEastAsia" w:eastAsiaTheme="minorEastAsia"/>
                <w:i/>
                <w:color w:val="FF0000"/>
                <w:szCs w:val="44"/>
              </w:rPr>
              <w:t>按照上述表格要求披露</w:t>
            </w:r>
            <w:r>
              <w:rPr>
                <w:rFonts w:hint="eastAsia" w:asciiTheme="minorEastAsia" w:hAnsiTheme="minorEastAsia" w:eastAsiaTheme="minorEastAsia"/>
                <w:i/>
                <w:color w:val="FF0000"/>
                <w:szCs w:val="44"/>
              </w:rPr>
              <w:t>具体占用情况</w:t>
            </w:r>
            <w:r>
              <w:rPr>
                <w:rFonts w:asciiTheme="minorEastAsia" w:hAnsiTheme="minorEastAsia" w:eastAsiaTheme="minorEastAsia"/>
                <w:i/>
                <w:color w:val="FF0000"/>
                <w:szCs w:val="44"/>
              </w:rPr>
              <w:t>。</w:t>
            </w:r>
          </w:p>
        </w:tc>
      </w:tr>
    </w:tbl>
    <w:p>
      <w:pPr>
        <w:pStyle w:val="5"/>
        <w:keepNext w:val="0"/>
        <w:keepLines w:val="0"/>
        <w:spacing w:line="377" w:lineRule="auto"/>
        <w:jc w:val="left"/>
        <w:rPr>
          <w:szCs w:val="22"/>
        </w:rPr>
      </w:pPr>
      <w:r>
        <w:rPr>
          <w:rFonts w:hint="eastAsia"/>
          <w:szCs w:val="22"/>
        </w:rPr>
        <w:t>（五）报告期内</w:t>
      </w:r>
      <w:r>
        <w:rPr>
          <w:szCs w:val="22"/>
        </w:rPr>
        <w:t>公司发生的日常性关联交易情况</w:t>
      </w:r>
      <w:r>
        <w:rPr>
          <w:rFonts w:hint="eastAsia"/>
          <w:szCs w:val="22"/>
        </w:rPr>
        <w:t xml:space="preserve"> </w:t>
      </w:r>
    </w:p>
    <w:p>
      <w:pPr>
        <w:ind w:left="6300" w:firstLine="420"/>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具体事项类型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预计金额</w:t>
            </w:r>
          </w:p>
        </w:tc>
        <w:tc>
          <w:tcPr>
            <w:tcW w:w="155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1"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r>
              <w:rPr>
                <w:rFonts w:hint="eastAsia" w:ascii="宋体" w:hAnsi="宋体"/>
                <w:color w:val="000000" w:themeColor="text1"/>
                <w:sz w:val="22"/>
                <w14:textFill>
                  <w14:solidFill>
                    <w14:schemeClr w14:val="tx1"/>
                  </w14:solidFill>
                </w14:textFill>
              </w:rPr>
              <w:t>．购买原材料、燃料、动力,</w:t>
            </w:r>
            <w:r>
              <w:rPr>
                <w:rFonts w:ascii="宋体" w:hAnsi="宋体"/>
                <w:color w:val="000000" w:themeColor="text1"/>
                <w:sz w:val="22"/>
                <w14:textFill>
                  <w14:solidFill>
                    <w14:schemeClr w14:val="tx1"/>
                  </w14:solidFill>
                </w14:textFill>
              </w:rPr>
              <w:t>接</w:t>
            </w:r>
            <w:r>
              <w:rPr>
                <w:rFonts w:hint="eastAsia" w:ascii="宋体" w:hAnsi="宋体"/>
                <w:color w:val="000000" w:themeColor="text1"/>
                <w:sz w:val="22"/>
                <w14:textFill>
                  <w14:solidFill>
                    <w14:schemeClr w14:val="tx1"/>
                  </w14:solidFill>
                </w14:textFill>
              </w:rPr>
              <w:t>受</w:t>
            </w:r>
            <w:r>
              <w:rPr>
                <w:rFonts w:ascii="宋体" w:hAnsi="宋体"/>
                <w:color w:val="000000" w:themeColor="text1"/>
                <w:sz w:val="22"/>
                <w14:textFill>
                  <w14:solidFill>
                    <w14:schemeClr w14:val="tx1"/>
                  </w14:solidFill>
                </w14:textFill>
              </w:rPr>
              <w:t>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．销售产品</w:t>
            </w:r>
            <w:r>
              <w:rPr>
                <w:rFonts w:ascii="宋体" w:hAnsi="宋体"/>
                <w:color w:val="000000" w:themeColor="text1"/>
                <w:sz w:val="22"/>
                <w14:textFill>
                  <w14:solidFill>
                    <w14:schemeClr w14:val="tx1"/>
                  </w14:solidFill>
                </w14:textFill>
              </w:rPr>
              <w:t>、商品</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提供劳务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3</w:t>
            </w:r>
            <w:r>
              <w:rPr>
                <w:rFonts w:hint="eastAsia" w:ascii="宋体" w:hAnsi="宋体"/>
                <w:color w:val="000000" w:themeColor="text1"/>
                <w:sz w:val="22"/>
                <w14:textFill>
                  <w14:solidFill>
                    <w14:schemeClr w14:val="tx1"/>
                  </w14:solidFill>
                </w14:textFill>
              </w:rPr>
              <w:t>．公司章程中</w:t>
            </w:r>
            <w:r>
              <w:rPr>
                <w:rFonts w:ascii="宋体" w:hAnsi="宋体"/>
                <w:color w:val="000000" w:themeColor="text1"/>
                <w:sz w:val="22"/>
                <w14:textFill>
                  <w14:solidFill>
                    <w14:schemeClr w14:val="tx1"/>
                  </w14:solidFill>
                </w14:textFill>
              </w:rPr>
              <w:t>约定适用于本公司的日常关联交易类型</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4</w:t>
            </w:r>
            <w:r>
              <w:rPr>
                <w:rFonts w:hint="eastAsia" w:ascii="宋体" w:hAnsi="宋体"/>
                <w:color w:val="000000" w:themeColor="text1"/>
                <w:sz w:val="22"/>
                <w14:textFill>
                  <w14:solidFill>
                    <w14:schemeClr w14:val="tx1"/>
                  </w14:solidFill>
                </w14:textFill>
              </w:rPr>
              <w:t>．其他</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bl>
    <w:p>
      <w:pPr>
        <w:pStyle w:val="5"/>
        <w:keepNext w:val="0"/>
        <w:keepLines w:val="0"/>
        <w:spacing w:line="377" w:lineRule="auto"/>
        <w:jc w:val="left"/>
        <w:rPr>
          <w:szCs w:val="22"/>
        </w:rPr>
      </w:pPr>
      <w:r>
        <w:rPr>
          <w:rFonts w:hint="eastAsia"/>
          <w:szCs w:val="22"/>
        </w:rPr>
        <w:t>（六）报告期内</w:t>
      </w:r>
      <w:r>
        <w:rPr>
          <w:szCs w:val="22"/>
        </w:rPr>
        <w:t>公司发生的</w:t>
      </w:r>
      <w:r>
        <w:rPr>
          <w:rFonts w:hint="eastAsia"/>
          <w:szCs w:val="22"/>
        </w:rPr>
        <w:t>其他重大</w:t>
      </w:r>
      <w:r>
        <w:rPr>
          <w:szCs w:val="22"/>
        </w:rPr>
        <w:t>关联交易情况</w:t>
      </w:r>
    </w:p>
    <w:p>
      <w:pPr>
        <w:jc w:val="right"/>
        <w:rPr>
          <w:lang w:val="zh-CN"/>
        </w:rPr>
      </w:pPr>
      <w:r>
        <w:rPr>
          <w:rFonts w:hint="eastAsia"/>
          <w:lang w:val="zh-CN"/>
        </w:rPr>
        <w:t>单位：元</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3261"/>
        <w:gridCol w:w="3260"/>
        <w:gridCol w:w="311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交易类型</w:t>
            </w:r>
          </w:p>
        </w:tc>
        <w:tc>
          <w:tcPr>
            <w:tcW w:w="3260"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审议金额</w:t>
            </w:r>
          </w:p>
        </w:tc>
        <w:tc>
          <w:tcPr>
            <w:tcW w:w="3119"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资产或股权收购、出售</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与关联方共同对外投资</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债权债务往来或担保等事项</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3261"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3260" w:type="dxa"/>
          </w:tcPr>
          <w:p>
            <w:pPr>
              <w:jc w:val="center"/>
              <w:rPr>
                <w:rFonts w:ascii="宋体" w:hAnsi="宋体"/>
                <w:color w:val="000000" w:themeColor="text1"/>
                <w:kern w:val="0"/>
                <w:sz w:val="22"/>
                <w14:textFill>
                  <w14:solidFill>
                    <w14:schemeClr w14:val="tx1"/>
                  </w14:solidFill>
                </w14:textFill>
              </w:rPr>
            </w:pPr>
          </w:p>
        </w:tc>
        <w:tc>
          <w:tcPr>
            <w:tcW w:w="3119" w:type="dxa"/>
          </w:tcPr>
          <w:p>
            <w:pPr>
              <w:jc w:val="center"/>
              <w:rPr>
                <w:rFonts w:ascii="宋体" w:hAnsi="宋体"/>
                <w:color w:val="000000" w:themeColor="text1"/>
                <w:kern w:val="0"/>
                <w:sz w:val="22"/>
                <w14:textFill>
                  <w14:solidFill>
                    <w14:schemeClr w14:val="tx1"/>
                  </w14:solidFill>
                </w14:textFill>
              </w:rPr>
            </w:pPr>
          </w:p>
        </w:tc>
      </w:tr>
    </w:tbl>
    <w:p>
      <w:pPr>
        <w:jc w:val="left"/>
        <w:rPr>
          <w:rFonts w:asciiTheme="minorEastAsia" w:hAnsiTheme="minorEastAsia" w:eastAsiaTheme="minorEastAsia"/>
          <w:b/>
          <w:szCs w:val="24"/>
        </w:rPr>
      </w:pPr>
      <w:r>
        <w:rPr>
          <w:rFonts w:hint="eastAsia" w:asciiTheme="minorEastAsia" w:hAnsiTheme="minorEastAsia" w:eastAsiaTheme="minorEastAsia"/>
          <w:b/>
          <w:szCs w:val="24"/>
        </w:rPr>
        <w:t>重大</w:t>
      </w:r>
      <w:r>
        <w:rPr>
          <w:rFonts w:asciiTheme="minorEastAsia" w:hAnsiTheme="minorEastAsia" w:eastAsiaTheme="minorEastAsia"/>
          <w:b/>
          <w:szCs w:val="24"/>
        </w:rPr>
        <w:t>关联交易的必要性</w:t>
      </w:r>
      <w:r>
        <w:rPr>
          <w:rFonts w:hint="eastAsia" w:asciiTheme="minorEastAsia" w:hAnsiTheme="minorEastAsia" w:eastAsiaTheme="minorEastAsia"/>
          <w:b/>
          <w:szCs w:val="24"/>
        </w:rPr>
        <w:t>、</w:t>
      </w:r>
      <w:r>
        <w:rPr>
          <w:rFonts w:asciiTheme="minorEastAsia" w:hAnsiTheme="minorEastAsia" w:eastAsiaTheme="minorEastAsia"/>
          <w:b/>
          <w:szCs w:val="24"/>
        </w:rPr>
        <w:t>持续性以及对公司生产经营的影响</w:t>
      </w:r>
      <w:r>
        <w:rPr>
          <w:rFonts w:hint="eastAsia" w:asciiTheme="minorEastAsia" w:hAnsiTheme="minorEastAsia" w:eastAsiaTheme="minorEastAsia"/>
          <w:b/>
          <w:szCs w:val="24"/>
        </w:rPr>
        <w:t>：</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注：公司应当披露与关联方的交易结算及资金回笼情况，并说明关联交易的必要性和持续性及对公司生产经营的影响。</w:t>
            </w:r>
          </w:p>
        </w:tc>
      </w:tr>
    </w:tbl>
    <w:p>
      <w:pPr>
        <w:pStyle w:val="5"/>
        <w:keepNext w:val="0"/>
        <w:keepLines w:val="0"/>
        <w:spacing w:line="377" w:lineRule="auto"/>
        <w:ind w:right="-806" w:rightChars="-384"/>
        <w:jc w:val="left"/>
        <w:rPr>
          <w:szCs w:val="22"/>
        </w:rPr>
      </w:pPr>
      <w:r>
        <w:rPr>
          <w:rFonts w:hint="eastAsia"/>
          <w:szCs w:val="22"/>
        </w:rPr>
        <w:t>（七）经股东大会审议的收购、出售资产、对外投资事项、企业合并事项</w:t>
      </w:r>
    </w:p>
    <w:p>
      <w:pPr>
        <w:jc w:val="right"/>
      </w:pPr>
      <w:r>
        <w:rPr>
          <w:rFonts w:hint="eastAsia"/>
          <w:lang w:val="zh-CN"/>
        </w:rPr>
        <w:t>单位：元</w:t>
      </w:r>
    </w:p>
    <w:tbl>
      <w:tblPr>
        <w:tblStyle w:val="45"/>
        <w:tblW w:w="5836"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6"/>
        <w:gridCol w:w="1551"/>
        <w:gridCol w:w="1652"/>
        <w:gridCol w:w="1650"/>
        <w:gridCol w:w="1650"/>
        <w:gridCol w:w="16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2"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事项</w:t>
            </w:r>
            <w:r>
              <w:rPr>
                <w:rFonts w:ascii="宋体" w:hAnsi="宋体"/>
                <w:b/>
                <w:color w:val="000000" w:themeColor="text1"/>
                <w:kern w:val="0"/>
                <w:sz w:val="22"/>
                <w14:textFill>
                  <w14:solidFill>
                    <w14:schemeClr w14:val="tx1"/>
                  </w14:solidFill>
                </w14:textFill>
              </w:rPr>
              <w:t>类型</w:t>
            </w:r>
          </w:p>
        </w:tc>
        <w:tc>
          <w:tcPr>
            <w:tcW w:w="783"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临时公告索引</w:t>
            </w:r>
          </w:p>
        </w:tc>
        <w:tc>
          <w:tcPr>
            <w:tcW w:w="834"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交易/投资/合并标的</w:t>
            </w:r>
          </w:p>
        </w:tc>
        <w:tc>
          <w:tcPr>
            <w:tcW w:w="833"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对价</w:t>
            </w:r>
            <w:r>
              <w:rPr>
                <w:rFonts w:hint="eastAsia" w:ascii="宋体" w:hAnsi="宋体"/>
                <w:b/>
                <w:color w:val="000000" w:themeColor="text1"/>
                <w:kern w:val="0"/>
                <w:sz w:val="22"/>
                <w14:textFill>
                  <w14:solidFill>
                    <w14:schemeClr w14:val="tx1"/>
                  </w14:solidFill>
                </w14:textFill>
              </w:rPr>
              <w:t>金额</w:t>
            </w:r>
          </w:p>
        </w:tc>
        <w:tc>
          <w:tcPr>
            <w:tcW w:w="833"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是否构成</w:t>
            </w:r>
            <w:r>
              <w:rPr>
                <w:rFonts w:ascii="宋体" w:hAnsi="宋体"/>
                <w:b/>
                <w:color w:val="000000" w:themeColor="text1"/>
                <w:kern w:val="0"/>
                <w:sz w:val="22"/>
                <w14:textFill>
                  <w14:solidFill>
                    <w14:schemeClr w14:val="tx1"/>
                  </w14:solidFill>
                </w14:textFill>
              </w:rPr>
              <w:t>关联交易</w:t>
            </w:r>
          </w:p>
        </w:tc>
        <w:tc>
          <w:tcPr>
            <w:tcW w:w="834"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构成重大资产重组</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2" w:type="pct"/>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（收购资产</w:t>
            </w:r>
            <w:r>
              <w:rPr>
                <w:rFonts w:ascii="宋体" w:hAnsi="宋体"/>
                <w:color w:val="FF0000"/>
                <w:sz w:val="22"/>
              </w:rPr>
              <w:t>/出售资产/对外投资/企业合并</w:t>
            </w:r>
            <w:r>
              <w:rPr>
                <w:rFonts w:hint="eastAsia" w:ascii="宋体" w:hAnsi="宋体"/>
                <w:color w:val="FF000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FF0000"/>
                <w:sz w:val="22"/>
              </w:rPr>
              <w:t>）</w:t>
            </w:r>
          </w:p>
        </w:tc>
        <w:tc>
          <w:tcPr>
            <w:tcW w:w="783" w:type="pct"/>
          </w:tcPr>
          <w:p>
            <w:pPr>
              <w:ind w:left="181" w:leftChars="86"/>
              <w:jc w:val="center"/>
              <w:rPr>
                <w:rFonts w:ascii="宋体" w:hAnsi="宋体"/>
                <w:color w:val="FF0000"/>
                <w:kern w:val="0"/>
                <w:sz w:val="22"/>
              </w:rPr>
            </w:pPr>
            <w:r>
              <w:rPr>
                <w:rFonts w:hint="eastAsia" w:ascii="宋体" w:hAnsi="宋体"/>
                <w:color w:val="FF0000"/>
                <w:kern w:val="0"/>
                <w:sz w:val="22"/>
              </w:rPr>
              <w:t>（临时公告编号）</w:t>
            </w:r>
          </w:p>
        </w:tc>
        <w:tc>
          <w:tcPr>
            <w:tcW w:w="834"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（XX公司</w:t>
            </w:r>
            <w:r>
              <w:rPr>
                <w:rFonts w:ascii="宋体" w:hAnsi="宋体"/>
                <w:color w:val="FF0000"/>
                <w:kern w:val="0"/>
                <w:sz w:val="22"/>
              </w:rPr>
              <w:t>/ XX公司X%股权</w:t>
            </w:r>
            <w:r>
              <w:rPr>
                <w:rFonts w:hint="eastAsia" w:ascii="宋体" w:hAnsi="宋体"/>
                <w:color w:val="FF0000"/>
                <w:kern w:val="0"/>
                <w:sz w:val="22"/>
              </w:rPr>
              <w:t>/XX资产/XX</w:t>
            </w:r>
            <w:r>
              <w:rPr>
                <w:rFonts w:ascii="宋体" w:hAnsi="宋体"/>
                <w:color w:val="FF0000"/>
                <w:kern w:val="0"/>
                <w:sz w:val="22"/>
              </w:rPr>
              <w:t>项目</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833"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w:t>
            </w:r>
            <w:r>
              <w:rPr>
                <w:rFonts w:ascii="宋体" w:hAnsi="宋体"/>
                <w:color w:val="FF0000"/>
                <w:kern w:val="0"/>
                <w:sz w:val="22"/>
              </w:rPr>
              <w:t>XX元/ XX公司X%股权</w:t>
            </w:r>
            <w:r>
              <w:rPr>
                <w:rFonts w:hint="eastAsia" w:ascii="宋体" w:hAnsi="宋体"/>
                <w:color w:val="FF0000"/>
                <w:kern w:val="0"/>
                <w:sz w:val="22"/>
              </w:rPr>
              <w:t>/XX资产</w:t>
            </w:r>
            <w:r>
              <w:rPr>
                <w:rFonts w:ascii="宋体" w:hAnsi="宋体"/>
                <w:color w:val="FF0000"/>
                <w:kern w:val="0"/>
                <w:sz w:val="22"/>
              </w:rPr>
              <w:t>，账面价值X元，评估价值X元</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000000" w:themeColor="text1"/>
                <w:kern w:val="0"/>
                <w:sz w:val="22"/>
                <w14:textFill>
                  <w14:solidFill>
                    <w14:schemeClr w14:val="tx1"/>
                  </w14:solidFill>
                </w14:textFill>
              </w:rPr>
              <w:t>）</w:t>
            </w:r>
          </w:p>
        </w:tc>
        <w:tc>
          <w:tcPr>
            <w:tcW w:w="833" w:type="pct"/>
          </w:tcPr>
          <w:p>
            <w:pPr>
              <w:ind w:left="181" w:leftChars="86"/>
              <w:rPr>
                <w:rFonts w:ascii="宋体" w:hAnsi="宋体"/>
                <w:color w:val="FF0000"/>
                <w:sz w:val="22"/>
              </w:rPr>
            </w:pPr>
            <w:r>
              <w:rPr>
                <w:rFonts w:hint="eastAsia" w:ascii="宋体" w:hAnsi="宋体"/>
                <w:color w:val="FF0000"/>
                <w:sz w:val="22"/>
              </w:rPr>
              <w:t>（是/否）</w:t>
            </w:r>
          </w:p>
        </w:tc>
        <w:tc>
          <w:tcPr>
            <w:tcW w:w="834" w:type="pct"/>
          </w:tcPr>
          <w:p>
            <w:pPr>
              <w:ind w:left="181" w:leftChars="86"/>
              <w:rPr>
                <w:rFonts w:ascii="宋体" w:hAnsi="宋体"/>
                <w:color w:val="FF0000"/>
                <w:sz w:val="22"/>
              </w:rPr>
            </w:pPr>
            <w:r>
              <w:rPr>
                <w:rFonts w:hint="eastAsia" w:ascii="宋体" w:hAnsi="宋体"/>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882" w:type="pct"/>
            <w:shd w:val="clear" w:color="auto" w:fill="auto"/>
          </w:tcPr>
          <w:p>
            <w:pPr>
              <w:ind w:left="181" w:leftChars="86"/>
              <w:rPr>
                <w:rFonts w:ascii="宋体" w:hAnsi="宋体"/>
                <w:color w:val="000000" w:themeColor="text1"/>
                <w:sz w:val="22"/>
                <w14:textFill>
                  <w14:solidFill>
                    <w14:schemeClr w14:val="tx1"/>
                  </w14:solidFill>
                </w14:textFill>
              </w:rPr>
            </w:pPr>
            <w:r>
              <w:rPr>
                <w:rFonts w:hint="eastAsia" w:ascii="宋体" w:hAnsi="宋体"/>
                <w:color w:val="FF0000"/>
                <w:sz w:val="22"/>
              </w:rPr>
              <w:t>（自动添行</w:t>
            </w:r>
            <w:r>
              <w:rPr>
                <w:rFonts w:ascii="宋体" w:hAnsi="宋体"/>
                <w:color w:val="FF0000"/>
                <w:sz w:val="22"/>
              </w:rPr>
              <w:t>）</w:t>
            </w:r>
          </w:p>
        </w:tc>
        <w:tc>
          <w:tcPr>
            <w:tcW w:w="783" w:type="pct"/>
          </w:tcPr>
          <w:p>
            <w:pPr>
              <w:ind w:left="181" w:leftChars="86"/>
              <w:jc w:val="center"/>
              <w:rPr>
                <w:rFonts w:ascii="宋体" w:hAnsi="宋体"/>
                <w:color w:val="000000" w:themeColor="text1"/>
                <w:kern w:val="0"/>
                <w:sz w:val="22"/>
                <w14:textFill>
                  <w14:solidFill>
                    <w14:schemeClr w14:val="tx1"/>
                  </w14:solidFill>
                </w14:textFill>
              </w:rPr>
            </w:pPr>
          </w:p>
        </w:tc>
        <w:tc>
          <w:tcPr>
            <w:tcW w:w="834" w:type="pct"/>
          </w:tcPr>
          <w:p>
            <w:pPr>
              <w:ind w:left="181" w:leftChars="86"/>
              <w:jc w:val="center"/>
              <w:rPr>
                <w:rFonts w:ascii="宋体" w:hAnsi="宋体"/>
                <w:color w:val="000000" w:themeColor="text1"/>
                <w:kern w:val="0"/>
                <w:sz w:val="22"/>
                <w14:textFill>
                  <w14:solidFill>
                    <w14:schemeClr w14:val="tx1"/>
                  </w14:solidFill>
                </w14:textFill>
              </w:rPr>
            </w:pPr>
          </w:p>
        </w:tc>
        <w:tc>
          <w:tcPr>
            <w:tcW w:w="833" w:type="pct"/>
          </w:tcPr>
          <w:p>
            <w:pPr>
              <w:ind w:left="181" w:leftChars="86"/>
              <w:jc w:val="center"/>
              <w:rPr>
                <w:rFonts w:ascii="宋体" w:hAnsi="宋体"/>
                <w:color w:val="000000" w:themeColor="text1"/>
                <w:kern w:val="0"/>
                <w:sz w:val="22"/>
                <w14:textFill>
                  <w14:solidFill>
                    <w14:schemeClr w14:val="tx1"/>
                  </w14:solidFill>
                </w14:textFill>
              </w:rPr>
            </w:pPr>
          </w:p>
        </w:tc>
        <w:tc>
          <w:tcPr>
            <w:tcW w:w="833" w:type="pct"/>
          </w:tcPr>
          <w:p>
            <w:pPr>
              <w:ind w:left="181" w:leftChars="86"/>
              <w:rPr>
                <w:rFonts w:ascii="宋体" w:hAnsi="宋体"/>
                <w:color w:val="000000" w:themeColor="text1"/>
                <w:kern w:val="0"/>
                <w:sz w:val="22"/>
                <w14:textFill>
                  <w14:solidFill>
                    <w14:schemeClr w14:val="tx1"/>
                  </w14:solidFill>
                </w14:textFill>
              </w:rPr>
            </w:pPr>
          </w:p>
        </w:tc>
        <w:tc>
          <w:tcPr>
            <w:tcW w:w="834" w:type="pct"/>
          </w:tcPr>
          <w:p>
            <w:pPr>
              <w:ind w:left="181" w:leftChars="86"/>
              <w:rPr>
                <w:rFonts w:ascii="宋体" w:hAnsi="宋体"/>
                <w:color w:val="000000" w:themeColor="text1"/>
                <w:kern w:val="0"/>
                <w:sz w:val="22"/>
                <w14:textFill>
                  <w14:solidFill>
                    <w14:schemeClr w14:val="tx1"/>
                  </w14:solidFill>
                </w14:textFill>
              </w:rPr>
            </w:pPr>
          </w:p>
        </w:tc>
      </w:tr>
    </w:tbl>
    <w:p>
      <w:pPr>
        <w:rPr>
          <w:b/>
        </w:rPr>
      </w:pPr>
      <w:r>
        <w:rPr>
          <w:rFonts w:hint="eastAsia"/>
          <w:b/>
        </w:rPr>
        <w:t>需经股东大会审议的理财产品投资情况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firstLine="7455" w:firstLineChars="3550"/>
        <w:rPr>
          <w:b/>
          <w:color w:val="000000"/>
        </w:rPr>
      </w:pPr>
      <w:r>
        <w:rPr>
          <w:rFonts w:hint="eastAsia"/>
          <w:color w:val="000000"/>
        </w:rPr>
        <w:t>单位：元</w:t>
      </w:r>
    </w:p>
    <w:tbl>
      <w:tblPr>
        <w:tblStyle w:val="153"/>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理财产品类型</w:t>
            </w:r>
          </w:p>
        </w:tc>
        <w:tc>
          <w:tcPr>
            <w:tcW w:w="0" w:type="auto"/>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资金来源</w:t>
            </w:r>
          </w:p>
        </w:tc>
        <w:tc>
          <w:tcPr>
            <w:tcW w:w="1794"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未到期余额</w:t>
            </w:r>
          </w:p>
        </w:tc>
        <w:tc>
          <w:tcPr>
            <w:tcW w:w="1843"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逾期未收回金额</w:t>
            </w:r>
          </w:p>
        </w:tc>
        <w:tc>
          <w:tcPr>
            <w:tcW w:w="2551" w:type="dxa"/>
            <w:shd w:val="pct10" w:color="auto" w:fill="auto"/>
            <w:vAlign w:val="center"/>
          </w:tcPr>
          <w:p>
            <w:pPr>
              <w:tabs>
                <w:tab w:val="left" w:pos="5140"/>
              </w:tabs>
              <w:jc w:val="center"/>
              <w:rPr>
                <w:rFonts w:ascii="宋体" w:hAnsi="宋体"/>
                <w:b/>
                <w:color w:val="000000"/>
                <w:sz w:val="22"/>
              </w:rPr>
            </w:pPr>
            <w:r>
              <w:rPr>
                <w:rFonts w:hint="eastAsia" w:ascii="宋体" w:hAnsi="宋体"/>
                <w:b/>
                <w:color w:val="000000"/>
                <w:sz w:val="22"/>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color w:val="000000"/>
                <w:sz w:val="22"/>
              </w:rPr>
            </w:pPr>
            <w:r>
              <w:rPr>
                <w:rFonts w:hint="eastAsia" w:ascii="宋体" w:hAnsi="宋体"/>
                <w:i/>
                <w:color w:val="FF0000"/>
                <w:sz w:val="22"/>
              </w:rPr>
              <w:t>（银行理财产品</w:t>
            </w:r>
            <w:r>
              <w:rPr>
                <w:rFonts w:ascii="宋体" w:hAnsi="宋体"/>
                <w:i/>
                <w:color w:val="FF0000"/>
                <w:sz w:val="22"/>
              </w:rPr>
              <w:t>/券商理财产品/信托理财产品/其他产品）</w:t>
            </w:r>
          </w:p>
        </w:tc>
        <w:tc>
          <w:tcPr>
            <w:tcW w:w="0" w:type="auto"/>
            <w:vAlign w:val="center"/>
          </w:tcPr>
          <w:p>
            <w:pPr>
              <w:tabs>
                <w:tab w:val="left" w:pos="5140"/>
              </w:tabs>
              <w:rPr>
                <w:rFonts w:ascii="宋体" w:hAnsi="宋体"/>
                <w:i/>
                <w:color w:val="FF0000"/>
                <w:sz w:val="22"/>
              </w:rPr>
            </w:pPr>
            <w:r>
              <w:rPr>
                <w:rFonts w:hint="eastAsia" w:ascii="宋体" w:hAnsi="宋体"/>
                <w:i/>
                <w:color w:val="FF0000"/>
                <w:sz w:val="22"/>
              </w:rPr>
              <w:t>（自有资金/募集资金/借贷资金/其他）</w:t>
            </w:r>
          </w:p>
        </w:tc>
        <w:tc>
          <w:tcPr>
            <w:tcW w:w="1794" w:type="dxa"/>
            <w:vAlign w:val="center"/>
          </w:tcPr>
          <w:p>
            <w:pPr>
              <w:tabs>
                <w:tab w:val="left" w:pos="5140"/>
              </w:tabs>
              <w:jc w:val="right"/>
              <w:rPr>
                <w:rFonts w:ascii="宋体" w:hAnsi="宋体"/>
                <w:color w:val="000000"/>
                <w:sz w:val="22"/>
              </w:rPr>
            </w:pPr>
          </w:p>
        </w:tc>
        <w:tc>
          <w:tcPr>
            <w:tcW w:w="1843" w:type="dxa"/>
            <w:vAlign w:val="center"/>
          </w:tcPr>
          <w:p>
            <w:pPr>
              <w:tabs>
                <w:tab w:val="left" w:pos="5140"/>
              </w:tabs>
              <w:jc w:val="right"/>
              <w:rPr>
                <w:rFonts w:ascii="宋体" w:hAnsi="宋体"/>
                <w:color w:val="000000"/>
                <w:sz w:val="22"/>
              </w:rPr>
            </w:pPr>
          </w:p>
        </w:tc>
        <w:tc>
          <w:tcPr>
            <w:tcW w:w="2551" w:type="dxa"/>
          </w:tcPr>
          <w:p>
            <w:pPr>
              <w:tabs>
                <w:tab w:val="left" w:pos="5140"/>
              </w:tabs>
              <w:rPr>
                <w:rFonts w:ascii="宋体" w:hAnsi="宋体"/>
                <w:i/>
                <w:color w:val="000000"/>
                <w:sz w:val="22"/>
              </w:rPr>
            </w:pPr>
            <w:r>
              <w:rPr>
                <w:rFonts w:hint="eastAsia" w:ascii="宋体" w:hAnsi="宋体"/>
                <w:i/>
                <w:color w:val="FF0000"/>
                <w:sz w:val="22"/>
              </w:rPr>
              <w:t>不存在</w:t>
            </w:r>
            <w:r>
              <w:rPr>
                <w:rFonts w:ascii="宋体" w:hAnsi="宋体"/>
                <w:i/>
                <w:color w:val="FF0000"/>
                <w:sz w:val="22"/>
              </w:rPr>
              <w:t>/</w:t>
            </w:r>
            <w:r>
              <w:rPr>
                <w:rFonts w:hint="eastAsia" w:ascii="宋体" w:hAnsi="宋体"/>
                <w:i/>
                <w:color w:val="FF0000"/>
                <w:sz w:val="22"/>
              </w:rPr>
              <w:t>存在，</w:t>
            </w:r>
            <w:r>
              <w:rPr>
                <w:rFonts w:ascii="宋体" w:hAnsi="宋体"/>
                <w:i/>
                <w:color w:val="FF0000"/>
                <w:sz w:val="22"/>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color w:val="000000"/>
                <w:sz w:val="22"/>
              </w:rPr>
            </w:pPr>
          </w:p>
        </w:tc>
        <w:tc>
          <w:tcPr>
            <w:tcW w:w="0" w:type="auto"/>
            <w:vAlign w:val="center"/>
          </w:tcPr>
          <w:p>
            <w:pPr>
              <w:tabs>
                <w:tab w:val="left" w:pos="5140"/>
              </w:tabs>
              <w:rPr>
                <w:rFonts w:ascii="宋体" w:hAnsi="宋体"/>
                <w:color w:val="000000"/>
                <w:sz w:val="22"/>
              </w:rPr>
            </w:pPr>
          </w:p>
        </w:tc>
        <w:tc>
          <w:tcPr>
            <w:tcW w:w="1794" w:type="dxa"/>
            <w:vAlign w:val="center"/>
          </w:tcPr>
          <w:p>
            <w:pPr>
              <w:tabs>
                <w:tab w:val="left" w:pos="5140"/>
              </w:tabs>
              <w:jc w:val="right"/>
              <w:rPr>
                <w:rFonts w:ascii="宋体" w:hAnsi="宋体"/>
                <w:color w:val="000000"/>
                <w:sz w:val="22"/>
              </w:rPr>
            </w:pPr>
            <w:r>
              <w:rPr>
                <w:rFonts w:hint="eastAsia" w:ascii="宋体" w:hAnsi="宋体"/>
                <w:color w:val="000000"/>
                <w:sz w:val="22"/>
              </w:rPr>
              <w:t>-</w:t>
            </w:r>
          </w:p>
        </w:tc>
        <w:tc>
          <w:tcPr>
            <w:tcW w:w="1843" w:type="dxa"/>
            <w:vAlign w:val="center"/>
          </w:tcPr>
          <w:p>
            <w:pPr>
              <w:tabs>
                <w:tab w:val="left" w:pos="5140"/>
              </w:tabs>
              <w:jc w:val="right"/>
              <w:rPr>
                <w:rFonts w:ascii="宋体" w:hAnsi="宋体"/>
                <w:color w:val="000000"/>
                <w:sz w:val="22"/>
              </w:rPr>
            </w:pPr>
          </w:p>
        </w:tc>
        <w:tc>
          <w:tcPr>
            <w:tcW w:w="2551" w:type="dxa"/>
          </w:tcPr>
          <w:p>
            <w:pPr>
              <w:tabs>
                <w:tab w:val="left" w:pos="5140"/>
              </w:tabs>
              <w:rPr>
                <w:rFonts w:ascii="宋体" w:hAnsi="宋体"/>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b/>
                <w:color w:val="000000"/>
                <w:sz w:val="22"/>
              </w:rPr>
            </w:pPr>
            <w:r>
              <w:rPr>
                <w:rFonts w:hint="eastAsia" w:ascii="宋体" w:hAnsi="宋体"/>
                <w:color w:val="000000"/>
                <w:sz w:val="22"/>
              </w:rPr>
              <w:t>（自动添行</w:t>
            </w:r>
            <w:r>
              <w:rPr>
                <w:rFonts w:ascii="宋体" w:hAnsi="宋体"/>
                <w:color w:val="000000"/>
                <w:sz w:val="22"/>
              </w:rPr>
              <w:t>）</w:t>
            </w:r>
          </w:p>
        </w:tc>
        <w:tc>
          <w:tcPr>
            <w:tcW w:w="0" w:type="auto"/>
            <w:vAlign w:val="center"/>
          </w:tcPr>
          <w:p>
            <w:pPr>
              <w:tabs>
                <w:tab w:val="left" w:pos="5140"/>
              </w:tabs>
              <w:rPr>
                <w:rFonts w:ascii="宋体" w:hAnsi="宋体"/>
                <w:b/>
                <w:color w:val="000000"/>
                <w:sz w:val="22"/>
              </w:rPr>
            </w:pPr>
          </w:p>
        </w:tc>
        <w:tc>
          <w:tcPr>
            <w:tcW w:w="1794" w:type="dxa"/>
            <w:vAlign w:val="center"/>
          </w:tcPr>
          <w:p>
            <w:pPr>
              <w:tabs>
                <w:tab w:val="left" w:pos="5140"/>
              </w:tabs>
              <w:jc w:val="right"/>
              <w:rPr>
                <w:rFonts w:ascii="宋体" w:hAnsi="宋体"/>
                <w:b/>
                <w:color w:val="000000"/>
                <w:sz w:val="22"/>
              </w:rPr>
            </w:pPr>
          </w:p>
        </w:tc>
        <w:tc>
          <w:tcPr>
            <w:tcW w:w="1843" w:type="dxa"/>
            <w:vAlign w:val="center"/>
          </w:tcPr>
          <w:p>
            <w:pPr>
              <w:tabs>
                <w:tab w:val="left" w:pos="5140"/>
              </w:tabs>
              <w:jc w:val="right"/>
              <w:rPr>
                <w:rFonts w:ascii="宋体" w:hAnsi="宋体"/>
                <w:b/>
                <w:color w:val="000000"/>
                <w:sz w:val="22"/>
              </w:rPr>
            </w:pPr>
          </w:p>
        </w:tc>
        <w:tc>
          <w:tcPr>
            <w:tcW w:w="2551" w:type="dxa"/>
          </w:tcPr>
          <w:p>
            <w:pPr>
              <w:tabs>
                <w:tab w:val="left" w:pos="5140"/>
              </w:tabs>
              <w:rPr>
                <w:rFonts w:ascii="宋体" w:hAnsi="宋体"/>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2D79B"/>
            <w:vAlign w:val="center"/>
          </w:tcPr>
          <w:p>
            <w:pPr>
              <w:tabs>
                <w:tab w:val="left" w:pos="5140"/>
              </w:tabs>
              <w:jc w:val="center"/>
              <w:rPr>
                <w:rFonts w:ascii="宋体" w:hAnsi="宋体"/>
                <w:b/>
                <w:color w:val="000000"/>
                <w:sz w:val="22"/>
              </w:rPr>
            </w:pPr>
            <w:r>
              <w:rPr>
                <w:rFonts w:hint="eastAsia" w:ascii="宋体" w:hAnsi="宋体"/>
                <w:b/>
                <w:color w:val="000000"/>
                <w:sz w:val="22"/>
              </w:rPr>
              <w:t>合计</w:t>
            </w:r>
          </w:p>
        </w:tc>
        <w:tc>
          <w:tcPr>
            <w:tcW w:w="0" w:type="auto"/>
            <w:shd w:val="clear" w:color="auto" w:fill="A2D79B"/>
            <w:vAlign w:val="center"/>
          </w:tcPr>
          <w:p>
            <w:pPr>
              <w:tabs>
                <w:tab w:val="left" w:pos="5140"/>
              </w:tabs>
              <w:jc w:val="center"/>
              <w:rPr>
                <w:rFonts w:ascii="宋体" w:hAnsi="宋体"/>
                <w:b/>
                <w:color w:val="000000"/>
                <w:sz w:val="22"/>
              </w:rPr>
            </w:pPr>
            <w:r>
              <w:rPr>
                <w:rFonts w:hint="eastAsia" w:ascii="宋体" w:hAnsi="宋体"/>
                <w:b/>
                <w:color w:val="000000"/>
                <w:sz w:val="22"/>
              </w:rPr>
              <w:t>-</w:t>
            </w:r>
          </w:p>
        </w:tc>
        <w:tc>
          <w:tcPr>
            <w:tcW w:w="1794" w:type="dxa"/>
            <w:shd w:val="clear" w:color="auto" w:fill="A2D79B"/>
            <w:vAlign w:val="center"/>
          </w:tcPr>
          <w:p>
            <w:pPr>
              <w:tabs>
                <w:tab w:val="left" w:pos="5140"/>
              </w:tabs>
              <w:jc w:val="right"/>
              <w:rPr>
                <w:rFonts w:ascii="宋体" w:hAnsi="宋体"/>
                <w:b/>
                <w:color w:val="000000"/>
                <w:sz w:val="22"/>
              </w:rPr>
            </w:pPr>
          </w:p>
        </w:tc>
        <w:tc>
          <w:tcPr>
            <w:tcW w:w="1843" w:type="dxa"/>
            <w:shd w:val="clear" w:color="auto" w:fill="A2D79B"/>
            <w:vAlign w:val="center"/>
          </w:tcPr>
          <w:p>
            <w:pPr>
              <w:tabs>
                <w:tab w:val="left" w:pos="5140"/>
              </w:tabs>
              <w:jc w:val="right"/>
              <w:rPr>
                <w:rFonts w:ascii="宋体" w:hAnsi="宋体"/>
                <w:b/>
                <w:color w:val="000000"/>
                <w:sz w:val="22"/>
              </w:rPr>
            </w:pPr>
          </w:p>
        </w:tc>
        <w:tc>
          <w:tcPr>
            <w:tcW w:w="2551" w:type="dxa"/>
            <w:shd w:val="clear" w:color="auto" w:fill="A2D79B"/>
          </w:tcPr>
          <w:p>
            <w:pPr>
              <w:tabs>
                <w:tab w:val="left" w:pos="5140"/>
              </w:tabs>
              <w:rPr>
                <w:rFonts w:ascii="宋体" w:hAnsi="宋体"/>
                <w:b/>
                <w:color w:val="000000"/>
                <w:sz w:val="22"/>
              </w:rPr>
            </w:pPr>
            <w:r>
              <w:rPr>
                <w:rFonts w:hint="eastAsia" w:ascii="宋体" w:hAnsi="宋体"/>
                <w:b/>
                <w:color w:val="000000"/>
                <w:sz w:val="22"/>
              </w:rPr>
              <w:t>-</w:t>
            </w:r>
          </w:p>
        </w:tc>
      </w:tr>
    </w:tbl>
    <w:p>
      <w:pPr>
        <w:jc w:val="right"/>
      </w:pPr>
    </w:p>
    <w:p>
      <w:r>
        <w:rPr>
          <w:rFonts w:hint="eastAsia"/>
          <w:b/>
        </w:rPr>
        <w:t>事</w:t>
      </w:r>
      <w:r>
        <w:rPr>
          <w:b/>
          <w:lang w:val="zh-CN"/>
        </w:rPr>
        <w:t>项详情及</w:t>
      </w:r>
      <w:r>
        <w:rPr>
          <w:rFonts w:hint="eastAsia"/>
          <w:b/>
          <w:lang w:val="zh-CN"/>
        </w:rPr>
        <w:t>对公司业务连续性、管理层稳定性及其他方面的影响：</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pPr>
              <w:tabs>
                <w:tab w:val="left" w:pos="5140"/>
              </w:tabs>
              <w:rPr>
                <w:rFonts w:ascii="宋体" w:hAnsi="宋体"/>
                <w:i/>
                <w:color w:val="FF0000"/>
                <w:szCs w:val="44"/>
              </w:rPr>
            </w:pPr>
            <w:r>
              <w:rPr>
                <w:rFonts w:hint="eastAsia" w:ascii="宋体" w:hAnsi="宋体"/>
                <w:i/>
                <w:color w:val="FF0000"/>
                <w:szCs w:val="44"/>
              </w:rPr>
              <w:t>如对外投资中存在非金融机构委托理财（指</w:t>
            </w:r>
            <w:r>
              <w:rPr>
                <w:rFonts w:hint="eastAsia" w:asciiTheme="minorEastAsia" w:hAnsiTheme="minorEastAsia" w:eastAsiaTheme="minorEastAsia"/>
                <w:i/>
                <w:color w:val="FF0000"/>
                <w:szCs w:val="44"/>
              </w:rPr>
              <w:t>客户将资产交给资产管理公司、投资咨询公司、一般企事业单位等非金融机构或自然人，由非金融机构作为受托人的</w:t>
            </w:r>
            <w:r>
              <w:rPr>
                <w:rFonts w:asciiTheme="minorEastAsia" w:hAnsiTheme="minorEastAsia" w:eastAsiaTheme="minorEastAsia"/>
                <w:i/>
                <w:color w:val="FF0000"/>
                <w:szCs w:val="44"/>
              </w:rPr>
              <w:t>形式</w:t>
            </w:r>
            <w:r>
              <w:rPr>
                <w:rFonts w:hint="eastAsia" w:asciiTheme="minorEastAsia" w:hAnsiTheme="minorEastAsia" w:eastAsiaTheme="minorEastAsia"/>
                <w:i/>
                <w:color w:val="FF0000"/>
                <w:szCs w:val="44"/>
              </w:rPr>
              <w:t>）</w:t>
            </w:r>
            <w:r>
              <w:rPr>
                <w:rFonts w:hint="eastAsia" w:ascii="宋体" w:hAnsi="宋体"/>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pStyle w:val="5"/>
        <w:keepNext w:val="0"/>
        <w:keepLines w:val="0"/>
        <w:spacing w:line="377" w:lineRule="auto"/>
        <w:jc w:val="left"/>
        <w:rPr>
          <w:szCs w:val="22"/>
        </w:rPr>
      </w:pPr>
      <w:r>
        <w:rPr>
          <w:rFonts w:hint="eastAsia"/>
          <w:szCs w:val="22"/>
        </w:rPr>
        <w:t>（八）股权激励计划、员工持股计划或其他员工激励措施</w:t>
      </w:r>
      <w:r>
        <w:rPr>
          <w:szCs w:val="22"/>
        </w:rPr>
        <w:t>在</w:t>
      </w:r>
      <w:r>
        <w:rPr>
          <w:rFonts w:hint="eastAsia"/>
          <w:szCs w:val="22"/>
        </w:rPr>
        <w:t>报告期</w:t>
      </w:r>
      <w:r>
        <w:rPr>
          <w:szCs w:val="22"/>
        </w:rPr>
        <w:t>的具体实施情况</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注：公司应当披露股权激励计划、员工持股计划或其他员工激励措施在本报告期的具体实施情况。</w:t>
            </w:r>
          </w:p>
        </w:tc>
      </w:tr>
    </w:tbl>
    <w:p>
      <w:pPr>
        <w:pStyle w:val="5"/>
        <w:keepNext w:val="0"/>
        <w:keepLines w:val="0"/>
        <w:spacing w:line="377" w:lineRule="auto"/>
        <w:jc w:val="left"/>
        <w:rPr>
          <w:rFonts w:ascii="黑体" w:hAnsi="黑体"/>
          <w:b w:val="0"/>
          <w:color w:val="000000" w:themeColor="text1"/>
          <w:szCs w:val="22"/>
          <w14:textFill>
            <w14:solidFill>
              <w14:schemeClr w14:val="tx1"/>
            </w14:solidFill>
          </w14:textFill>
        </w:rPr>
      </w:pPr>
      <w:r>
        <w:rPr>
          <w:rFonts w:hint="eastAsia"/>
          <w:szCs w:val="22"/>
        </w:rPr>
        <w:t>（九）股份</w:t>
      </w:r>
      <w:r>
        <w:rPr>
          <w:szCs w:val="22"/>
        </w:rPr>
        <w:t>回购情况</w:t>
      </w:r>
    </w:p>
    <w:tbl>
      <w:tblPr>
        <w:tblStyle w:val="13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pStyle w:val="5"/>
        <w:keepNext w:val="0"/>
        <w:keepLines w:val="0"/>
        <w:spacing w:line="377" w:lineRule="auto"/>
        <w:jc w:val="left"/>
        <w:rPr>
          <w:szCs w:val="22"/>
        </w:rPr>
      </w:pPr>
      <w:r>
        <w:rPr>
          <w:rFonts w:hint="eastAsia"/>
          <w:szCs w:val="22"/>
        </w:rPr>
        <w:t>（十）承诺事项的履行情况</w:t>
      </w:r>
    </w:p>
    <w:p>
      <w:pPr>
        <w:rPr>
          <w:b/>
        </w:rPr>
      </w:pPr>
      <w:r>
        <w:rPr>
          <w:rFonts w:hint="eastAsia"/>
          <w:b/>
        </w:rPr>
        <w:t>公司无已披露</w:t>
      </w:r>
      <w:r>
        <w:rPr>
          <w:b/>
        </w:rPr>
        <w:t>的</w:t>
      </w:r>
      <w:r>
        <w:rPr>
          <w:rFonts w:hint="eastAsia"/>
          <w:b/>
        </w:rPr>
        <w:t>承诺事项（适用/</w:t>
      </w:r>
      <w:r>
        <w:rPr>
          <w:b/>
        </w:rPr>
        <w:t>不适用</w:t>
      </w:r>
      <w:r>
        <w:rPr>
          <w:rFonts w:hint="eastAsia"/>
          <w:b/>
        </w:rPr>
        <w:t>）</w:t>
      </w:r>
    </w:p>
    <w:p>
      <w:r>
        <w:rPr>
          <w:rFonts w:hint="eastAsia" w:ascii="宋体" w:hAnsi="宋体" w:cs="宋体"/>
          <w:i/>
          <w:iCs/>
          <w:color w:val="FF0000"/>
          <w:szCs w:val="21"/>
        </w:rPr>
        <w:t>（注：诉讼、资金占用、承诺事项，如索引表中填写“否”，此处应勾选“适用”；如索引表中填写“是”，此处应勾选“不适用”。）</w:t>
      </w:r>
    </w:p>
    <w:p/>
    <w:tbl>
      <w:tblPr>
        <w:tblStyle w:val="45"/>
        <w:tblW w:w="5836"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64"/>
        <w:gridCol w:w="1150"/>
        <w:gridCol w:w="1909"/>
        <w:gridCol w:w="1244"/>
        <w:gridCol w:w="1232"/>
        <w:gridCol w:w="320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8" w:type="pct"/>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临时公告索引</w:t>
            </w:r>
          </w:p>
        </w:tc>
        <w:tc>
          <w:tcPr>
            <w:tcW w:w="581" w:type="pct"/>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承诺主体</w:t>
            </w:r>
          </w:p>
        </w:tc>
        <w:tc>
          <w:tcPr>
            <w:tcW w:w="964" w:type="pct"/>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承诺类型</w:t>
            </w:r>
          </w:p>
        </w:tc>
        <w:tc>
          <w:tcPr>
            <w:tcW w:w="628" w:type="pct"/>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承诺开始日期</w:t>
            </w:r>
          </w:p>
        </w:tc>
        <w:tc>
          <w:tcPr>
            <w:tcW w:w="622" w:type="pct"/>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结束</w:t>
            </w:r>
            <w:r>
              <w:rPr>
                <w:rFonts w:hint="eastAsia" w:ascii="宋体" w:hAnsi="宋体"/>
                <w:b/>
                <w:color w:val="000000" w:themeColor="text1"/>
                <w:sz w:val="22"/>
                <w14:textFill>
                  <w14:solidFill>
                    <w14:schemeClr w14:val="tx1"/>
                  </w14:solidFill>
                </w14:textFill>
              </w:rPr>
              <w:t>日期</w:t>
            </w:r>
          </w:p>
        </w:tc>
        <w:tc>
          <w:tcPr>
            <w:tcW w:w="1617" w:type="pct"/>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8" w:type="pct"/>
          </w:tcPr>
          <w:p>
            <w:pPr>
              <w:tabs>
                <w:tab w:val="left" w:pos="2268"/>
              </w:tabs>
              <w:ind w:left="181" w:leftChars="86"/>
              <w:rPr>
                <w:rFonts w:asciiTheme="minorEastAsia" w:hAnsiTheme="minorEastAsia" w:eastAsiaTheme="minorEastAsia" w:cstheme="minorBidi"/>
                <w:color w:val="FF0000"/>
                <w:sz w:val="22"/>
              </w:rPr>
            </w:pPr>
            <w:r>
              <w:rPr>
                <w:rFonts w:hint="eastAsia" w:asciiTheme="minorEastAsia" w:hAnsiTheme="minorEastAsia" w:eastAsiaTheme="minorEastAsia"/>
                <w:color w:val="FF0000"/>
                <w:sz w:val="22"/>
              </w:rPr>
              <w:t>（临时公告</w:t>
            </w:r>
            <w:r>
              <w:rPr>
                <w:rFonts w:asciiTheme="minorEastAsia" w:hAnsiTheme="minorEastAsia" w:eastAsiaTheme="minorEastAsia"/>
                <w:color w:val="FF0000"/>
                <w:sz w:val="22"/>
              </w:rPr>
              <w:t>编号</w:t>
            </w:r>
            <w:r>
              <w:rPr>
                <w:rFonts w:hint="eastAsia" w:asciiTheme="minorEastAsia" w:hAnsiTheme="minorEastAsia" w:eastAsiaTheme="minorEastAsia"/>
                <w:color w:val="FF0000"/>
                <w:sz w:val="22"/>
              </w:rPr>
              <w:t>）</w:t>
            </w:r>
          </w:p>
        </w:tc>
        <w:tc>
          <w:tcPr>
            <w:tcW w:w="581" w:type="pct"/>
            <w:vAlign w:val="center"/>
          </w:tcPr>
          <w:p>
            <w:pPr>
              <w:tabs>
                <w:tab w:val="left" w:pos="2268"/>
              </w:tabs>
              <w:ind w:left="181" w:leftChars="86"/>
              <w:rPr>
                <w:rFonts w:asciiTheme="minorEastAsia" w:hAnsiTheme="minorEastAsia" w:eastAsiaTheme="minorEastAsia" w:cstheme="minorBidi"/>
                <w:color w:val="FF0000"/>
                <w:sz w:val="22"/>
              </w:rPr>
            </w:pPr>
            <w:r>
              <w:rPr>
                <w:rFonts w:hint="eastAsia" w:asciiTheme="minorEastAsia" w:hAnsiTheme="minorEastAsia" w:eastAsiaTheme="minorEastAsia" w:cstheme="minorBidi"/>
                <w:color w:val="FF0000"/>
                <w:sz w:val="22"/>
              </w:rPr>
              <w:t>（公司</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实际控制人或控股股东</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其他股东</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董监高</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收购人</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重组交易方</w:t>
            </w:r>
            <w:r>
              <w:rPr>
                <w:rFonts w:asciiTheme="minorEastAsia" w:hAnsiTheme="minorEastAsia" w:eastAsiaTheme="minorEastAsia" w:cstheme="minorBidi"/>
                <w:color w:val="FF0000"/>
                <w:sz w:val="22"/>
              </w:rPr>
              <w:t>/</w:t>
            </w:r>
            <w:r>
              <w:rPr>
                <w:rFonts w:hint="eastAsia" w:asciiTheme="minorEastAsia" w:hAnsiTheme="minorEastAsia" w:eastAsiaTheme="minorEastAsia" w:cstheme="minorBidi"/>
                <w:color w:val="FF0000"/>
                <w:sz w:val="22"/>
              </w:rPr>
              <w:t>其他）</w:t>
            </w:r>
          </w:p>
          <w:p>
            <w:pPr>
              <w:ind w:left="181" w:leftChars="86"/>
              <w:jc w:val="center"/>
              <w:rPr>
                <w:rFonts w:asciiTheme="minorEastAsia" w:hAnsiTheme="minorEastAsia" w:eastAsiaTheme="minorEastAsia"/>
                <w:color w:val="FF0000"/>
                <w:sz w:val="22"/>
              </w:rPr>
            </w:pPr>
          </w:p>
        </w:tc>
        <w:tc>
          <w:tcPr>
            <w:tcW w:w="964" w:type="pct"/>
            <w:vAlign w:val="center"/>
          </w:tcPr>
          <w:p>
            <w:pPr>
              <w:ind w:left="181" w:leftChars="86"/>
              <w:rPr>
                <w:rFonts w:asciiTheme="minorEastAsia" w:hAnsiTheme="minorEastAsia" w:eastAsiaTheme="minorEastAsia"/>
                <w:color w:val="FF0000"/>
                <w:sz w:val="22"/>
              </w:rPr>
            </w:pP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同业竞争承诺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业绩补偿承诺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募集资金使用承诺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回购承诺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限售承诺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一致行动承诺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股份增减持承诺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资金占用承诺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分红承诺</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其他承诺（请自行填写）</w:t>
            </w:r>
            <w:r>
              <w:rPr>
                <w:rFonts w:asciiTheme="minorEastAsia" w:hAnsiTheme="minorEastAsia" w:eastAsiaTheme="minorEastAsia"/>
                <w:color w:val="FF0000"/>
                <w:sz w:val="22"/>
              </w:rPr>
              <w:t>)</w:t>
            </w:r>
          </w:p>
        </w:tc>
        <w:tc>
          <w:tcPr>
            <w:tcW w:w="628" w:type="pct"/>
            <w:vAlign w:val="center"/>
          </w:tcPr>
          <w:p>
            <w:pPr>
              <w:ind w:left="181" w:leftChars="86"/>
              <w:rPr>
                <w:rFonts w:asciiTheme="minorEastAsia" w:hAnsiTheme="minorEastAsia" w:eastAsiaTheme="minorEastAsia"/>
                <w:color w:val="FF000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622" w:type="pct"/>
            <w:vAlign w:val="center"/>
          </w:tcPr>
          <w:p>
            <w:pPr>
              <w:ind w:left="181" w:leftChars="86"/>
              <w:rPr>
                <w:rFonts w:asciiTheme="minorEastAsia" w:hAnsiTheme="minorEastAsia" w:eastAsiaTheme="minorEastAsia"/>
                <w:color w:val="FF000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1617" w:type="pct"/>
          </w:tcPr>
          <w:p>
            <w:pPr>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（正在履行中</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已履行完毕</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未履行</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变更或豁免）</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8" w:type="pct"/>
          </w:tcPr>
          <w:p>
            <w:pPr>
              <w:ind w:left="181" w:leftChars="86"/>
              <w:rPr>
                <w:rFonts w:asciiTheme="minorEastAsia" w:hAnsiTheme="minorEastAsia" w:eastAsiaTheme="minorEastAsia"/>
                <w:color w:val="FF0000"/>
                <w:sz w:val="22"/>
              </w:rPr>
            </w:pPr>
          </w:p>
        </w:tc>
        <w:tc>
          <w:tcPr>
            <w:tcW w:w="581" w:type="pct"/>
            <w:vAlign w:val="center"/>
          </w:tcPr>
          <w:p>
            <w:pPr>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（自动添行</w:t>
            </w:r>
            <w:r>
              <w:rPr>
                <w:rFonts w:asciiTheme="minorEastAsia" w:hAnsiTheme="minorEastAsia" w:eastAsiaTheme="minorEastAsia"/>
                <w:color w:val="FF0000"/>
                <w:sz w:val="22"/>
              </w:rPr>
              <w:t>）</w:t>
            </w:r>
          </w:p>
        </w:tc>
        <w:tc>
          <w:tcPr>
            <w:tcW w:w="964" w:type="pct"/>
            <w:vAlign w:val="center"/>
          </w:tcPr>
          <w:p>
            <w:pPr>
              <w:ind w:left="181" w:leftChars="86"/>
              <w:rPr>
                <w:rFonts w:asciiTheme="minorEastAsia" w:hAnsiTheme="minorEastAsia" w:eastAsiaTheme="minorEastAsia"/>
                <w:color w:val="FF0000"/>
                <w:sz w:val="22"/>
              </w:rPr>
            </w:pPr>
          </w:p>
        </w:tc>
        <w:tc>
          <w:tcPr>
            <w:tcW w:w="628" w:type="pct"/>
            <w:vAlign w:val="center"/>
          </w:tcPr>
          <w:p>
            <w:pPr>
              <w:ind w:left="181" w:leftChars="86"/>
              <w:rPr>
                <w:rFonts w:asciiTheme="minorEastAsia" w:hAnsiTheme="minorEastAsia" w:eastAsiaTheme="minorEastAsia"/>
                <w:color w:val="FF0000"/>
                <w:sz w:val="22"/>
              </w:rPr>
            </w:pPr>
          </w:p>
        </w:tc>
        <w:tc>
          <w:tcPr>
            <w:tcW w:w="622" w:type="pct"/>
            <w:vAlign w:val="center"/>
          </w:tcPr>
          <w:p>
            <w:pPr>
              <w:ind w:left="181" w:leftChars="86"/>
              <w:rPr>
                <w:rFonts w:asciiTheme="minorEastAsia" w:hAnsiTheme="minorEastAsia" w:eastAsiaTheme="minorEastAsia"/>
                <w:color w:val="FF0000"/>
                <w:sz w:val="22"/>
              </w:rPr>
            </w:pPr>
          </w:p>
        </w:tc>
        <w:tc>
          <w:tcPr>
            <w:tcW w:w="1617" w:type="pct"/>
          </w:tcPr>
          <w:p>
            <w:pPr>
              <w:ind w:left="181" w:leftChars="86"/>
              <w:rPr>
                <w:rFonts w:asciiTheme="minorEastAsia" w:hAnsiTheme="minorEastAsia" w:eastAsiaTheme="minorEastAsia"/>
                <w:color w:val="FF0000"/>
                <w:sz w:val="22"/>
              </w:rPr>
            </w:pPr>
          </w:p>
        </w:tc>
      </w:tr>
    </w:tbl>
    <w:p>
      <w:r>
        <w:rPr>
          <w:b/>
        </w:rPr>
        <w:t>超期未履行完毕的</w:t>
      </w:r>
      <w:r>
        <w:rPr>
          <w:rFonts w:hint="eastAsia"/>
          <w:b/>
        </w:rPr>
        <w:t>承诺事项详细情况：</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 xml:space="preserve"> 如承诺超期未履行完毕的，应当详细说明未完成履行的原因及下一步的工作计划。</w:t>
            </w:r>
          </w:p>
        </w:tc>
      </w:tr>
    </w:tbl>
    <w:p>
      <w:pPr>
        <w:pStyle w:val="5"/>
        <w:keepNext w:val="0"/>
        <w:keepLines w:val="0"/>
        <w:spacing w:line="377" w:lineRule="auto"/>
        <w:jc w:val="left"/>
        <w:rPr>
          <w:szCs w:val="22"/>
        </w:rPr>
      </w:pPr>
      <w:r>
        <w:rPr>
          <w:rFonts w:hint="eastAsia"/>
          <w:szCs w:val="22"/>
        </w:rPr>
        <w:t>（十一）</w:t>
      </w:r>
      <w:r>
        <w:rPr>
          <w:szCs w:val="22"/>
        </w:rPr>
        <w:t>被</w:t>
      </w:r>
      <w:r>
        <w:rPr>
          <w:rFonts w:hint="eastAsia"/>
          <w:szCs w:val="22"/>
        </w:rPr>
        <w:t xml:space="preserve">查封、扣押、冻结或者被抵押、质押的资产情况 </w:t>
      </w:r>
    </w:p>
    <w:p>
      <w:pPr>
        <w:ind w:left="5880" w:firstLine="420"/>
        <w:jc w:val="right"/>
      </w:pPr>
      <w:r>
        <w:rPr>
          <w:rFonts w:hint="eastAsia"/>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18"/>
        <w:gridCol w:w="1559"/>
        <w:gridCol w:w="1559"/>
        <w:gridCol w:w="1559"/>
        <w:gridCol w:w="1702"/>
        <w:gridCol w:w="18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资产名称</w:t>
            </w:r>
          </w:p>
        </w:tc>
        <w:tc>
          <w:tcPr>
            <w:tcW w:w="1559"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资产类别</w:t>
            </w:r>
          </w:p>
        </w:tc>
        <w:tc>
          <w:tcPr>
            <w:tcW w:w="1559"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权利受限</w:t>
            </w:r>
            <w:r>
              <w:rPr>
                <w:rFonts w:ascii="宋体" w:hAnsi="宋体"/>
                <w:b/>
                <w:color w:val="000000" w:themeColor="text1"/>
                <w:sz w:val="22"/>
                <w14:textFill>
                  <w14:solidFill>
                    <w14:schemeClr w14:val="tx1"/>
                  </w14:solidFill>
                </w14:textFill>
              </w:rPr>
              <w:t>类型</w:t>
            </w:r>
          </w:p>
        </w:tc>
        <w:tc>
          <w:tcPr>
            <w:tcW w:w="1559"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账面价值</w:t>
            </w:r>
          </w:p>
        </w:tc>
        <w:tc>
          <w:tcPr>
            <w:tcW w:w="1702"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占总资产的比例%</w:t>
            </w:r>
          </w:p>
        </w:tc>
        <w:tc>
          <w:tcPr>
            <w:tcW w:w="1842"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资产1</w:t>
            </w:r>
          </w:p>
        </w:tc>
        <w:tc>
          <w:tcPr>
            <w:tcW w:w="1559" w:type="dxa"/>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tabs>
                <w:tab w:val="left" w:pos="5140"/>
              </w:tabs>
              <w:ind w:left="181" w:leftChars="86"/>
              <w:rPr>
                <w:rFonts w:ascii="宋体" w:hAnsi="宋体"/>
                <w:color w:val="000000" w:themeColor="text1"/>
                <w:sz w:val="22"/>
                <w14:textFill>
                  <w14:solidFill>
                    <w14:schemeClr w14:val="tx1"/>
                  </w14:solidFill>
                </w14:textFill>
              </w:rPr>
            </w:pPr>
            <w:r>
              <w:rPr>
                <w:rFonts w:hint="eastAsia" w:asciiTheme="minorEastAsia" w:hAnsiTheme="minorEastAsia" w:eastAsiaTheme="minorEastAsia"/>
                <w:color w:val="FF0000"/>
                <w:sz w:val="22"/>
              </w:rPr>
              <w:t>查封</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扣押</w:t>
            </w:r>
            <w:r>
              <w:rPr>
                <w:rFonts w:asciiTheme="minorEastAsia" w:hAnsiTheme="minorEastAsia" w:eastAsiaTheme="minorEastAsia"/>
                <w:color w:val="FF0000"/>
                <w:sz w:val="22"/>
              </w:rPr>
              <w:t>/冻结/</w:t>
            </w:r>
            <w:r>
              <w:rPr>
                <w:rFonts w:hint="eastAsia" w:asciiTheme="minorEastAsia" w:hAnsiTheme="minorEastAsia" w:eastAsiaTheme="minorEastAsia"/>
                <w:color w:val="FF0000"/>
                <w:sz w:val="22"/>
              </w:rPr>
              <w:t>抵押</w:t>
            </w:r>
            <w:r>
              <w:rPr>
                <w:rFonts w:asciiTheme="minorEastAsia" w:hAnsiTheme="minorEastAsia" w:eastAsiaTheme="minorEastAsia"/>
                <w:color w:val="FF0000"/>
                <w:sz w:val="22"/>
              </w:rPr>
              <w:t>/质押</w:t>
            </w:r>
            <w:r>
              <w:rPr>
                <w:rFonts w:ascii="宋体" w:hAnsi="宋体"/>
                <w:color w:val="FF0000"/>
                <w:sz w:val="22"/>
              </w:rPr>
              <w:t>/其他（</w:t>
            </w:r>
            <w:r>
              <w:rPr>
                <w:rFonts w:hint="eastAsia" w:ascii="宋体" w:hAnsi="宋体"/>
                <w:color w:val="FF0000"/>
                <w:sz w:val="22"/>
              </w:rPr>
              <w:t>自行填写</w:t>
            </w:r>
            <w:r>
              <w:rPr>
                <w:rFonts w:ascii="宋体" w:hAnsi="宋体"/>
                <w:color w:val="FF0000"/>
                <w:sz w:val="22"/>
              </w:rPr>
              <w:t>）</w:t>
            </w: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资产2</w:t>
            </w:r>
          </w:p>
        </w:tc>
        <w:tc>
          <w:tcPr>
            <w:tcW w:w="1559" w:type="dxa"/>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59" w:type="dxa"/>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418" w:type="dxa"/>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总计</w:t>
            </w:r>
          </w:p>
        </w:tc>
        <w:tc>
          <w:tcPr>
            <w:tcW w:w="1559"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559"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559" w:type="dxa"/>
            <w:vAlign w:val="center"/>
          </w:tcPr>
          <w:p>
            <w:pPr>
              <w:ind w:left="181" w:leftChars="86"/>
              <w:rPr>
                <w:rFonts w:ascii="宋体" w:hAnsi="宋体"/>
                <w:color w:val="000000" w:themeColor="text1"/>
                <w:sz w:val="22"/>
                <w14:textFill>
                  <w14:solidFill>
                    <w14:schemeClr w14:val="tx1"/>
                  </w14:solidFill>
                </w14:textFill>
              </w:rPr>
            </w:pPr>
          </w:p>
        </w:tc>
        <w:tc>
          <w:tcPr>
            <w:tcW w:w="1702" w:type="dxa"/>
            <w:vAlign w:val="center"/>
          </w:tcPr>
          <w:p>
            <w:pPr>
              <w:ind w:left="181" w:leftChars="86"/>
              <w:rPr>
                <w:rFonts w:ascii="宋体" w:hAnsi="宋体"/>
                <w:color w:val="000000" w:themeColor="text1"/>
                <w:sz w:val="22"/>
                <w14:textFill>
                  <w14:solidFill>
                    <w14:schemeClr w14:val="tx1"/>
                  </w14:solidFill>
                </w14:textFill>
              </w:rPr>
            </w:pPr>
          </w:p>
        </w:tc>
        <w:tc>
          <w:tcPr>
            <w:tcW w:w="1842"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r>
    </w:tbl>
    <w:p>
      <w:pPr>
        <w:ind w:left="5880" w:firstLine="420"/>
        <w:jc w:val="right"/>
      </w:pPr>
    </w:p>
    <w:p>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注：公司应披露本报告期末资产中被查封、扣押、冻结或者被抵押、质押的资产对公司的影响。</w:t>
            </w:r>
          </w:p>
        </w:tc>
      </w:tr>
    </w:tbl>
    <w:p>
      <w:pPr>
        <w:pStyle w:val="5"/>
        <w:keepNext w:val="0"/>
        <w:keepLines w:val="0"/>
        <w:spacing w:line="377" w:lineRule="auto"/>
        <w:jc w:val="left"/>
        <w:rPr>
          <w:szCs w:val="22"/>
        </w:rPr>
      </w:pPr>
      <w:r>
        <w:rPr>
          <w:rFonts w:hint="eastAsia"/>
          <w:szCs w:val="22"/>
        </w:rPr>
        <w:t>（十二）调查</w:t>
      </w:r>
      <w:r>
        <w:rPr>
          <w:szCs w:val="22"/>
        </w:rPr>
        <w:t>处罚事项</w:t>
      </w:r>
    </w:p>
    <w:tbl>
      <w:tblPr>
        <w:tblStyle w:val="9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pStyle w:val="5"/>
        <w:keepNext w:val="0"/>
        <w:keepLines w:val="0"/>
        <w:spacing w:line="377" w:lineRule="auto"/>
        <w:jc w:val="left"/>
        <w:rPr>
          <w:szCs w:val="22"/>
        </w:rPr>
      </w:pPr>
      <w:r>
        <w:rPr>
          <w:rFonts w:hint="eastAsia"/>
          <w:szCs w:val="22"/>
        </w:rPr>
        <w:t>（十三）失信情况</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注：公司应当披露报告期内公司及其控股股东、实际控制人、董事、监事、高级管理人员以及控股子公司是否被纳入失信联合惩戒对象，如有应说明具体情况。</w:t>
            </w: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（十四）破产重整</w:t>
      </w:r>
      <w:r>
        <w:rPr>
          <w:rFonts w:ascii="Arial" w:hAnsi="Arial" w:eastAsia="黑体"/>
          <w:b/>
          <w:bCs/>
          <w:sz w:val="22"/>
          <w:lang w:val="zh-CN"/>
        </w:rPr>
        <w:t>事项</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pStyle w:val="5"/>
        <w:keepNext w:val="0"/>
        <w:keepLines w:val="0"/>
        <w:spacing w:line="377" w:lineRule="auto"/>
        <w:jc w:val="left"/>
        <w:rPr>
          <w:b w:val="0"/>
          <w:szCs w:val="22"/>
        </w:rPr>
      </w:pPr>
      <w:r>
        <w:rPr>
          <w:rFonts w:hint="eastAsia"/>
          <w:szCs w:val="22"/>
        </w:rPr>
        <w:t>（十五）自愿披露其他</w:t>
      </w:r>
      <w:r>
        <w:rPr>
          <w:szCs w:val="22"/>
        </w:rPr>
        <w:t>事项</w:t>
      </w:r>
    </w:p>
    <w:tbl>
      <w:tblPr>
        <w:tblStyle w:val="12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p>
          <w:p>
            <w:pPr>
              <w:tabs>
                <w:tab w:val="left" w:pos="5140"/>
              </w:tabs>
              <w:ind w:left="181" w:leftChars="86"/>
              <w:rPr>
                <w:rFonts w:asciiTheme="minorEastAsia" w:hAnsiTheme="minorEastAsia" w:eastAsiaTheme="minorEastAsia"/>
                <w:i/>
                <w:color w:val="000000" w:themeColor="text1"/>
                <w:szCs w:val="44"/>
                <w14:textFill>
                  <w14:solidFill>
                    <w14:schemeClr w14:val="tx1"/>
                  </w14:solidFill>
                </w14:textFill>
              </w:rPr>
            </w:pP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Pr>
        <w:pStyle w:val="35"/>
        <w:rPr>
          <w:rFonts w:ascii="黑体" w:hAnsi="黑体" w:eastAsia="黑体"/>
          <w:sz w:val="36"/>
          <w:szCs w:val="36"/>
        </w:rPr>
        <w:sectPr>
          <w:pgSz w:w="11907" w:h="16840"/>
          <w:pgMar w:top="1440" w:right="1843" w:bottom="1440" w:left="1797" w:header="851" w:footer="992" w:gutter="0"/>
          <w:cols w:space="425" w:num="1"/>
          <w:docGrid w:type="lines" w:linePitch="312" w:charSpace="0"/>
        </w:sectPr>
      </w:pPr>
    </w:p>
    <w:p>
      <w:pPr>
        <w:pStyle w:val="35"/>
      </w:pPr>
      <w:r>
        <w:rPr>
          <w:rFonts w:hint="eastAsia" w:ascii="黑体" w:hAnsi="黑体" w:eastAsia="黑体"/>
          <w:sz w:val="36"/>
          <w:szCs w:val="36"/>
        </w:rPr>
        <w:t>第五节</w:t>
      </w:r>
      <w:r>
        <w:rPr>
          <w:rFonts w:ascii="黑体" w:hAnsi="黑体" w:eastAsia="黑体"/>
          <w:sz w:val="36"/>
          <w:szCs w:val="36"/>
        </w:rPr>
        <w:t xml:space="preserve"> </w:t>
      </w:r>
      <w:r>
        <w:rPr>
          <w:rFonts w:hint="eastAsia" w:ascii="黑体" w:hAnsi="黑体" w:eastAsia="黑体"/>
          <w:sz w:val="36"/>
          <w:szCs w:val="36"/>
        </w:rPr>
        <w:t>股份变动和融资</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一、普通股股本情况</w:t>
      </w:r>
    </w:p>
    <w:p>
      <w:pPr>
        <w:pStyle w:val="5"/>
        <w:keepNext w:val="0"/>
        <w:keepLines w:val="0"/>
        <w:spacing w:line="377" w:lineRule="auto"/>
        <w:jc w:val="left"/>
        <w:rPr>
          <w:szCs w:val="22"/>
        </w:rPr>
      </w:pPr>
      <w:r>
        <w:rPr>
          <w:rFonts w:hint="eastAsia"/>
          <w:szCs w:val="22"/>
        </w:rPr>
        <w:t>（一）普通股</w:t>
      </w:r>
      <w:r>
        <w:rPr>
          <w:szCs w:val="22"/>
        </w:rPr>
        <w:t>股本结构</w:t>
      </w:r>
    </w:p>
    <w:p>
      <w:pPr>
        <w:ind w:left="7140"/>
        <w:jc w:val="right"/>
      </w:pPr>
      <w:r>
        <w:rPr>
          <w:rFonts w:hint="eastAsia"/>
        </w:rPr>
        <w:t>单位：股</w:t>
      </w:r>
    </w:p>
    <w:tbl>
      <w:tblPr>
        <w:tblStyle w:val="45"/>
        <w:tblW w:w="5809"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022"/>
        <w:gridCol w:w="3357"/>
        <w:gridCol w:w="1106"/>
        <w:gridCol w:w="1110"/>
        <w:gridCol w:w="1106"/>
        <w:gridCol w:w="1108"/>
        <w:gridCol w:w="110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vMerge w:val="restart"/>
            <w:shd w:val="pct10" w:color="auto" w:fill="auto"/>
            <w:vAlign w:val="center"/>
          </w:tcPr>
          <w:p>
            <w:pPr>
              <w:ind w:left="181" w:leftChars="86"/>
              <w:jc w:val="center"/>
              <w:rPr>
                <w:b/>
                <w:sz w:val="22"/>
              </w:rPr>
            </w:pPr>
            <w:r>
              <w:rPr>
                <w:rFonts w:hint="eastAsia"/>
                <w:b/>
                <w:sz w:val="22"/>
              </w:rPr>
              <w:t>股份性质</w:t>
            </w:r>
          </w:p>
        </w:tc>
        <w:tc>
          <w:tcPr>
            <w:tcW w:w="1118" w:type="pct"/>
            <w:gridSpan w:val="2"/>
            <w:shd w:val="pct10" w:color="auto" w:fill="auto"/>
            <w:vAlign w:val="center"/>
          </w:tcPr>
          <w:p>
            <w:pPr>
              <w:ind w:left="181" w:leftChars="86"/>
              <w:jc w:val="center"/>
              <w:rPr>
                <w:b/>
                <w:sz w:val="22"/>
              </w:rPr>
            </w:pPr>
            <w:r>
              <w:rPr>
                <w:rFonts w:hint="eastAsia"/>
                <w:b/>
                <w:sz w:val="22"/>
              </w:rPr>
              <w:t>期初</w:t>
            </w:r>
          </w:p>
        </w:tc>
        <w:tc>
          <w:tcPr>
            <w:tcW w:w="558" w:type="pct"/>
            <w:vMerge w:val="restart"/>
            <w:shd w:val="pct10" w:color="auto" w:fill="auto"/>
            <w:vAlign w:val="center"/>
          </w:tcPr>
          <w:p>
            <w:pPr>
              <w:ind w:left="181" w:leftChars="86"/>
              <w:jc w:val="center"/>
              <w:rPr>
                <w:b/>
                <w:sz w:val="22"/>
              </w:rPr>
            </w:pPr>
            <w:r>
              <w:rPr>
                <w:rFonts w:hint="eastAsia"/>
                <w:b/>
                <w:sz w:val="22"/>
              </w:rPr>
              <w:t>本期</w:t>
            </w:r>
          </w:p>
          <w:p>
            <w:pPr>
              <w:ind w:left="181" w:leftChars="86"/>
              <w:jc w:val="center"/>
              <w:rPr>
                <w:b/>
                <w:sz w:val="22"/>
              </w:rPr>
            </w:pPr>
            <w:r>
              <w:rPr>
                <w:rFonts w:hint="eastAsia"/>
                <w:b/>
                <w:sz w:val="22"/>
              </w:rPr>
              <w:t>变动</w:t>
            </w:r>
          </w:p>
        </w:tc>
        <w:tc>
          <w:tcPr>
            <w:tcW w:w="1115" w:type="pct"/>
            <w:gridSpan w:val="2"/>
            <w:shd w:val="pct10" w:color="auto" w:fill="auto"/>
            <w:vAlign w:val="center"/>
          </w:tcPr>
          <w:p>
            <w:pPr>
              <w:ind w:left="181" w:leftChars="86"/>
              <w:jc w:val="center"/>
              <w:rPr>
                <w:b/>
                <w:sz w:val="22"/>
              </w:rPr>
            </w:pPr>
            <w:r>
              <w:rPr>
                <w:rFonts w:hint="eastAsia"/>
                <w:b/>
                <w:sz w:val="22"/>
              </w:rPr>
              <w:t>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vMerge w:val="continue"/>
            <w:shd w:val="pct10" w:color="auto" w:fill="auto"/>
            <w:vAlign w:val="center"/>
          </w:tcPr>
          <w:p>
            <w:pPr>
              <w:ind w:left="181" w:leftChars="86" w:right="420" w:rightChars="200" w:firstLine="1104" w:firstLineChars="500"/>
              <w:rPr>
                <w:b/>
                <w:sz w:val="22"/>
              </w:rPr>
            </w:pPr>
          </w:p>
        </w:tc>
        <w:tc>
          <w:tcPr>
            <w:tcW w:w="558" w:type="pct"/>
            <w:shd w:val="pct10" w:color="auto" w:fill="auto"/>
            <w:vAlign w:val="center"/>
          </w:tcPr>
          <w:p>
            <w:pPr>
              <w:ind w:left="181" w:leftChars="86"/>
              <w:jc w:val="center"/>
              <w:rPr>
                <w:b/>
                <w:sz w:val="22"/>
              </w:rPr>
            </w:pPr>
            <w:r>
              <w:rPr>
                <w:rFonts w:hint="eastAsia"/>
                <w:b/>
                <w:sz w:val="22"/>
              </w:rPr>
              <w:t>数量</w:t>
            </w:r>
          </w:p>
        </w:tc>
        <w:tc>
          <w:tcPr>
            <w:tcW w:w="560" w:type="pct"/>
            <w:shd w:val="pct10" w:color="auto" w:fill="auto"/>
            <w:vAlign w:val="center"/>
          </w:tcPr>
          <w:p>
            <w:pPr>
              <w:ind w:left="181" w:leftChars="86"/>
              <w:jc w:val="center"/>
              <w:rPr>
                <w:b/>
                <w:sz w:val="22"/>
              </w:rPr>
            </w:pPr>
            <w:r>
              <w:rPr>
                <w:rFonts w:hint="eastAsia"/>
                <w:b/>
                <w:sz w:val="22"/>
              </w:rPr>
              <w:t>比例%</w:t>
            </w:r>
          </w:p>
        </w:tc>
        <w:tc>
          <w:tcPr>
            <w:tcW w:w="558" w:type="pct"/>
            <w:vMerge w:val="continue"/>
            <w:shd w:val="pct10" w:color="auto" w:fill="auto"/>
            <w:vAlign w:val="center"/>
          </w:tcPr>
          <w:p>
            <w:pPr>
              <w:ind w:right="420"/>
              <w:rPr>
                <w:b/>
                <w:sz w:val="22"/>
              </w:rPr>
            </w:pPr>
          </w:p>
        </w:tc>
        <w:tc>
          <w:tcPr>
            <w:tcW w:w="559" w:type="pct"/>
            <w:shd w:val="pct10" w:color="auto" w:fill="auto"/>
            <w:vAlign w:val="center"/>
          </w:tcPr>
          <w:p>
            <w:pPr>
              <w:ind w:left="181" w:leftChars="86"/>
              <w:jc w:val="center"/>
              <w:rPr>
                <w:b/>
                <w:sz w:val="22"/>
              </w:rPr>
            </w:pPr>
            <w:r>
              <w:rPr>
                <w:rFonts w:hint="eastAsia"/>
                <w:b/>
                <w:sz w:val="22"/>
              </w:rPr>
              <w:t>数量</w:t>
            </w:r>
          </w:p>
        </w:tc>
        <w:tc>
          <w:tcPr>
            <w:tcW w:w="556" w:type="pct"/>
            <w:shd w:val="pct10" w:color="auto" w:fill="auto"/>
            <w:vAlign w:val="center"/>
          </w:tcPr>
          <w:p>
            <w:pPr>
              <w:ind w:left="181" w:leftChars="86"/>
              <w:jc w:val="center"/>
              <w:rPr>
                <w:b/>
                <w:sz w:val="22"/>
              </w:rPr>
            </w:pPr>
            <w:r>
              <w:rPr>
                <w:rFonts w:hint="eastAsia"/>
                <w:b/>
                <w:sz w:val="22"/>
              </w:rPr>
              <w:t>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无限售条件股份</w:t>
            </w:r>
          </w:p>
        </w:tc>
        <w:tc>
          <w:tcPr>
            <w:tcW w:w="1693" w:type="pct"/>
          </w:tcPr>
          <w:p>
            <w:pPr>
              <w:ind w:left="181" w:leftChars="86"/>
              <w:jc w:val="left"/>
              <w:rPr>
                <w:sz w:val="22"/>
              </w:rPr>
            </w:pPr>
            <w:r>
              <w:rPr>
                <w:rFonts w:hint="eastAsia"/>
                <w:sz w:val="22"/>
              </w:rPr>
              <w:t>无限售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0" w:hRule="atLeast"/>
        </w:trPr>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有限售条件股份</w:t>
            </w:r>
          </w:p>
        </w:tc>
        <w:tc>
          <w:tcPr>
            <w:tcW w:w="1693" w:type="pct"/>
          </w:tcPr>
          <w:p>
            <w:pPr>
              <w:ind w:left="181" w:leftChars="86"/>
              <w:jc w:val="left"/>
              <w:rPr>
                <w:sz w:val="22"/>
              </w:rPr>
            </w:pPr>
            <w:r>
              <w:rPr>
                <w:rFonts w:hint="eastAsia"/>
                <w:sz w:val="22"/>
              </w:rPr>
              <w:t>有限售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tcPr>
          <w:p>
            <w:pPr>
              <w:ind w:left="181" w:leftChars="86"/>
              <w:jc w:val="center"/>
              <w:rPr>
                <w:b/>
                <w:sz w:val="22"/>
              </w:rPr>
            </w:pPr>
            <w:r>
              <w:rPr>
                <w:rFonts w:hint="eastAsia"/>
                <w:b/>
                <w:sz w:val="22"/>
              </w:rPr>
              <w:t xml:space="preserve">     总股本</w:t>
            </w:r>
          </w:p>
        </w:tc>
        <w:tc>
          <w:tcPr>
            <w:tcW w:w="558" w:type="pct"/>
            <w:vAlign w:val="center"/>
          </w:tcPr>
          <w:p>
            <w:pPr>
              <w:ind w:left="181" w:leftChars="86"/>
              <w:jc w:val="right"/>
              <w:rPr>
                <w:b/>
                <w:sz w:val="22"/>
              </w:rPr>
            </w:pPr>
          </w:p>
        </w:tc>
        <w:tc>
          <w:tcPr>
            <w:tcW w:w="560"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c>
          <w:tcPr>
            <w:tcW w:w="558" w:type="pct"/>
            <w:vAlign w:val="center"/>
          </w:tcPr>
          <w:p>
            <w:pPr>
              <w:ind w:left="181" w:leftChars="86"/>
              <w:jc w:val="right"/>
              <w:rPr>
                <w:b/>
                <w:sz w:val="22"/>
              </w:rPr>
            </w:pPr>
          </w:p>
        </w:tc>
        <w:tc>
          <w:tcPr>
            <w:tcW w:w="559" w:type="pct"/>
            <w:vAlign w:val="center"/>
          </w:tcPr>
          <w:p>
            <w:pPr>
              <w:ind w:left="181" w:leftChars="86"/>
              <w:jc w:val="right"/>
              <w:rPr>
                <w:b/>
                <w:sz w:val="22"/>
              </w:rPr>
            </w:pPr>
          </w:p>
        </w:tc>
        <w:tc>
          <w:tcPr>
            <w:tcW w:w="556"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6" w:hRule="atLeast"/>
        </w:trPr>
        <w:tc>
          <w:tcPr>
            <w:tcW w:w="2210" w:type="pct"/>
            <w:gridSpan w:val="2"/>
          </w:tcPr>
          <w:p>
            <w:pPr>
              <w:ind w:left="181" w:leftChars="86"/>
              <w:jc w:val="center"/>
              <w:rPr>
                <w:b/>
                <w:sz w:val="22"/>
              </w:rPr>
            </w:pPr>
            <w:r>
              <w:rPr>
                <w:rFonts w:hint="eastAsia"/>
                <w:b/>
                <w:sz w:val="22"/>
              </w:rPr>
              <w:t xml:space="preserve">     普通股股东人数</w:t>
            </w:r>
          </w:p>
        </w:tc>
        <w:tc>
          <w:tcPr>
            <w:tcW w:w="2790" w:type="pct"/>
            <w:gridSpan w:val="5"/>
            <w:vAlign w:val="center"/>
          </w:tcPr>
          <w:p>
            <w:pPr>
              <w:ind w:left="181" w:leftChars="86"/>
              <w:jc w:val="center"/>
              <w:rPr>
                <w:sz w:val="22"/>
              </w:rPr>
            </w:pPr>
            <w:r>
              <w:rPr>
                <w:rFonts w:hint="eastAsia"/>
                <w:color w:val="FF0000"/>
                <w:sz w:val="22"/>
              </w:rPr>
              <w:t>此项必填</w:t>
            </w:r>
          </w:p>
        </w:tc>
      </w:tr>
    </w:tbl>
    <w:p>
      <w:pPr>
        <w:ind w:left="181" w:leftChars="86"/>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ind w:left="181" w:leftChars="86"/>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股本结构</w:t>
      </w:r>
      <w:r>
        <w:rPr>
          <w:rFonts w:asciiTheme="minorEastAsia" w:hAnsiTheme="minorEastAsia" w:eastAsiaTheme="minorEastAsia"/>
          <w:b/>
          <w:color w:val="000000" w:themeColor="text1"/>
          <w:szCs w:val="44"/>
          <w14:textFill>
            <w14:solidFill>
              <w14:schemeClr w14:val="tx1"/>
            </w14:solidFill>
          </w14:textFill>
        </w:rPr>
        <w:t>变动</w:t>
      </w:r>
      <w:r>
        <w:rPr>
          <w:rFonts w:hint="eastAsia" w:asciiTheme="minorEastAsia" w:hAnsiTheme="minorEastAsia" w:eastAsiaTheme="minorEastAsia"/>
          <w:b/>
          <w:color w:val="000000" w:themeColor="text1"/>
          <w:szCs w:val="44"/>
          <w14:textFill>
            <w14:solidFill>
              <w14:schemeClr w14:val="tx1"/>
            </w14:solidFill>
          </w14:textFill>
        </w:rPr>
        <w:t>情况：</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tc>
      </w:tr>
    </w:tbl>
    <w:p>
      <w:pPr>
        <w:pStyle w:val="5"/>
        <w:keepNext w:val="0"/>
        <w:keepLines w:val="0"/>
        <w:spacing w:line="377" w:lineRule="auto"/>
        <w:jc w:val="left"/>
        <w:rPr>
          <w:szCs w:val="22"/>
        </w:rPr>
      </w:pPr>
      <w:r>
        <w:rPr>
          <w:rFonts w:hint="eastAsia"/>
          <w:szCs w:val="22"/>
        </w:rPr>
        <w:t>（二）普通股前十名</w:t>
      </w:r>
      <w:r>
        <w:rPr>
          <w:szCs w:val="22"/>
        </w:rPr>
        <w:t xml:space="preserve">股东情况 </w:t>
      </w:r>
    </w:p>
    <w:p>
      <w:pPr>
        <w:ind w:left="6720" w:firstLine="420"/>
        <w:jc w:val="right"/>
      </w:pPr>
      <w:r>
        <w:rPr>
          <w:rFonts w:hint="eastAsia"/>
        </w:rPr>
        <w:t>单位：股</w:t>
      </w:r>
    </w:p>
    <w:tbl>
      <w:tblPr>
        <w:tblStyle w:val="45"/>
        <w:tblpPr w:leftFromText="180" w:rightFromText="180" w:vertAnchor="text" w:horzAnchor="margin" w:tblpXSpec="center" w:tblpY="106"/>
        <w:tblW w:w="5000"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0"/>
        <w:gridCol w:w="1105"/>
        <w:gridCol w:w="882"/>
        <w:gridCol w:w="843"/>
        <w:gridCol w:w="843"/>
        <w:gridCol w:w="843"/>
        <w:gridCol w:w="844"/>
        <w:gridCol w:w="856"/>
        <w:gridCol w:w="827"/>
        <w:gridCol w:w="10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Height w:val="557" w:hRule="atLeast"/>
        </w:trPr>
        <w:tc>
          <w:tcPr>
            <w:tcW w:w="26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648"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股东名称</w:t>
            </w:r>
          </w:p>
        </w:tc>
        <w:tc>
          <w:tcPr>
            <w:tcW w:w="517"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期初持股数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持股变动</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期末持股比例%</w:t>
            </w:r>
          </w:p>
        </w:tc>
        <w:tc>
          <w:tcPr>
            <w:tcW w:w="49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限售股份数量</w:t>
            </w:r>
          </w:p>
        </w:tc>
        <w:tc>
          <w:tcPr>
            <w:tcW w:w="502"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无限售股份数量</w:t>
            </w:r>
          </w:p>
        </w:tc>
        <w:tc>
          <w:tcPr>
            <w:tcW w:w="48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b/>
                <w:sz w:val="22"/>
              </w:rPr>
              <w:t>期末持有的质押股份数量</w:t>
            </w:r>
          </w:p>
        </w:tc>
        <w:tc>
          <w:tcPr>
            <w:tcW w:w="607" w:type="pct"/>
            <w:shd w:val="pct10" w:color="auto" w:fill="auto"/>
          </w:tcPr>
          <w:p>
            <w:pPr>
              <w:jc w:val="center"/>
              <w:rPr>
                <w:rFonts w:asciiTheme="minorEastAsia" w:hAnsiTheme="minorEastAsia"/>
                <w:b/>
                <w:sz w:val="22"/>
              </w:rPr>
            </w:pPr>
          </w:p>
          <w:p>
            <w:pPr>
              <w:jc w:val="center"/>
              <w:rPr>
                <w:rFonts w:asciiTheme="minorEastAsia" w:hAnsiTheme="minorEastAsia" w:eastAsiaTheme="minorEastAsia"/>
                <w:b/>
                <w:sz w:val="22"/>
              </w:rPr>
            </w:pPr>
            <w:r>
              <w:rPr>
                <w:rFonts w:hint="eastAsia" w:asciiTheme="minorEastAsia" w:hAnsiTheme="minorEastAsia"/>
                <w:b/>
                <w:sz w:val="22"/>
              </w:rPr>
              <w:t>期末持有的司法冻结股份数量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2</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3</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4</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5</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6</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7</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8</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9</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10</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w:t>
            </w:r>
          </w:p>
        </w:tc>
        <w:tc>
          <w:tcPr>
            <w:tcW w:w="648" w:type="pct"/>
            <w:shd w:val="clear" w:color="auto" w:fill="auto"/>
          </w:tcPr>
          <w:p>
            <w:pPr>
              <w:ind w:right="420"/>
              <w:rPr>
                <w:rFonts w:asciiTheme="minorEastAsia" w:hAnsiTheme="minorEastAsia" w:eastAsia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912" w:type="pct"/>
            <w:gridSpan w:val="2"/>
            <w:shd w:val="clear"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合计</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w:t>
            </w: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5000" w:type="pct"/>
            <w:gridSpan w:val="10"/>
            <w:shd w:val="clear" w:color="auto" w:fill="auto"/>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普通股前十名股东间相互关系说明：</w:t>
            </w:r>
          </w:p>
          <w:p>
            <w:pPr>
              <w:jc w:val="center"/>
              <w:rPr>
                <w:rFonts w:asciiTheme="minorEastAsia" w:hAnsiTheme="minorEastAsia" w:eastAsiaTheme="minorEastAsia"/>
                <w:sz w:val="22"/>
              </w:rPr>
            </w:pPr>
          </w:p>
        </w:tc>
      </w:tr>
    </w:tbl>
    <w:p>
      <w:pPr>
        <w:ind w:left="6720" w:firstLine="420"/>
        <w:jc w:val="right"/>
      </w:pPr>
    </w:p>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二</w:t>
      </w:r>
      <w:r>
        <w:rPr>
          <w:rFonts w:ascii="微软雅黑" w:hAnsi="微软雅黑" w:eastAsia="微软雅黑"/>
          <w:b/>
          <w:bCs/>
          <w:sz w:val="22"/>
          <w:lang w:val="zh-CN"/>
        </w:rPr>
        <w:t>、</w:t>
      </w:r>
      <w:r>
        <w:rPr>
          <w:rFonts w:hint="eastAsia" w:ascii="微软雅黑" w:hAnsi="微软雅黑" w:eastAsia="微软雅黑"/>
          <w:b/>
          <w:bCs/>
          <w:sz w:val="22"/>
          <w:lang w:val="zh-CN"/>
        </w:rPr>
        <w:t>控股股东</w:t>
      </w:r>
      <w:r>
        <w:rPr>
          <w:rFonts w:ascii="微软雅黑" w:hAnsi="微软雅黑" w:eastAsia="微软雅黑"/>
          <w:b/>
          <w:bCs/>
          <w:sz w:val="22"/>
          <w:lang w:val="zh-CN"/>
        </w:rPr>
        <w:t>、实际控制人</w:t>
      </w:r>
      <w:r>
        <w:rPr>
          <w:rFonts w:hint="eastAsia" w:ascii="微软雅黑" w:hAnsi="微软雅黑" w:eastAsia="微软雅黑"/>
          <w:b/>
          <w:bCs/>
          <w:sz w:val="22"/>
          <w:lang w:val="zh-CN"/>
        </w:rPr>
        <w:t>变化</w:t>
      </w:r>
      <w:r>
        <w:rPr>
          <w:rFonts w:ascii="微软雅黑" w:hAnsi="微软雅黑" w:eastAsia="微软雅黑"/>
          <w:b/>
          <w:bCs/>
          <w:sz w:val="22"/>
          <w:lang w:val="zh-CN"/>
        </w:rPr>
        <w:t>情况</w:t>
      </w:r>
    </w:p>
    <w:p>
      <w:pPr>
        <w:rPr>
          <w:b/>
          <w:szCs w:val="21"/>
        </w:rPr>
      </w:pPr>
      <w:r>
        <w:rPr>
          <w:rFonts w:hint="eastAsia"/>
          <w:b/>
          <w:szCs w:val="21"/>
        </w:rPr>
        <w:t>报告期内控股股东</w:t>
      </w:r>
      <w:r>
        <w:rPr>
          <w:b/>
          <w:szCs w:val="21"/>
        </w:rPr>
        <w:t>、实际控制人</w:t>
      </w:r>
      <w:r>
        <w:rPr>
          <w:rFonts w:hint="eastAsia"/>
          <w:b/>
          <w:szCs w:val="21"/>
        </w:rPr>
        <w:t>未发生变化（适用/不适用）</w:t>
      </w:r>
    </w:p>
    <w:p>
      <w:pPr>
        <w:rPr>
          <w:b/>
          <w:szCs w:val="21"/>
        </w:rPr>
      </w:pPr>
    </w:p>
    <w:p>
      <w:pPr>
        <w:rPr>
          <w:b/>
          <w:szCs w:val="21"/>
        </w:rPr>
      </w:pPr>
      <w:r>
        <w:rPr>
          <w:rFonts w:hint="eastAsia"/>
          <w:b/>
          <w:szCs w:val="21"/>
        </w:rPr>
        <w:t>是否合并披露：</w:t>
      </w:r>
    </w:p>
    <w:p>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（一</w:t>
      </w:r>
      <w:r>
        <w:rPr>
          <w:rFonts w:ascii="Arial" w:hAnsi="Arial" w:eastAsia="黑体"/>
          <w:b/>
          <w:bCs/>
          <w:sz w:val="22"/>
          <w:lang w:val="zh-CN"/>
        </w:rPr>
        <w:t>）</w:t>
      </w:r>
      <w:r>
        <w:rPr>
          <w:rFonts w:hint="eastAsia" w:ascii="Arial" w:hAnsi="Arial" w:eastAsia="黑体"/>
          <w:b/>
          <w:bCs/>
          <w:sz w:val="22"/>
          <w:lang w:val="zh-CN"/>
        </w:rPr>
        <w:t>控股</w:t>
      </w:r>
      <w:r>
        <w:rPr>
          <w:rFonts w:ascii="Arial" w:hAnsi="Arial" w:eastAsia="黑体"/>
          <w:b/>
          <w:bCs/>
          <w:sz w:val="2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pPr>
              <w:ind w:right="420"/>
              <w:rPr>
                <w:i/>
                <w:color w:val="FF0000"/>
              </w:rPr>
            </w:pPr>
            <w:r>
              <w:rPr>
                <w:rFonts w:hint="eastAsia"/>
                <w:i/>
                <w:color w:val="FF0000"/>
              </w:rPr>
              <w:t>说明报告期内的</w:t>
            </w:r>
            <w:r>
              <w:rPr>
                <w:i/>
                <w:color w:val="FF0000"/>
              </w:rPr>
              <w:t>变动情况。</w:t>
            </w: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（二</w:t>
      </w:r>
      <w:r>
        <w:rPr>
          <w:rFonts w:ascii="Arial" w:hAnsi="Arial" w:eastAsia="黑体"/>
          <w:b/>
          <w:bCs/>
          <w:sz w:val="22"/>
          <w:lang w:val="zh-CN"/>
        </w:rPr>
        <w:t>）</w:t>
      </w:r>
      <w:r>
        <w:rPr>
          <w:rFonts w:hint="eastAsia" w:ascii="Arial" w:hAnsi="Arial" w:eastAsia="黑体"/>
          <w:b/>
          <w:bCs/>
          <w:sz w:val="22"/>
          <w:lang w:val="zh-CN"/>
        </w:rPr>
        <w:t>实际控制人</w:t>
      </w:r>
      <w:r>
        <w:rPr>
          <w:rFonts w:ascii="Arial" w:hAnsi="Arial" w:eastAsia="黑体"/>
          <w:b/>
          <w:bCs/>
          <w:sz w:val="2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pPr>
              <w:ind w:left="34" w:right="420" w:hanging="33" w:hangingChars="16"/>
              <w:rPr>
                <w:i/>
                <w:color w:val="FF0000"/>
              </w:rPr>
            </w:pPr>
            <w:r>
              <w:rPr>
                <w:rFonts w:hint="eastAsia"/>
                <w:i/>
                <w:color w:val="FF0000"/>
              </w:rPr>
              <w:t xml:space="preserve">    说明报告期内的变动情况。</w:t>
            </w:r>
          </w:p>
          <w:p>
            <w:pPr>
              <w:ind w:right="420"/>
            </w:pPr>
            <w:r>
              <w:rPr>
                <w:rFonts w:hint="eastAsia"/>
                <w:i/>
                <w:color w:val="FF0000"/>
              </w:rPr>
              <w:t>（如控股股东与实际控制人一致，合并披露）</w:t>
            </w:r>
          </w:p>
        </w:tc>
      </w:tr>
    </w:tbl>
    <w:p>
      <w:pPr>
        <w:spacing w:before="100" w:after="100" w:line="415" w:lineRule="auto"/>
        <w:outlineLvl w:val="2"/>
        <w:rPr>
          <w:rFonts w:ascii="Arial" w:hAnsi="Arial" w:eastAsia="黑体"/>
          <w:b/>
          <w:bCs/>
          <w:sz w:val="22"/>
          <w:lang w:val="zh-CN"/>
        </w:rPr>
      </w:pPr>
      <w:r>
        <w:rPr>
          <w:rFonts w:hint="eastAsia" w:ascii="微软雅黑" w:hAnsi="微软雅黑" w:eastAsia="微软雅黑"/>
          <w:b/>
          <w:bCs/>
          <w:sz w:val="22"/>
          <w:lang w:val="zh-CN"/>
        </w:rPr>
        <w:t>三、 报告期内的普通股股票发行及</w:t>
      </w:r>
      <w:r>
        <w:rPr>
          <w:rFonts w:ascii="微软雅黑" w:hAnsi="微软雅黑" w:eastAsia="微软雅黑"/>
          <w:b/>
          <w:bCs/>
          <w:sz w:val="22"/>
          <w:lang w:val="zh-CN"/>
        </w:rPr>
        <w:t>募集资金使用</w:t>
      </w:r>
      <w:r>
        <w:rPr>
          <w:rFonts w:hint="eastAsia" w:ascii="微软雅黑" w:hAnsi="微软雅黑" w:eastAsia="微软雅黑"/>
          <w:b/>
          <w:bCs/>
          <w:sz w:val="22"/>
          <w:lang w:val="zh-CN"/>
        </w:rPr>
        <w:t xml:space="preserve">情况 </w:t>
      </w:r>
      <w:r>
        <w:rPr>
          <w:rFonts w:hint="eastAsia" w:ascii="Arial" w:hAnsi="Arial" w:eastAsia="黑体"/>
          <w:b/>
          <w:bCs/>
          <w:sz w:val="22"/>
          <w:lang w:val="zh-CN"/>
        </w:rPr>
        <w:t xml:space="preserve">                           </w:t>
      </w:r>
    </w:p>
    <w:p>
      <w:pPr>
        <w:spacing w:before="100" w:after="100" w:line="377" w:lineRule="auto"/>
        <w:jc w:val="left"/>
        <w:outlineLvl w:val="3"/>
        <w:rPr>
          <w:rFonts w:asciiTheme="minorEastAsia" w:hAnsiTheme="minorEastAsia" w:eastAsiaTheme="minorEastAsia"/>
          <w:b/>
        </w:rPr>
      </w:pPr>
      <w:r>
        <w:rPr>
          <w:rFonts w:hint="eastAsia" w:ascii="Arial" w:hAnsi="Arial" w:eastAsia="黑体"/>
          <w:b/>
          <w:bCs/>
          <w:sz w:val="22"/>
          <w:lang w:val="zh-CN"/>
        </w:rPr>
        <w:t>（一）报告期</w:t>
      </w:r>
      <w:r>
        <w:rPr>
          <w:rFonts w:ascii="Arial" w:hAnsi="Arial" w:eastAsia="黑体"/>
          <w:b/>
          <w:bCs/>
          <w:sz w:val="22"/>
          <w:lang w:val="zh-CN"/>
        </w:rPr>
        <w:t>内的</w:t>
      </w:r>
      <w:r>
        <w:rPr>
          <w:rFonts w:hint="eastAsia" w:ascii="Arial" w:hAnsi="Arial" w:eastAsia="黑体"/>
          <w:b/>
          <w:bCs/>
          <w:sz w:val="22"/>
          <w:lang w:val="zh-CN"/>
        </w:rPr>
        <w:t>股票发行</w:t>
      </w:r>
      <w:r>
        <w:rPr>
          <w:rFonts w:ascii="Arial" w:hAnsi="Arial" w:eastAsia="黑体"/>
          <w:b/>
          <w:bCs/>
          <w:sz w:val="22"/>
          <w:lang w:val="zh-CN"/>
        </w:rPr>
        <w:t>情况</w:t>
      </w:r>
    </w:p>
    <w:p>
      <w:r>
        <w:rPr>
          <w:rFonts w:hint="eastAsia"/>
        </w:rPr>
        <w:t xml:space="preserve">□  适用  □  不适用  </w:t>
      </w:r>
    </w:p>
    <w:p>
      <w:pPr>
        <w:ind w:left="5880" w:firstLine="420"/>
        <w:jc w:val="right"/>
      </w:pPr>
      <w:r>
        <w:rPr>
          <w:rFonts w:hint="eastAsia"/>
        </w:rPr>
        <w:t>单位：元或</w:t>
      </w:r>
      <w:r>
        <w:t>股</w:t>
      </w:r>
    </w:p>
    <w:tbl>
      <w:tblPr>
        <w:tblStyle w:val="97"/>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222"/>
        <w:gridCol w:w="1223"/>
        <w:gridCol w:w="1222"/>
        <w:gridCol w:w="1223"/>
        <w:gridCol w:w="1223"/>
        <w:gridCol w:w="1222"/>
        <w:gridCol w:w="1223"/>
        <w:gridCol w:w="122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2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122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r>
              <w:rPr>
                <w:rFonts w:ascii="宋体" w:hAnsi="宋体"/>
                <w:b/>
                <w:color w:val="000000" w:themeColor="text1"/>
                <w:kern w:val="0"/>
                <w:sz w:val="22"/>
                <w14:textFill>
                  <w14:solidFill>
                    <w14:schemeClr w14:val="tx1"/>
                  </w14:solidFill>
                </w14:textFill>
              </w:rPr>
              <w:t>方案公告时间</w:t>
            </w:r>
          </w:p>
        </w:tc>
        <w:tc>
          <w:tcPr>
            <w:tcW w:w="122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新增股票</w:t>
            </w:r>
            <w:r>
              <w:rPr>
                <w:rFonts w:ascii="宋体" w:hAnsi="宋体"/>
                <w:b/>
                <w:color w:val="000000" w:themeColor="text1"/>
                <w:kern w:val="0"/>
                <w:sz w:val="22"/>
                <w14:textFill>
                  <w14:solidFill>
                    <w14:schemeClr w14:val="tx1"/>
                  </w14:solidFill>
                </w14:textFill>
              </w:rPr>
              <w:t>挂牌</w:t>
            </w:r>
            <w:r>
              <w:rPr>
                <w:rFonts w:hint="eastAsia" w:ascii="宋体" w:hAnsi="宋体"/>
                <w:b/>
                <w:color w:val="000000" w:themeColor="text1"/>
                <w:kern w:val="0"/>
                <w:sz w:val="22"/>
                <w14:textFill>
                  <w14:solidFill>
                    <w14:schemeClr w14:val="tx1"/>
                  </w14:solidFill>
                </w14:textFill>
              </w:rPr>
              <w:t>交易</w:t>
            </w:r>
            <w:r>
              <w:rPr>
                <w:rFonts w:ascii="宋体" w:hAnsi="宋体"/>
                <w:b/>
                <w:color w:val="000000" w:themeColor="text1"/>
                <w:kern w:val="0"/>
                <w:sz w:val="22"/>
                <w14:textFill>
                  <w14:solidFill>
                    <w14:schemeClr w14:val="tx1"/>
                  </w14:solidFill>
                </w14:textFill>
              </w:rPr>
              <w:t>日期</w:t>
            </w:r>
          </w:p>
        </w:tc>
        <w:tc>
          <w:tcPr>
            <w:tcW w:w="122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价格</w:t>
            </w:r>
          </w:p>
        </w:tc>
        <w:tc>
          <w:tcPr>
            <w:tcW w:w="122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数量</w:t>
            </w:r>
          </w:p>
        </w:tc>
        <w:tc>
          <w:tcPr>
            <w:tcW w:w="122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r>
              <w:rPr>
                <w:rFonts w:ascii="宋体" w:hAnsi="宋体"/>
                <w:b/>
                <w:color w:val="000000" w:themeColor="text1"/>
                <w:kern w:val="0"/>
                <w:sz w:val="22"/>
                <w14:textFill>
                  <w14:solidFill>
                    <w14:schemeClr w14:val="tx1"/>
                  </w14:solidFill>
                </w14:textFill>
              </w:rPr>
              <w:t>对象</w:t>
            </w:r>
          </w:p>
        </w:tc>
        <w:tc>
          <w:tcPr>
            <w:tcW w:w="122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标的</w:t>
            </w:r>
            <w:r>
              <w:rPr>
                <w:rFonts w:ascii="宋体" w:hAnsi="宋体"/>
                <w:b/>
                <w:color w:val="000000" w:themeColor="text1"/>
                <w:kern w:val="0"/>
                <w:sz w:val="22"/>
                <w14:textFill>
                  <w14:solidFill>
                    <w14:schemeClr w14:val="tx1"/>
                  </w14:solidFill>
                </w14:textFill>
              </w:rPr>
              <w:t>资</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产情况</w:t>
            </w:r>
          </w:p>
        </w:tc>
        <w:tc>
          <w:tcPr>
            <w:tcW w:w="122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2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1223" w:type="dxa"/>
          </w:tcPr>
          <w:p>
            <w:pPr>
              <w:tabs>
                <w:tab w:val="left" w:pos="5140"/>
              </w:tabs>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2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2" w:type="dxa"/>
          </w:tcPr>
          <w:p>
            <w:pPr>
              <w:tabs>
                <w:tab w:val="left" w:pos="5140"/>
              </w:tabs>
              <w:jc w:val="center"/>
              <w:rPr>
                <w:rFonts w:ascii="宋体" w:hAnsi="宋体"/>
                <w:color w:val="FF0000"/>
                <w:kern w:val="0"/>
                <w:sz w:val="22"/>
              </w:rPr>
            </w:pP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（如</w:t>
            </w:r>
            <w:r>
              <w:rPr>
                <w:rFonts w:ascii="宋体" w:hAnsi="宋体"/>
                <w:color w:val="FF0000"/>
                <w:kern w:val="0"/>
                <w:sz w:val="22"/>
              </w:rPr>
              <w:t>涉及</w:t>
            </w:r>
            <w:r>
              <w:rPr>
                <w:rFonts w:hint="eastAsia" w:ascii="宋体" w:hAnsi="宋体"/>
                <w:color w:val="FF0000"/>
                <w:kern w:val="0"/>
                <w:sz w:val="22"/>
              </w:rPr>
              <w:t>发行</w:t>
            </w:r>
            <w:r>
              <w:rPr>
                <w:rFonts w:ascii="宋体" w:hAnsi="宋体"/>
                <w:color w:val="FF0000"/>
                <w:kern w:val="0"/>
                <w:sz w:val="22"/>
              </w:rPr>
              <w:t>股票购买资产</w:t>
            </w:r>
            <w:r>
              <w:rPr>
                <w:rFonts w:hint="eastAsia" w:ascii="宋体" w:hAnsi="宋体"/>
                <w:color w:val="FF0000"/>
                <w:kern w:val="0"/>
                <w:sz w:val="22"/>
              </w:rPr>
              <w:t>，</w:t>
            </w:r>
            <w:r>
              <w:rPr>
                <w:rFonts w:ascii="宋体" w:hAnsi="宋体"/>
                <w:color w:val="FF0000"/>
                <w:kern w:val="0"/>
                <w:sz w:val="22"/>
              </w:rPr>
              <w:t>在此填写标的资产</w:t>
            </w:r>
            <w:r>
              <w:rPr>
                <w:rFonts w:hint="eastAsia" w:ascii="宋体" w:hAnsi="宋体"/>
                <w:color w:val="FF0000"/>
                <w:kern w:val="0"/>
                <w:sz w:val="22"/>
              </w:rPr>
              <w:t>基本</w:t>
            </w:r>
            <w:r>
              <w:rPr>
                <w:rFonts w:ascii="宋体" w:hAnsi="宋体"/>
                <w:color w:val="FF0000"/>
                <w:kern w:val="0"/>
                <w:sz w:val="22"/>
              </w:rPr>
              <w:t>情况，参考格式：“XX持有的XX公司x%股权”</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2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2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（二）存续至</w:t>
      </w:r>
      <w:r>
        <w:rPr>
          <w:rFonts w:ascii="Arial" w:hAnsi="Arial" w:eastAsia="黑体"/>
          <w:b/>
          <w:bCs/>
          <w:sz w:val="22"/>
          <w:lang w:val="zh-CN"/>
        </w:rPr>
        <w:t>报告期的</w:t>
      </w:r>
      <w:r>
        <w:rPr>
          <w:rFonts w:hint="eastAsia" w:ascii="Arial" w:hAnsi="Arial" w:eastAsia="黑体"/>
          <w:b/>
          <w:bCs/>
          <w:sz w:val="22"/>
          <w:lang w:val="zh-CN"/>
        </w:rPr>
        <w:t>募集资金使用</w:t>
      </w:r>
      <w:r>
        <w:rPr>
          <w:rFonts w:ascii="Arial" w:hAnsi="Arial" w:eastAsia="黑体"/>
          <w:b/>
          <w:bCs/>
          <w:sz w:val="22"/>
          <w:lang w:val="zh-CN"/>
        </w:rPr>
        <w:t>情况</w:t>
      </w:r>
    </w:p>
    <w:p>
      <w:r>
        <w:rPr>
          <w:rFonts w:hint="eastAsia"/>
        </w:rPr>
        <w:t>□  适用  □  不适用</w:t>
      </w:r>
    </w:p>
    <w:p>
      <w:pPr>
        <w:ind w:left="5880" w:firstLine="420"/>
        <w:jc w:val="right"/>
      </w:pPr>
      <w:r>
        <w:rPr>
          <w:rFonts w:hint="eastAsia"/>
        </w:rPr>
        <w:t>单位：元</w:t>
      </w:r>
    </w:p>
    <w:tbl>
      <w:tblPr>
        <w:tblStyle w:val="97"/>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10"/>
        <w:gridCol w:w="1194"/>
        <w:gridCol w:w="1194"/>
        <w:gridCol w:w="831"/>
        <w:gridCol w:w="2617"/>
        <w:gridCol w:w="1134"/>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1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119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募集金额</w:t>
            </w:r>
          </w:p>
        </w:tc>
        <w:tc>
          <w:tcPr>
            <w:tcW w:w="119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报告期内</w:t>
            </w:r>
            <w:r>
              <w:rPr>
                <w:rFonts w:ascii="宋体" w:hAnsi="宋体"/>
                <w:b/>
                <w:color w:val="000000" w:themeColor="text1"/>
                <w:kern w:val="0"/>
                <w:sz w:val="22"/>
                <w14:textFill>
                  <w14:solidFill>
                    <w14:schemeClr w14:val="tx1"/>
                  </w14:solidFill>
                </w14:textFill>
              </w:rPr>
              <w:t>使用金额</w:t>
            </w:r>
          </w:p>
        </w:tc>
        <w:tc>
          <w:tcPr>
            <w:tcW w:w="831"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变更</w:t>
            </w: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tc>
        <w:tc>
          <w:tcPr>
            <w:tcW w:w="26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变更用途</w:t>
            </w:r>
            <w:r>
              <w:rPr>
                <w:rFonts w:ascii="宋体" w:hAnsi="宋体"/>
                <w:b/>
                <w:color w:val="000000" w:themeColor="text1"/>
                <w:kern w:val="0"/>
                <w:sz w:val="22"/>
                <w14:textFill>
                  <w14:solidFill>
                    <w14:schemeClr w14:val="tx1"/>
                  </w14:solidFill>
                </w14:textFill>
              </w:rPr>
              <w:t>情况</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w:t>
            </w:r>
            <w:r>
              <w:rPr>
                <w:rFonts w:ascii="宋体" w:hAnsi="宋体"/>
                <w:b/>
                <w:color w:val="000000" w:themeColor="text1"/>
                <w:kern w:val="0"/>
                <w:sz w:val="22"/>
                <w14:textFill>
                  <w14:solidFill>
                    <w14:schemeClr w14:val="tx1"/>
                  </w14:solidFill>
                </w14:textFill>
              </w:rPr>
              <w:t>用途的募集资金金额</w:t>
            </w:r>
          </w:p>
        </w:tc>
        <w:tc>
          <w:tcPr>
            <w:tcW w:w="155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w:t>
            </w:r>
            <w:r>
              <w:rPr>
                <w:rFonts w:ascii="宋体" w:hAnsi="宋体"/>
                <w:b/>
                <w:color w:val="000000" w:themeColor="text1"/>
                <w:kern w:val="0"/>
                <w:sz w:val="22"/>
                <w14:textFill>
                  <w14:solidFill>
                    <w14:schemeClr w14:val="tx1"/>
                  </w14:solidFill>
                </w14:textFill>
              </w:rPr>
              <w:t>用途</w:t>
            </w:r>
            <w:r>
              <w:rPr>
                <w:rFonts w:hint="eastAsia" w:ascii="宋体" w:hAnsi="宋体"/>
                <w:b/>
                <w:color w:val="000000" w:themeColor="text1"/>
                <w:sz w:val="22"/>
                <w14:textFill>
                  <w14:solidFill>
                    <w14:schemeClr w14:val="tx1"/>
                  </w14:solidFill>
                </w14:textFill>
              </w:rPr>
              <w:t>是否履行必要</w:t>
            </w:r>
            <w:r>
              <w:rPr>
                <w:rFonts w:ascii="宋体" w:hAnsi="宋体"/>
                <w:b/>
                <w:color w:val="000000" w:themeColor="text1"/>
                <w:sz w:val="22"/>
                <w14:textFill>
                  <w14:solidFill>
                    <w14:schemeClr w14:val="tx1"/>
                  </w14:solidFill>
                </w14:textFill>
              </w:rPr>
              <w:t>决策程序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10"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11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1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3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（是</w:t>
            </w:r>
            <w:r>
              <w:rPr>
                <w:rFonts w:asciiTheme="minorEastAsia" w:hAnsiTheme="minorEastAsia" w:eastAsiaTheme="minorEastAsia"/>
                <w:color w:val="FF0000"/>
                <w:sz w:val="22"/>
              </w:rPr>
              <w:t>/否）</w:t>
            </w:r>
          </w:p>
        </w:tc>
        <w:tc>
          <w:tcPr>
            <w:tcW w:w="26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13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（不适用/已事前及时履行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四</w:t>
      </w:r>
      <w:r>
        <w:rPr>
          <w:rFonts w:ascii="微软雅黑" w:hAnsi="微软雅黑" w:eastAsia="微软雅黑"/>
          <w:b/>
          <w:bCs/>
          <w:sz w:val="22"/>
          <w:lang w:val="zh-CN"/>
        </w:rPr>
        <w:t>、</w:t>
      </w:r>
      <w:r>
        <w:rPr>
          <w:rFonts w:hint="eastAsia" w:ascii="微软雅黑" w:hAnsi="微软雅黑" w:eastAsia="微软雅黑"/>
          <w:b/>
          <w:bCs/>
          <w:sz w:val="22"/>
          <w:lang w:val="zh-CN"/>
        </w:rPr>
        <w:t>存续至</w:t>
      </w:r>
      <w:r>
        <w:rPr>
          <w:rFonts w:ascii="微软雅黑" w:hAnsi="微软雅黑" w:eastAsia="微软雅黑"/>
          <w:b/>
          <w:bCs/>
          <w:sz w:val="22"/>
          <w:lang w:val="zh-CN"/>
        </w:rPr>
        <w:t>本</w:t>
      </w:r>
      <w:r>
        <w:rPr>
          <w:rFonts w:hint="eastAsia" w:ascii="微软雅黑" w:hAnsi="微软雅黑" w:eastAsia="微软雅黑"/>
          <w:b/>
          <w:bCs/>
          <w:sz w:val="22"/>
          <w:lang w:val="zh-CN"/>
        </w:rPr>
        <w:t>期的优先股</w:t>
      </w:r>
      <w:r>
        <w:rPr>
          <w:rFonts w:ascii="微软雅黑" w:hAnsi="微软雅黑" w:eastAsia="微软雅黑"/>
          <w:b/>
          <w:bCs/>
          <w:sz w:val="22"/>
          <w:lang w:val="zh-CN"/>
        </w:rPr>
        <w:t>股票</w:t>
      </w:r>
      <w:r>
        <w:rPr>
          <w:rFonts w:hint="eastAsia" w:ascii="微软雅黑" w:hAnsi="微软雅黑" w:eastAsia="微软雅黑"/>
          <w:b/>
          <w:bCs/>
          <w:sz w:val="22"/>
          <w:lang w:val="zh-CN"/>
        </w:rPr>
        <w:t>相关</w:t>
      </w:r>
      <w:r>
        <w:rPr>
          <w:rFonts w:ascii="微软雅黑" w:hAnsi="微软雅黑" w:eastAsia="微软雅黑"/>
          <w:b/>
          <w:bCs/>
          <w:sz w:val="22"/>
          <w:lang w:val="zh-CN"/>
        </w:rPr>
        <w:t>情况</w:t>
      </w:r>
    </w:p>
    <w:p>
      <w:r>
        <w:rPr>
          <w:rFonts w:hint="eastAsia"/>
        </w:rPr>
        <w:t>□  适用  □  不适用</w:t>
      </w:r>
    </w:p>
    <w:p>
      <w:pPr>
        <w:tabs>
          <w:tab w:val="left" w:pos="5140"/>
        </w:tabs>
        <w:jc w:val="right"/>
        <w:rPr>
          <w:color w:val="000000" w:themeColor="text1"/>
          <w14:textFill>
            <w14:solidFill>
              <w14:schemeClr w14:val="tx1"/>
            </w14:solidFill>
          </w14:textFill>
        </w:rPr>
      </w:pP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股</w:t>
      </w:r>
    </w:p>
    <w:tbl>
      <w:tblPr>
        <w:tblStyle w:val="1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项目</w:t>
            </w:r>
          </w:p>
        </w:tc>
        <w:tc>
          <w:tcPr>
            <w:tcW w:w="2409"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期初股份数量</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数量变动</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计入权益的</w:t>
            </w:r>
            <w:r>
              <w:rPr>
                <w:color w:val="000000" w:themeColor="text1"/>
                <w:sz w:val="22"/>
                <w14:textFill>
                  <w14:solidFill>
                    <w14:schemeClr w14:val="tx1"/>
                  </w14:solidFill>
                </w14:textFill>
              </w:rPr>
              <w:t>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w:t>
            </w:r>
            <w:r>
              <w:rPr>
                <w:color w:val="000000" w:themeColor="text1"/>
                <w:sz w:val="22"/>
                <w14:textFill>
                  <w14:solidFill>
                    <w14:schemeClr w14:val="tx1"/>
                  </w14:solidFill>
                </w14:textFill>
              </w:rPr>
              <w:t>负债的优先股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优先股总股本</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bl>
    <w:p>
      <w:pPr>
        <w:rPr>
          <w:rFonts w:ascii="宋体" w:hAnsi="宋体"/>
          <w:b/>
          <w:bCs/>
          <w:szCs w:val="21"/>
        </w:rPr>
      </w:pPr>
      <w:r>
        <w:rPr>
          <w:rFonts w:hint="eastAsia" w:ascii="宋体" w:hAnsi="宋体"/>
          <w:b/>
          <w:color w:val="000000" w:themeColor="text1"/>
          <w:szCs w:val="21"/>
          <w14:textFill>
            <w14:solidFill>
              <w14:schemeClr w14:val="tx1"/>
            </w14:solidFill>
          </w14:textFill>
        </w:rPr>
        <w:t>优先股详细</w:t>
      </w:r>
      <w:r>
        <w:rPr>
          <w:rFonts w:ascii="宋体" w:hAnsi="宋体"/>
          <w:b/>
          <w:color w:val="000000" w:themeColor="text1"/>
          <w:szCs w:val="21"/>
          <w14:textFill>
            <w14:solidFill>
              <w14:schemeClr w14:val="tx1"/>
            </w14:solidFill>
          </w14:textFill>
        </w:rPr>
        <w:t>情况</w:t>
      </w:r>
      <w:r>
        <w:rPr>
          <w:rFonts w:hint="eastAsia" w:ascii="宋体" w:hAnsi="宋体"/>
          <w:b/>
          <w:color w:val="000000" w:themeColor="text1"/>
          <w:szCs w:val="21"/>
          <w14:textFill>
            <w14:solidFill>
              <w14:schemeClr w14:val="tx1"/>
            </w14:solidFill>
          </w14:textFill>
        </w:rPr>
        <w:t>：</w:t>
      </w:r>
    </w:p>
    <w:tbl>
      <w:tblPr>
        <w:tblStyle w:val="45"/>
        <w:tblW w:w="5831"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94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8" w:hRule="atLeast"/>
        </w:trPr>
        <w:tc>
          <w:tcPr>
            <w:tcW w:w="5000" w:type="pct"/>
            <w:shd w:val="clear" w:color="auto" w:fill="auto"/>
          </w:tcPr>
          <w:p>
            <w:pPr>
              <w:ind w:right="420"/>
              <w:rPr>
                <w:rFonts w:asciiTheme="minorEastAsia" w:hAnsiTheme="minorEastAsia" w:eastAsiaTheme="minorEastAsia"/>
                <w:sz w:val="22"/>
              </w:rPr>
            </w:pPr>
            <w:r>
              <w:rPr>
                <w:rFonts w:hint="eastAsia" w:asciiTheme="minorEastAsia" w:hAnsiTheme="minorEastAsia" w:eastAsiaTheme="minorEastAsia"/>
                <w:i/>
                <w:color w:val="FF0000"/>
                <w:szCs w:val="44"/>
              </w:rPr>
              <w:t>注：如公司报告期内存在存续至本期的优先股，应当披露优先股发行的基本情况、前十名股东情况、利润分配情况、回购情况、转换情况以及表决权恢复情况等。</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五</w:t>
      </w:r>
      <w:r>
        <w:rPr>
          <w:rFonts w:ascii="微软雅黑" w:hAnsi="微软雅黑" w:eastAsia="微软雅黑"/>
          <w:b/>
          <w:bCs/>
          <w:sz w:val="22"/>
          <w:lang w:val="zh-CN"/>
        </w:rPr>
        <w:t>、</w:t>
      </w:r>
      <w:r>
        <w:rPr>
          <w:rFonts w:hint="eastAsia" w:ascii="微软雅黑" w:hAnsi="微软雅黑" w:eastAsia="微软雅黑"/>
          <w:b/>
          <w:bCs/>
          <w:sz w:val="22"/>
          <w:lang w:val="zh-CN"/>
        </w:rPr>
        <w:t>存续至本期的债券</w:t>
      </w:r>
      <w:r>
        <w:rPr>
          <w:rFonts w:ascii="微软雅黑" w:hAnsi="微软雅黑" w:eastAsia="微软雅黑"/>
          <w:b/>
          <w:bCs/>
          <w:sz w:val="22"/>
          <w:lang w:val="zh-CN"/>
        </w:rPr>
        <w:t>融资情况</w:t>
      </w:r>
    </w:p>
    <w:p>
      <w:pPr>
        <w:rPr>
          <w:rFonts w:ascii="微软雅黑" w:hAnsi="微软雅黑" w:eastAsia="微软雅黑"/>
          <w:b/>
          <w:sz w:val="22"/>
        </w:rPr>
      </w:pPr>
      <w:r>
        <w:rPr>
          <w:rFonts w:hint="eastAsia"/>
        </w:rPr>
        <w:t>□  适用  □  不适用</w:t>
      </w:r>
    </w:p>
    <w:p>
      <w:pPr>
        <w:tabs>
          <w:tab w:val="left" w:pos="5140"/>
        </w:tabs>
        <w:jc w:val="righ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单位</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代码</w:t>
            </w:r>
          </w:p>
        </w:tc>
        <w:tc>
          <w:tcPr>
            <w:tcW w:w="101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简称</w:t>
            </w:r>
          </w:p>
        </w:tc>
        <w:tc>
          <w:tcPr>
            <w:tcW w:w="148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债券</w:t>
            </w:r>
            <w:r>
              <w:rPr>
                <w:rFonts w:asciiTheme="minorEastAsia" w:hAnsiTheme="minorEastAsia" w:eastAsiaTheme="minorEastAsia"/>
                <w:b/>
                <w:color w:val="000000" w:themeColor="text1"/>
                <w:szCs w:val="21"/>
                <w14:textFill>
                  <w14:solidFill>
                    <w14:schemeClr w14:val="tx1"/>
                  </w14:solidFill>
                </w14:textFill>
              </w:rPr>
              <w:t>类型</w:t>
            </w:r>
          </w:p>
        </w:tc>
        <w:tc>
          <w:tcPr>
            <w:tcW w:w="154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融资金额</w:t>
            </w:r>
          </w:p>
        </w:tc>
        <w:tc>
          <w:tcPr>
            <w:tcW w:w="1206" w:type="dxa"/>
            <w:vMerge w:val="restart"/>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票面利率</w:t>
            </w:r>
            <w:r>
              <w:rPr>
                <w:rFonts w:hint="eastAsia" w:asciiTheme="minorEastAsia" w:hAnsiTheme="minorEastAsia" w:eastAsiaTheme="minorEastAsia"/>
                <w:b/>
                <w:color w:val="000000" w:themeColor="text1"/>
                <w:szCs w:val="21"/>
                <w14:textFill>
                  <w14:solidFill>
                    <w14:schemeClr w14:val="tx1"/>
                  </w14:solidFill>
                </w14:textFill>
              </w:rPr>
              <w:t>%</w:t>
            </w:r>
          </w:p>
        </w:tc>
        <w:tc>
          <w:tcPr>
            <w:tcW w:w="2410" w:type="dxa"/>
            <w:gridSpan w:val="2"/>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存续期间</w:t>
            </w:r>
          </w:p>
        </w:tc>
        <w:tc>
          <w:tcPr>
            <w:tcW w:w="85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是否违约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continue"/>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vMerge w:val="continue"/>
            <w:shd w:val="clear" w:color="auto" w:fill="D0CECE" w:themeFill="background2" w:themeFillShade="E6"/>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1134"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终止日期</w:t>
            </w:r>
          </w:p>
        </w:tc>
        <w:tc>
          <w:tcPr>
            <w:tcW w:w="85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日历控件</w:t>
            </w: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w:t>
            </w:r>
            <w:r>
              <w:rPr>
                <w:rFonts w:ascii="宋体" w:hAnsi="宋体"/>
                <w:color w:val="FF0000"/>
                <w:sz w:val="22"/>
              </w:rPr>
              <w:t>控件</w:t>
            </w: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133"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合计</w:t>
            </w:r>
          </w:p>
        </w:tc>
        <w:tc>
          <w:tcPr>
            <w:tcW w:w="101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48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54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120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27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85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r>
    </w:tbl>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：债券类型</w:t>
      </w:r>
      <w:r>
        <w:rPr>
          <w:rFonts w:hint="eastAsia" w:asciiTheme="minorEastAsia" w:hAnsiTheme="minorEastAsia" w:eastAsiaTheme="minorEastAsia"/>
          <w:i/>
          <w:color w:val="FF0000"/>
          <w:szCs w:val="21"/>
        </w:rPr>
        <w:t>为公司债券（大公募、小公募、非公开）</w:t>
      </w:r>
      <w:r>
        <w:rPr>
          <w:rFonts w:asciiTheme="minorEastAsia" w:hAnsiTheme="minorEastAsia" w:eastAsiaTheme="minorEastAsia"/>
          <w:i/>
          <w:color w:val="FF0000"/>
          <w:szCs w:val="21"/>
        </w:rPr>
        <w:t>、企业债券、</w:t>
      </w:r>
      <w:r>
        <w:rPr>
          <w:rFonts w:hint="eastAsia" w:asciiTheme="minorEastAsia" w:hAnsiTheme="minorEastAsia" w:eastAsiaTheme="minorEastAsia"/>
          <w:i/>
          <w:color w:val="FF0000"/>
          <w:szCs w:val="21"/>
        </w:rPr>
        <w:t>银行间</w:t>
      </w:r>
      <w:r>
        <w:rPr>
          <w:rFonts w:asciiTheme="minorEastAsia" w:hAnsiTheme="minorEastAsia" w:eastAsiaTheme="minorEastAsia"/>
          <w:i/>
          <w:color w:val="FF0000"/>
          <w:szCs w:val="21"/>
        </w:rPr>
        <w:t>非金融企业融资工具</w:t>
      </w:r>
      <w:r>
        <w:rPr>
          <w:rFonts w:hint="eastAsia" w:asciiTheme="minorEastAsia" w:hAnsiTheme="minorEastAsia" w:eastAsiaTheme="minorEastAsia"/>
          <w:i/>
          <w:color w:val="FF0000"/>
          <w:szCs w:val="21"/>
        </w:rPr>
        <w:t>、</w:t>
      </w:r>
      <w:r>
        <w:rPr>
          <w:rFonts w:asciiTheme="minorEastAsia" w:hAnsiTheme="minorEastAsia" w:eastAsiaTheme="minorEastAsia"/>
          <w:i/>
          <w:color w:val="FF0000"/>
          <w:szCs w:val="21"/>
        </w:rPr>
        <w:t>其他等。</w:t>
      </w:r>
    </w:p>
    <w:p>
      <w:pPr>
        <w:ind w:right="42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债券</w:t>
      </w:r>
      <w:r>
        <w:rPr>
          <w:rFonts w:hint="eastAsia" w:asciiTheme="minorEastAsia" w:hAnsiTheme="minorEastAsia" w:eastAsiaTheme="minorEastAsia"/>
          <w:b/>
          <w:color w:val="000000" w:themeColor="text1"/>
          <w:szCs w:val="21"/>
          <w14:textFill>
            <w14:solidFill>
              <w14:schemeClr w14:val="tx1"/>
            </w14:solidFill>
          </w14:textFill>
        </w:rPr>
        <w:t>违约</w:t>
      </w:r>
      <w:r>
        <w:rPr>
          <w:rFonts w:asciiTheme="minorEastAsia" w:hAnsiTheme="minorEastAsia" w:eastAsiaTheme="minorEastAsia"/>
          <w:b/>
          <w:color w:val="000000" w:themeColor="text1"/>
          <w:szCs w:val="21"/>
          <w14:textFill>
            <w14:solidFill>
              <w14:schemeClr w14:val="tx1"/>
            </w14:solidFill>
          </w14:textFill>
        </w:rPr>
        <w:t>情况</w:t>
      </w:r>
      <w:r>
        <w:rPr>
          <w:rFonts w:hint="eastAsia" w:asciiTheme="minorEastAsia" w:hAnsiTheme="minorEastAsia" w:eastAsiaTheme="minorEastAsia"/>
          <w:b/>
          <w:color w:val="000000" w:themeColor="text1"/>
          <w:szCs w:val="21"/>
          <w14:textFill>
            <w14:solidFill>
              <w14:schemeClr w14:val="tx1"/>
            </w14:solidFill>
          </w14:textFill>
        </w:rPr>
        <w:t>：</w:t>
      </w:r>
    </w:p>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45"/>
        <w:tblW w:w="9638" w:type="dxa"/>
        <w:tblInd w:w="-572" w:type="dxa"/>
        <w:tblLayout w:type="autofit"/>
        <w:tblCellMar>
          <w:top w:w="0" w:type="dxa"/>
          <w:left w:w="108" w:type="dxa"/>
          <w:bottom w:w="0" w:type="dxa"/>
          <w:right w:w="108" w:type="dxa"/>
        </w:tblCellMar>
      </w:tblPr>
      <w:tblGrid>
        <w:gridCol w:w="9638"/>
      </w:tblGrid>
      <w:tr>
        <w:tblPrEx>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：如存在债券违约的，应当说明违约的具体情况、偿债措施以及对公司的影响。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募集资金用途</w:t>
      </w:r>
      <w:r>
        <w:rPr>
          <w:rFonts w:asciiTheme="minorEastAsia" w:hAnsiTheme="minorEastAsia" w:eastAsiaTheme="minorEastAsia"/>
          <w:b/>
          <w:color w:val="000000" w:themeColor="text1"/>
          <w:szCs w:val="21"/>
          <w14:textFill>
            <w14:solidFill>
              <w14:schemeClr w14:val="tx1"/>
            </w14:solidFill>
          </w14:textFill>
        </w:rPr>
        <w:t>变更情况</w:t>
      </w:r>
      <w:r>
        <w:rPr>
          <w:rFonts w:hint="eastAsia" w:asciiTheme="minorEastAsia" w:hAnsiTheme="minorEastAsia" w:eastAsiaTheme="minorEastAsia"/>
          <w:b/>
          <w:color w:val="000000" w:themeColor="text1"/>
          <w:szCs w:val="21"/>
          <w14:textFill>
            <w14:solidFill>
              <w14:schemeClr w14:val="tx1"/>
            </w14:solidFill>
          </w14:textFill>
        </w:rPr>
        <w:t>：</w:t>
      </w:r>
    </w:p>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45"/>
        <w:tblW w:w="9638" w:type="dxa"/>
        <w:tblInd w:w="-572" w:type="dxa"/>
        <w:tblLayout w:type="autofit"/>
        <w:tblCellMar>
          <w:top w:w="0" w:type="dxa"/>
          <w:left w:w="108" w:type="dxa"/>
          <w:bottom w:w="0" w:type="dxa"/>
          <w:right w:w="108" w:type="dxa"/>
        </w:tblCellMar>
      </w:tblPr>
      <w:tblGrid>
        <w:gridCol w:w="9638"/>
      </w:tblGrid>
      <w:tr>
        <w:tblPrEx>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：如存在债券募集</w:t>
            </w:r>
            <w:r>
              <w:rPr>
                <w:rFonts w:asciiTheme="minorEastAsia" w:hAnsiTheme="minorEastAsia" w:eastAsiaTheme="minorEastAsia"/>
                <w:i/>
                <w:color w:val="FF0000"/>
                <w:szCs w:val="44"/>
              </w:rPr>
              <w:t>资金用途变更的，应当说明变动的具体情况及履行的决策程序。</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六</w:t>
      </w:r>
      <w:r>
        <w:rPr>
          <w:rFonts w:ascii="微软雅黑" w:hAnsi="微软雅黑" w:eastAsia="微软雅黑"/>
          <w:b/>
          <w:bCs/>
          <w:sz w:val="22"/>
          <w:lang w:val="zh-CN"/>
        </w:rPr>
        <w:t>、</w:t>
      </w:r>
      <w:r>
        <w:rPr>
          <w:rFonts w:hint="eastAsia" w:ascii="微软雅黑" w:hAnsi="微软雅黑" w:eastAsia="微软雅黑"/>
          <w:b/>
          <w:bCs/>
          <w:sz w:val="22"/>
          <w:lang w:val="zh-CN"/>
        </w:rPr>
        <w:t>存续至</w:t>
      </w:r>
      <w:r>
        <w:rPr>
          <w:rFonts w:ascii="微软雅黑" w:hAnsi="微软雅黑" w:eastAsia="微软雅黑"/>
          <w:b/>
          <w:bCs/>
          <w:sz w:val="22"/>
          <w:lang w:val="zh-CN"/>
        </w:rPr>
        <w:t>本期的</w:t>
      </w:r>
      <w:r>
        <w:rPr>
          <w:rFonts w:hint="eastAsia" w:ascii="微软雅黑" w:hAnsi="微软雅黑" w:eastAsia="微软雅黑"/>
          <w:b/>
          <w:bCs/>
          <w:sz w:val="22"/>
          <w:lang w:val="zh-CN"/>
        </w:rPr>
        <w:t>可转换债券</w:t>
      </w:r>
      <w:r>
        <w:rPr>
          <w:rFonts w:ascii="微软雅黑" w:hAnsi="微软雅黑" w:eastAsia="微软雅黑"/>
          <w:b/>
          <w:bCs/>
          <w:sz w:val="22"/>
          <w:lang w:val="zh-CN"/>
        </w:rPr>
        <w:t>情况</w:t>
      </w:r>
    </w:p>
    <w:p>
      <w:r>
        <w:rPr>
          <w:rFonts w:hint="eastAsia"/>
        </w:rPr>
        <w:t>□  适用  □  不适用</w:t>
      </w:r>
    </w:p>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（一）基本情况</w:t>
      </w:r>
    </w:p>
    <w:p>
      <w:pPr>
        <w:tabs>
          <w:tab w:val="left" w:pos="5140"/>
        </w:tabs>
        <w:jc w:val="right"/>
      </w:pPr>
      <w:r>
        <w:rPr>
          <w:rFonts w:hint="eastAsia"/>
        </w:rPr>
        <w:t>单位：元或</w:t>
      </w:r>
      <w:r>
        <w:t>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证券代码</w:t>
            </w:r>
          </w:p>
        </w:tc>
        <w:tc>
          <w:tcPr>
            <w:tcW w:w="141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证券简称</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期限</w:t>
            </w:r>
          </w:p>
        </w:tc>
        <w:tc>
          <w:tcPr>
            <w:tcW w:w="1559"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转股</w:t>
            </w:r>
            <w:r>
              <w:rPr>
                <w:rFonts w:asciiTheme="minorEastAsia" w:hAnsiTheme="minorEastAsia"/>
                <w:b/>
                <w:color w:val="000000" w:themeColor="text1"/>
                <w:sz w:val="22"/>
                <w14:textFill>
                  <w14:solidFill>
                    <w14:schemeClr w14:val="tx1"/>
                  </w14:solidFill>
                </w14:textFill>
              </w:rPr>
              <w:t>价格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bl>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转股价格的历次调整或者修正情况：</w:t>
      </w:r>
    </w:p>
    <w:tbl>
      <w:tblPr>
        <w:tblStyle w:val="151"/>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w:t>
            </w:r>
            <w:r>
              <w:rPr>
                <w:rFonts w:asciiTheme="minorEastAsia" w:hAnsiTheme="minorEastAsia"/>
                <w:i/>
                <w:color w:val="FF0000"/>
                <w:szCs w:val="44"/>
              </w:rPr>
              <w:t>转</w:t>
            </w:r>
            <w:r>
              <w:rPr>
                <w:rFonts w:hint="eastAsia" w:asciiTheme="minorEastAsia" w:hAnsiTheme="minorEastAsia"/>
                <w:i/>
                <w:color w:val="FF0000"/>
                <w:szCs w:val="44"/>
              </w:rPr>
              <w:t>股</w:t>
            </w:r>
            <w:r>
              <w:rPr>
                <w:rFonts w:asciiTheme="minorEastAsia" w:hAnsiTheme="minorEastAsia"/>
                <w:i/>
                <w:color w:val="FF0000"/>
                <w:szCs w:val="44"/>
              </w:rPr>
              <w:t>价格的</w:t>
            </w:r>
            <w:r>
              <w:rPr>
                <w:rFonts w:hint="eastAsia" w:asciiTheme="minorEastAsia" w:hAnsiTheme="minorEastAsia"/>
                <w:i/>
                <w:color w:val="FF0000"/>
                <w:szCs w:val="44"/>
              </w:rPr>
              <w:t>调整</w:t>
            </w:r>
            <w:r>
              <w:rPr>
                <w:rFonts w:asciiTheme="minorEastAsia" w:hAnsiTheme="minorEastAsia"/>
                <w:i/>
                <w:color w:val="FF0000"/>
                <w:szCs w:val="44"/>
              </w:rPr>
              <w:t>或者修正的，请披露</w:t>
            </w:r>
            <w:r>
              <w:rPr>
                <w:rFonts w:hint="eastAsia" w:asciiTheme="minorEastAsia" w:hAnsiTheme="minorEastAsia"/>
                <w:i/>
                <w:color w:val="FF0000"/>
                <w:szCs w:val="44"/>
              </w:rPr>
              <w:t>历次调整或者修正情况，</w:t>
            </w:r>
            <w:r>
              <w:rPr>
                <w:rFonts w:asciiTheme="minorEastAsia" w:hAnsiTheme="minorEastAsia"/>
                <w:i/>
                <w:color w:val="FF0000"/>
                <w:szCs w:val="44"/>
              </w:rPr>
              <w:t>如</w:t>
            </w:r>
            <w:r>
              <w:rPr>
                <w:rFonts w:hint="eastAsia" w:asciiTheme="minorEastAsia" w:hAnsiTheme="minorEastAsia"/>
                <w:i/>
                <w:color w:val="FF0000"/>
                <w:szCs w:val="44"/>
              </w:rPr>
              <w:t>不存在</w:t>
            </w:r>
            <w:r>
              <w:rPr>
                <w:rFonts w:asciiTheme="minorEastAsia" w:hAnsiTheme="minorEastAsia"/>
                <w:i/>
                <w:color w:val="FF0000"/>
                <w:szCs w:val="44"/>
              </w:rPr>
              <w:t>请填无</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（二）前十名可转换债券持有人</w:t>
      </w:r>
    </w:p>
    <w:p>
      <w:pPr>
        <w:rPr>
          <w:i/>
        </w:rPr>
      </w:pPr>
      <w:r>
        <w:rPr>
          <w:rFonts w:hint="eastAsia"/>
          <w:i/>
          <w:color w:val="FF0000"/>
        </w:rPr>
        <w:t>注：不同批次分别列示，整张表格可复制自行添加。</w:t>
      </w:r>
      <w:r>
        <w:rPr>
          <w:i/>
          <w:color w:val="FF0000"/>
        </w:rPr>
        <w:t xml:space="preserve">  </w:t>
      </w:r>
      <w:r>
        <w:rPr>
          <w:i/>
        </w:rPr>
        <w:t xml:space="preserve">   </w:t>
      </w:r>
    </w:p>
    <w:p>
      <w:pPr>
        <w:tabs>
          <w:tab w:val="left" w:pos="5140"/>
        </w:tabs>
        <w:jc w:val="right"/>
      </w:pPr>
      <w:r>
        <w:rPr>
          <w:rFonts w:hint="eastAsia"/>
        </w:rPr>
        <w:t>单位：股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gridSpan w:val="2"/>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证券代码</w:t>
            </w:r>
          </w:p>
        </w:tc>
        <w:tc>
          <w:tcPr>
            <w:tcW w:w="2361"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3119"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w:t>
            </w:r>
            <w:r>
              <w:rPr>
                <w:b/>
                <w:color w:val="000000" w:themeColor="text1"/>
                <w:sz w:val="22"/>
                <w14:textFill>
                  <w14:solidFill>
                    <w14:schemeClr w14:val="tx1"/>
                  </w14:solidFill>
                </w14:textFill>
              </w:rPr>
              <w:t>简称</w:t>
            </w:r>
          </w:p>
        </w:tc>
        <w:tc>
          <w:tcPr>
            <w:tcW w:w="2883"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序号</w:t>
            </w:r>
          </w:p>
        </w:tc>
        <w:tc>
          <w:tcPr>
            <w:tcW w:w="2977" w:type="dxa"/>
            <w:gridSpan w:val="2"/>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持有人</w:t>
            </w:r>
            <w:r>
              <w:rPr>
                <w:rFonts w:asciiTheme="minorEastAsia" w:hAnsiTheme="minorEastAsia"/>
                <w:b/>
                <w:color w:val="000000" w:themeColor="text1"/>
                <w:sz w:val="22"/>
                <w14:textFill>
                  <w14:solidFill>
                    <w14:schemeClr w14:val="tx1"/>
                  </w14:solidFill>
                </w14:textFill>
              </w:rPr>
              <w:t>名称</w:t>
            </w:r>
          </w:p>
        </w:tc>
        <w:tc>
          <w:tcPr>
            <w:tcW w:w="3119"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期初持有数量</w:t>
            </w:r>
          </w:p>
        </w:tc>
        <w:tc>
          <w:tcPr>
            <w:tcW w:w="2883"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期末持股</w:t>
            </w:r>
            <w:r>
              <w:rPr>
                <w:rFonts w:asciiTheme="minorEastAsia" w:hAnsiTheme="minorEastAsia"/>
                <w:b/>
                <w:color w:val="000000" w:themeColor="text1"/>
                <w:sz w:val="22"/>
                <w14:textFill>
                  <w14:solidFill>
                    <w14:schemeClr w14:val="tx1"/>
                  </w14:solidFill>
                </w14:textFill>
              </w:rPr>
              <w:t>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（三）转股</w:t>
      </w:r>
      <w:r>
        <w:rPr>
          <w:rFonts w:asciiTheme="minorEastAsia" w:hAnsiTheme="minorEastAsia"/>
          <w:b/>
          <w:color w:val="000000" w:themeColor="text1"/>
          <w:szCs w:val="44"/>
          <w14:textFill>
            <w14:solidFill>
              <w14:schemeClr w14:val="tx1"/>
            </w14:solidFill>
          </w14:textFill>
        </w:rPr>
        <w:t>情况</w:t>
      </w:r>
    </w:p>
    <w:p>
      <w:pPr>
        <w:rPr>
          <w:b/>
        </w:rPr>
      </w:pPr>
      <w:r>
        <w:rPr>
          <w:rFonts w:hint="eastAsia"/>
        </w:rPr>
        <w:t>□  适用  □  不适用</w:t>
      </w:r>
    </w:p>
    <w:tbl>
      <w:tblPr>
        <w:tblStyle w:val="151"/>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szCs w:val="44"/>
                <w14:textFill>
                  <w14:solidFill>
                    <w14:schemeClr w14:val="tx1"/>
                  </w14:solidFill>
                </w14:textFill>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存在可转换债券发行后</w:t>
            </w:r>
            <w:r>
              <w:rPr>
                <w:rFonts w:asciiTheme="minorEastAsia" w:hAnsiTheme="minorEastAsia"/>
                <w:i/>
                <w:color w:val="FF0000"/>
                <w:szCs w:val="44"/>
              </w:rPr>
              <w:t>转股的，请披露</w:t>
            </w:r>
            <w:r>
              <w:rPr>
                <w:rFonts w:hint="eastAsia" w:asciiTheme="minorEastAsia" w:hAnsiTheme="minorEastAsia"/>
                <w:i/>
                <w:color w:val="FF0000"/>
                <w:szCs w:val="44"/>
              </w:rPr>
              <w:t>累计转股情况，包括</w:t>
            </w:r>
            <w:r>
              <w:rPr>
                <w:rFonts w:asciiTheme="minorEastAsia" w:hAnsiTheme="minorEastAsia"/>
                <w:i/>
                <w:color w:val="FF0000"/>
                <w:szCs w:val="44"/>
              </w:rPr>
              <w:t>但不限于</w:t>
            </w:r>
            <w:r>
              <w:rPr>
                <w:rFonts w:hint="eastAsia" w:asciiTheme="minorEastAsia" w:hAnsiTheme="minorEastAsia"/>
                <w:i/>
                <w:color w:val="FF0000"/>
                <w:szCs w:val="44"/>
              </w:rPr>
              <w:t>转股数量</w:t>
            </w:r>
            <w:r>
              <w:rPr>
                <w:rFonts w:asciiTheme="minorEastAsia" w:hAnsiTheme="minorEastAsia"/>
                <w:i/>
                <w:color w:val="FF0000"/>
                <w:szCs w:val="44"/>
              </w:rPr>
              <w:t>、转股价格等</w:t>
            </w:r>
            <w:r>
              <w:rPr>
                <w:rFonts w:hint="eastAsia" w:asciiTheme="minorEastAsia" w:hAnsiTheme="minorEastAsia"/>
                <w:i/>
                <w:color w:val="FF0000"/>
                <w:szCs w:val="44"/>
              </w:rPr>
              <w:t>。</w:t>
            </w:r>
            <w:r>
              <w:rPr>
                <w:rFonts w:asciiTheme="minorEastAsia" w:hAnsiTheme="minorEastAsia"/>
                <w:color w:val="000000" w:themeColor="text1"/>
                <w:szCs w:val="44"/>
                <w14:textFill>
                  <w14:solidFill>
                    <w14:schemeClr w14:val="tx1"/>
                  </w14:solidFill>
                </w14:textFill>
              </w:rPr>
              <w:t xml:space="preserve"> </w:t>
            </w: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（四）赎回和回售</w:t>
      </w:r>
      <w:r>
        <w:rPr>
          <w:rFonts w:asciiTheme="minorEastAsia" w:hAnsiTheme="minorEastAsia"/>
          <w:b/>
          <w:color w:val="000000" w:themeColor="text1"/>
          <w:szCs w:val="44"/>
          <w14:textFill>
            <w14:solidFill>
              <w14:schemeClr w14:val="tx1"/>
            </w14:solidFill>
          </w14:textFill>
        </w:rPr>
        <w:t>情况</w:t>
      </w:r>
    </w:p>
    <w:p>
      <w:pPr>
        <w:rPr>
          <w:b/>
        </w:rPr>
      </w:pPr>
      <w:r>
        <w:rPr>
          <w:rFonts w:hint="eastAsia"/>
        </w:rPr>
        <w:t>□  适用  □  不适用</w:t>
      </w:r>
    </w:p>
    <w:tbl>
      <w:tblPr>
        <w:tblStyle w:val="15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存在报告期内可转换债券赎回或者</w:t>
            </w:r>
            <w:r>
              <w:rPr>
                <w:rFonts w:asciiTheme="minorEastAsia" w:hAnsiTheme="minorEastAsia"/>
                <w:i/>
                <w:color w:val="FF0000"/>
                <w:szCs w:val="44"/>
              </w:rPr>
              <w:t>回</w:t>
            </w:r>
            <w:r>
              <w:rPr>
                <w:rFonts w:hint="eastAsia" w:asciiTheme="minorEastAsia" w:hAnsiTheme="minorEastAsia"/>
                <w:i/>
                <w:color w:val="FF0000"/>
                <w:szCs w:val="44"/>
              </w:rPr>
              <w:t>售</w:t>
            </w:r>
            <w:r>
              <w:rPr>
                <w:rFonts w:asciiTheme="minorEastAsia" w:hAnsiTheme="minorEastAsia"/>
                <w:i/>
                <w:color w:val="FF0000"/>
                <w:szCs w:val="44"/>
              </w:rPr>
              <w:t>的，请披露</w:t>
            </w:r>
            <w:r>
              <w:rPr>
                <w:rFonts w:hint="eastAsia" w:asciiTheme="minorEastAsia" w:hAnsiTheme="minorEastAsia"/>
                <w:i/>
                <w:color w:val="FF0000"/>
                <w:szCs w:val="44"/>
              </w:rPr>
              <w:t>赎回或者回售的数量</w:t>
            </w:r>
            <w:r>
              <w:rPr>
                <w:rFonts w:asciiTheme="minorEastAsia" w:hAnsiTheme="minorEastAsia"/>
                <w:i/>
                <w:color w:val="FF0000"/>
                <w:szCs w:val="44"/>
              </w:rPr>
              <w:t>、价格等</w:t>
            </w:r>
            <w:r>
              <w:rPr>
                <w:rFonts w:hint="eastAsia" w:asciiTheme="minorEastAsia" w:hAnsiTheme="minorEastAsia"/>
                <w:i/>
                <w:color w:val="FF0000"/>
                <w:szCs w:val="44"/>
              </w:rPr>
              <w:t>。</w:t>
            </w:r>
            <w:r>
              <w:rPr>
                <w:rFonts w:asciiTheme="minorEastAsia" w:hAnsiTheme="minorEastAsia"/>
                <w:i/>
                <w:color w:val="FF0000"/>
                <w:szCs w:val="44"/>
              </w:rPr>
              <w:t xml:space="preserve"> </w:t>
            </w:r>
          </w:p>
          <w:p>
            <w:pPr>
              <w:tabs>
                <w:tab w:val="left" w:pos="5140"/>
              </w:tabs>
              <w:rPr>
                <w:rFonts w:asciiTheme="minorEastAsia" w:hAnsi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（五）契约</w:t>
      </w:r>
      <w:r>
        <w:rPr>
          <w:rFonts w:asciiTheme="minorEastAsia" w:hAnsiTheme="minorEastAsia"/>
          <w:b/>
          <w:color w:val="000000" w:themeColor="text1"/>
          <w:szCs w:val="44"/>
          <w14:textFill>
            <w14:solidFill>
              <w14:schemeClr w14:val="tx1"/>
            </w14:solidFill>
          </w14:textFill>
        </w:rPr>
        <w:t>条款履行情况</w:t>
      </w:r>
    </w:p>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15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募集说明书</w:t>
            </w:r>
            <w:r>
              <w:rPr>
                <w:rFonts w:asciiTheme="minorEastAsia" w:hAnsiTheme="minorEastAsia"/>
                <w:i/>
                <w:color w:val="FF0000"/>
                <w:szCs w:val="44"/>
              </w:rPr>
              <w:t>中</w:t>
            </w:r>
            <w:r>
              <w:rPr>
                <w:rFonts w:hint="eastAsia" w:asciiTheme="minorEastAsia" w:hAnsiTheme="minorEastAsia"/>
                <w:i/>
                <w:color w:val="FF0000"/>
                <w:szCs w:val="44"/>
              </w:rPr>
              <w:t>约定了</w:t>
            </w:r>
            <w:r>
              <w:rPr>
                <w:rFonts w:asciiTheme="minorEastAsia" w:hAnsiTheme="minorEastAsia"/>
                <w:i/>
                <w:color w:val="FF0000"/>
                <w:szCs w:val="44"/>
              </w:rPr>
              <w:t>契约条款</w:t>
            </w:r>
            <w:r>
              <w:rPr>
                <w:rFonts w:hint="eastAsia" w:asciiTheme="minorEastAsia" w:hAnsiTheme="minorEastAsia"/>
                <w:i/>
                <w:color w:val="FF0000"/>
                <w:szCs w:val="44"/>
              </w:rPr>
              <w:t>的</w:t>
            </w:r>
            <w:r>
              <w:rPr>
                <w:rFonts w:asciiTheme="minorEastAsia" w:hAnsiTheme="minorEastAsia"/>
                <w:i/>
                <w:color w:val="FF0000"/>
                <w:szCs w:val="44"/>
              </w:rPr>
              <w:t>，请披露</w:t>
            </w:r>
            <w:r>
              <w:rPr>
                <w:rFonts w:hint="eastAsia" w:asciiTheme="minorEastAsia" w:hAnsiTheme="minorEastAsia"/>
                <w:i/>
                <w:color w:val="FF0000"/>
                <w:szCs w:val="44"/>
              </w:rPr>
              <w:t>契约条款的</w:t>
            </w:r>
            <w:r>
              <w:rPr>
                <w:rFonts w:asciiTheme="minorEastAsia" w:hAnsiTheme="minorEastAsia"/>
                <w:i/>
                <w:color w:val="FF0000"/>
                <w:szCs w:val="44"/>
              </w:rPr>
              <w:t>履行情况等</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tabs>
          <w:tab w:val="left" w:pos="5140"/>
        </w:tabs>
        <w:outlineLvl w:val="2"/>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（六）其他事项</w:t>
      </w:r>
    </w:p>
    <w:p>
      <w:pPr>
        <w:tabs>
          <w:tab w:val="left" w:pos="5140"/>
        </w:tabs>
        <w:outlineLvl w:val="2"/>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tbl>
      <w:tblPr>
        <w:tblStyle w:val="15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 xml:space="preserve"> </w:t>
            </w:r>
            <w:r>
              <w:rPr>
                <w:rFonts w:hint="eastAsia" w:asciiTheme="minorEastAsia" w:hAnsiTheme="minorEastAsia"/>
                <w:i/>
                <w:color w:val="FF0000"/>
                <w:szCs w:val="44"/>
              </w:rPr>
              <w:t>如</w:t>
            </w:r>
            <w:r>
              <w:rPr>
                <w:rFonts w:asciiTheme="minorEastAsia" w:hAnsiTheme="minorEastAsia"/>
                <w:i/>
                <w:color w:val="FF0000"/>
                <w:szCs w:val="44"/>
              </w:rPr>
              <w:t>上交所、深交</w:t>
            </w:r>
            <w:r>
              <w:rPr>
                <w:rFonts w:hint="eastAsia" w:asciiTheme="minorEastAsia" w:hAnsiTheme="minorEastAsia"/>
                <w:i/>
                <w:color w:val="FF0000"/>
                <w:szCs w:val="44"/>
              </w:rPr>
              <w:t>所等</w:t>
            </w:r>
            <w:r>
              <w:rPr>
                <w:rFonts w:asciiTheme="minorEastAsia" w:hAnsiTheme="minorEastAsia"/>
                <w:i/>
                <w:color w:val="FF0000"/>
                <w:szCs w:val="44"/>
              </w:rPr>
              <w:t>规定了相关其他</w:t>
            </w:r>
            <w:r>
              <w:rPr>
                <w:rFonts w:hint="eastAsia" w:asciiTheme="minorEastAsia" w:hAnsiTheme="minorEastAsia"/>
                <w:i/>
                <w:color w:val="FF0000"/>
                <w:szCs w:val="44"/>
              </w:rPr>
              <w:t>事项的</w:t>
            </w:r>
            <w:r>
              <w:rPr>
                <w:rFonts w:asciiTheme="minorEastAsia" w:hAnsiTheme="minorEastAsia"/>
                <w:i/>
                <w:color w:val="FF0000"/>
                <w:szCs w:val="44"/>
              </w:rPr>
              <w:t>，请披露相关情况</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七</w:t>
      </w:r>
      <w:r>
        <w:rPr>
          <w:rFonts w:ascii="微软雅黑" w:hAnsi="微软雅黑" w:eastAsia="微软雅黑"/>
          <w:b/>
          <w:bCs/>
          <w:sz w:val="22"/>
          <w:lang w:val="zh-CN"/>
        </w:rPr>
        <w:t>、</w:t>
      </w:r>
      <w:r>
        <w:rPr>
          <w:rFonts w:hint="eastAsia" w:ascii="微软雅黑" w:hAnsi="微软雅黑" w:eastAsia="微软雅黑"/>
          <w:b/>
          <w:bCs/>
          <w:sz w:val="22"/>
          <w:lang w:val="zh-CN"/>
        </w:rPr>
        <w:t>特别表决权安排情况</w:t>
      </w:r>
    </w:p>
    <w:p>
      <w:r>
        <w:rPr>
          <w:rFonts w:hint="eastAsia"/>
        </w:rPr>
        <w:t xml:space="preserve">□  适用  □  不适用  </w:t>
      </w:r>
    </w:p>
    <w:tbl>
      <w:tblPr>
        <w:tblStyle w:val="45"/>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：公司存在特别表决权股份的，应当披露特别表决权股份的持有和变化情况，以及相关投资者合法权益保护措施的实施情况。</w:t>
            </w:r>
          </w:p>
          <w:p>
            <w:pPr>
              <w:tabs>
                <w:tab w:val="left" w:pos="5140"/>
              </w:tabs>
              <w:rPr>
                <w:rFonts w:asciiTheme="minorEastAsia" w:hAnsiTheme="minorEastAsia" w:eastAsiaTheme="minorEastAsia"/>
                <w:color w:val="FF0000"/>
                <w:szCs w:val="44"/>
              </w:rPr>
            </w:pPr>
          </w:p>
        </w:tc>
      </w:tr>
    </w:tbl>
    <w:p>
      <w:pPr>
        <w:pStyle w:val="35"/>
        <w:jc w:val="both"/>
        <w:rPr>
          <w:rFonts w:ascii="黑体" w:hAnsi="黑体" w:eastAsia="黑体"/>
          <w:b w:val="0"/>
          <w:sz w:val="36"/>
          <w:szCs w:val="36"/>
        </w:rPr>
        <w:sectPr>
          <w:pgSz w:w="11907" w:h="16840"/>
          <w:pgMar w:top="1440" w:right="1797" w:bottom="1440" w:left="1797" w:header="851" w:footer="992" w:gutter="0"/>
          <w:cols w:space="425" w:num="1"/>
          <w:docGrid w:type="lines" w:linePitch="312" w:charSpace="0"/>
        </w:sectPr>
      </w:pPr>
    </w:p>
    <w:p>
      <w:pPr>
        <w:pStyle w:val="35"/>
        <w:jc w:val="both"/>
        <w:rPr>
          <w:rFonts w:ascii="黑体" w:hAnsi="黑体" w:eastAsia="黑体"/>
          <w:b w:val="0"/>
          <w:sz w:val="36"/>
          <w:szCs w:val="36"/>
        </w:rPr>
      </w:pPr>
      <w:r>
        <w:rPr>
          <w:rFonts w:hint="eastAsia" w:ascii="黑体" w:hAnsi="黑体" w:eastAsia="黑体"/>
          <w:b w:val="0"/>
          <w:sz w:val="36"/>
          <w:szCs w:val="36"/>
        </w:rPr>
        <w:t>第六节</w:t>
      </w:r>
      <w:r>
        <w:rPr>
          <w:rFonts w:ascii="黑体" w:hAnsi="黑体" w:eastAsia="黑体"/>
          <w:b w:val="0"/>
          <w:sz w:val="36"/>
          <w:szCs w:val="36"/>
        </w:rPr>
        <w:t xml:space="preserve"> </w:t>
      </w:r>
      <w:r>
        <w:rPr>
          <w:rFonts w:hint="eastAsia" w:ascii="黑体" w:hAnsi="黑体" w:eastAsia="黑体"/>
          <w:b w:val="0"/>
          <w:sz w:val="36"/>
          <w:szCs w:val="36"/>
        </w:rPr>
        <w:t>董事、监事、高级管理人员及核心员工变动情况</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一、董事、监事、高级管理人员情况</w:t>
      </w:r>
    </w:p>
    <w:p>
      <w:pPr>
        <w:pStyle w:val="5"/>
        <w:keepNext w:val="0"/>
        <w:keepLines w:val="0"/>
        <w:spacing w:line="377" w:lineRule="auto"/>
        <w:jc w:val="left"/>
        <w:rPr>
          <w:szCs w:val="22"/>
        </w:rPr>
      </w:pPr>
      <w:r>
        <w:rPr>
          <w:rFonts w:hint="eastAsia"/>
          <w:szCs w:val="22"/>
        </w:rPr>
        <w:t>（一）基本情况</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95"/>
        <w:gridCol w:w="1212"/>
        <w:gridCol w:w="844"/>
        <w:gridCol w:w="3030"/>
        <w:gridCol w:w="1719"/>
        <w:gridCol w:w="160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42" w:hRule="atLeast"/>
        </w:trPr>
        <w:tc>
          <w:tcPr>
            <w:tcW w:w="755" w:type="pct"/>
            <w:vMerge w:val="restart"/>
            <w:shd w:val="pct10" w:color="auto" w:fill="auto"/>
            <w:vAlign w:val="center"/>
          </w:tcPr>
          <w:p>
            <w:pPr>
              <w:pStyle w:val="68"/>
              <w:jc w:val="center"/>
              <w:rPr>
                <w:b/>
                <w:sz w:val="22"/>
              </w:rPr>
            </w:pPr>
            <w:r>
              <w:rPr>
                <w:rFonts w:hint="eastAsia"/>
                <w:b/>
                <w:sz w:val="22"/>
              </w:rPr>
              <w:t>姓名</w:t>
            </w:r>
          </w:p>
        </w:tc>
        <w:tc>
          <w:tcPr>
            <w:tcW w:w="612" w:type="pct"/>
            <w:vMerge w:val="restart"/>
            <w:shd w:val="pct10" w:color="auto" w:fill="auto"/>
            <w:vAlign w:val="center"/>
          </w:tcPr>
          <w:p>
            <w:pPr>
              <w:pStyle w:val="68"/>
              <w:jc w:val="center"/>
              <w:rPr>
                <w:b/>
                <w:sz w:val="22"/>
              </w:rPr>
            </w:pPr>
            <w:r>
              <w:rPr>
                <w:rFonts w:hint="eastAsia"/>
                <w:b/>
                <w:sz w:val="22"/>
              </w:rPr>
              <w:t>职务</w:t>
            </w:r>
          </w:p>
        </w:tc>
        <w:tc>
          <w:tcPr>
            <w:tcW w:w="426" w:type="pct"/>
            <w:vMerge w:val="restart"/>
            <w:shd w:val="pct10" w:color="auto" w:fill="auto"/>
            <w:vAlign w:val="center"/>
          </w:tcPr>
          <w:p>
            <w:pPr>
              <w:pStyle w:val="68"/>
              <w:jc w:val="center"/>
              <w:rPr>
                <w:b/>
                <w:sz w:val="22"/>
              </w:rPr>
            </w:pPr>
            <w:r>
              <w:rPr>
                <w:rFonts w:hint="eastAsia"/>
                <w:b/>
                <w:sz w:val="22"/>
              </w:rPr>
              <w:t>性别</w:t>
            </w:r>
          </w:p>
        </w:tc>
        <w:tc>
          <w:tcPr>
            <w:tcW w:w="1530" w:type="pct"/>
            <w:vMerge w:val="restart"/>
            <w:shd w:val="pct10" w:color="auto" w:fill="auto"/>
            <w:vAlign w:val="center"/>
          </w:tcPr>
          <w:p>
            <w:pPr>
              <w:pStyle w:val="68"/>
              <w:jc w:val="center"/>
              <w:rPr>
                <w:b/>
                <w:sz w:val="22"/>
              </w:rPr>
            </w:pPr>
            <w:r>
              <w:rPr>
                <w:rFonts w:hint="eastAsia"/>
                <w:b/>
                <w:sz w:val="22"/>
              </w:rPr>
              <w:t>出生</w:t>
            </w:r>
            <w:r>
              <w:rPr>
                <w:b/>
                <w:sz w:val="22"/>
              </w:rPr>
              <w:t>年月</w:t>
            </w:r>
          </w:p>
        </w:tc>
        <w:tc>
          <w:tcPr>
            <w:tcW w:w="1677" w:type="pct"/>
            <w:gridSpan w:val="2"/>
            <w:shd w:val="pct10" w:color="auto" w:fill="auto"/>
            <w:vAlign w:val="center"/>
          </w:tcPr>
          <w:p>
            <w:pPr>
              <w:pStyle w:val="68"/>
              <w:jc w:val="center"/>
              <w:rPr>
                <w:b/>
                <w:sz w:val="22"/>
              </w:rPr>
            </w:pPr>
            <w:r>
              <w:rPr>
                <w:rFonts w:hint="eastAsia"/>
                <w:b/>
                <w:sz w:val="22"/>
              </w:rPr>
              <w:t>任职</w:t>
            </w:r>
            <w:r>
              <w:rPr>
                <w:b/>
                <w:sz w:val="22"/>
              </w:rPr>
              <w:t>起止日期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42" w:hRule="atLeast"/>
        </w:trPr>
        <w:tc>
          <w:tcPr>
            <w:tcW w:w="755" w:type="pct"/>
            <w:vMerge w:val="continue"/>
            <w:shd w:val="pct10" w:color="auto" w:fill="auto"/>
            <w:vAlign w:val="center"/>
          </w:tcPr>
          <w:p>
            <w:pPr>
              <w:pStyle w:val="68"/>
              <w:jc w:val="center"/>
              <w:rPr>
                <w:b/>
                <w:sz w:val="22"/>
              </w:rPr>
            </w:pPr>
          </w:p>
        </w:tc>
        <w:tc>
          <w:tcPr>
            <w:tcW w:w="612" w:type="pct"/>
            <w:vMerge w:val="continue"/>
            <w:shd w:val="pct10" w:color="auto" w:fill="auto"/>
            <w:vAlign w:val="center"/>
          </w:tcPr>
          <w:p>
            <w:pPr>
              <w:pStyle w:val="68"/>
              <w:jc w:val="center"/>
              <w:rPr>
                <w:b/>
                <w:sz w:val="22"/>
              </w:rPr>
            </w:pPr>
          </w:p>
        </w:tc>
        <w:tc>
          <w:tcPr>
            <w:tcW w:w="426" w:type="pct"/>
            <w:vMerge w:val="continue"/>
            <w:shd w:val="pct10" w:color="auto" w:fill="auto"/>
            <w:vAlign w:val="center"/>
          </w:tcPr>
          <w:p>
            <w:pPr>
              <w:pStyle w:val="68"/>
              <w:jc w:val="center"/>
              <w:rPr>
                <w:b/>
                <w:sz w:val="22"/>
              </w:rPr>
            </w:pPr>
          </w:p>
        </w:tc>
        <w:tc>
          <w:tcPr>
            <w:tcW w:w="1530" w:type="pct"/>
            <w:vMerge w:val="continue"/>
            <w:shd w:val="pct10" w:color="auto" w:fill="auto"/>
            <w:vAlign w:val="center"/>
          </w:tcPr>
          <w:p>
            <w:pPr>
              <w:pStyle w:val="68"/>
              <w:jc w:val="center"/>
              <w:rPr>
                <w:b/>
                <w:sz w:val="22"/>
              </w:rPr>
            </w:pPr>
          </w:p>
        </w:tc>
        <w:tc>
          <w:tcPr>
            <w:tcW w:w="868" w:type="pct"/>
            <w:shd w:val="pct10" w:color="auto" w:fill="auto"/>
            <w:vAlign w:val="center"/>
          </w:tcPr>
          <w:p>
            <w:pPr>
              <w:pStyle w:val="68"/>
              <w:jc w:val="center"/>
              <w:rPr>
                <w:b/>
                <w:sz w:val="22"/>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809" w:type="pct"/>
            <w:shd w:val="pct10" w:color="auto" w:fill="auto"/>
            <w:vAlign w:val="center"/>
          </w:tcPr>
          <w:p>
            <w:pPr>
              <w:pStyle w:val="68"/>
              <w:jc w:val="center"/>
              <w:rPr>
                <w:b/>
                <w:sz w:val="22"/>
              </w:rPr>
            </w:pPr>
            <w:r>
              <w:rPr>
                <w:rFonts w:hint="eastAsia" w:asciiTheme="minorEastAsia" w:hAnsiTheme="minorEastAsia" w:eastAsiaTheme="minorEastAsia"/>
                <w:b/>
                <w:color w:val="000000" w:themeColor="text1"/>
                <w:szCs w:val="21"/>
                <w14:textFill>
                  <w14:solidFill>
                    <w14:schemeClr w14:val="tx1"/>
                  </w14:solidFill>
                </w14:textFill>
              </w:rPr>
              <w:t>终止日期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p>
        </w:tc>
        <w:tc>
          <w:tcPr>
            <w:tcW w:w="612" w:type="pct"/>
          </w:tcPr>
          <w:p>
            <w:pPr>
              <w:rPr>
                <w:sz w:val="22"/>
              </w:rPr>
            </w:pPr>
          </w:p>
        </w:tc>
        <w:tc>
          <w:tcPr>
            <w:tcW w:w="426" w:type="pct"/>
          </w:tcPr>
          <w:p>
            <w:pPr>
              <w:rPr>
                <w:sz w:val="22"/>
              </w:rPr>
            </w:pPr>
          </w:p>
        </w:tc>
        <w:tc>
          <w:tcPr>
            <w:tcW w:w="1530" w:type="pct"/>
          </w:tcPr>
          <w:p>
            <w:pPr>
              <w:jc w:val="center"/>
              <w:rPr>
                <w:sz w:val="22"/>
              </w:rPr>
            </w:pPr>
            <w:r>
              <w:rPr>
                <w:rFonts w:hint="eastAsia"/>
                <w:color w:val="FF0000"/>
                <w:sz w:val="22"/>
              </w:rPr>
              <w:t>日历控件，</w:t>
            </w:r>
            <w:r>
              <w:rPr>
                <w:color w:val="FF0000"/>
                <w:sz w:val="22"/>
              </w:rPr>
              <w:t>年</w:t>
            </w:r>
            <w:r>
              <w:rPr>
                <w:rFonts w:hint="eastAsia"/>
                <w:color w:val="FF0000"/>
                <w:sz w:val="22"/>
              </w:rPr>
              <w:t>/月</w:t>
            </w:r>
          </w:p>
        </w:tc>
        <w:tc>
          <w:tcPr>
            <w:tcW w:w="868" w:type="pct"/>
            <w:shd w:val="clear" w:color="auto" w:fill="auto"/>
          </w:tcPr>
          <w:p>
            <w:pPr>
              <w:rPr>
                <w:color w:val="FF0000"/>
                <w:sz w:val="22"/>
              </w:rPr>
            </w:pPr>
            <w:r>
              <w:rPr>
                <w:rFonts w:hint="eastAsia"/>
                <w:color w:val="FF0000"/>
                <w:sz w:val="22"/>
              </w:rPr>
              <w:t>日历控件</w:t>
            </w:r>
          </w:p>
        </w:tc>
        <w:tc>
          <w:tcPr>
            <w:tcW w:w="809" w:type="pct"/>
            <w:shd w:val="clear" w:color="auto" w:fill="auto"/>
          </w:tcPr>
          <w:p>
            <w:pPr>
              <w:rPr>
                <w:color w:val="FF0000"/>
                <w:sz w:val="22"/>
              </w:rPr>
            </w:pPr>
            <w:r>
              <w:rPr>
                <w:rFonts w:hint="eastAsia"/>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p>
        </w:tc>
        <w:tc>
          <w:tcPr>
            <w:tcW w:w="612" w:type="pct"/>
          </w:tcPr>
          <w:p>
            <w:pPr>
              <w:rPr>
                <w:sz w:val="22"/>
              </w:rPr>
            </w:pPr>
          </w:p>
        </w:tc>
        <w:tc>
          <w:tcPr>
            <w:tcW w:w="426" w:type="pct"/>
          </w:tcPr>
          <w:p>
            <w:pPr>
              <w:rPr>
                <w:sz w:val="22"/>
              </w:rPr>
            </w:pPr>
          </w:p>
        </w:tc>
        <w:tc>
          <w:tcPr>
            <w:tcW w:w="1530" w:type="pct"/>
            <w:vAlign w:val="center"/>
          </w:tcPr>
          <w:p>
            <w:pPr>
              <w:jc w:val="center"/>
              <w:rPr>
                <w:sz w:val="22"/>
              </w:rPr>
            </w:pPr>
          </w:p>
        </w:tc>
        <w:tc>
          <w:tcPr>
            <w:tcW w:w="868" w:type="pct"/>
            <w:shd w:val="clear" w:color="auto" w:fill="auto"/>
          </w:tcPr>
          <w:p>
            <w:pPr>
              <w:rPr>
                <w:sz w:val="22"/>
              </w:rPr>
            </w:pPr>
          </w:p>
        </w:tc>
        <w:tc>
          <w:tcPr>
            <w:tcW w:w="809"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55" w:type="pct"/>
          </w:tcPr>
          <w:p>
            <w:pPr>
              <w:jc w:val="center"/>
              <w:rPr>
                <w:sz w:val="22"/>
              </w:rPr>
            </w:pPr>
            <w:r>
              <w:rPr>
                <w:rFonts w:hint="eastAsia"/>
                <w:sz w:val="22"/>
              </w:rPr>
              <w:t>（自动添行</w:t>
            </w:r>
            <w:r>
              <w:rPr>
                <w:sz w:val="22"/>
              </w:rPr>
              <w:t>）</w:t>
            </w:r>
          </w:p>
        </w:tc>
        <w:tc>
          <w:tcPr>
            <w:tcW w:w="612" w:type="pct"/>
          </w:tcPr>
          <w:p>
            <w:pPr>
              <w:rPr>
                <w:sz w:val="22"/>
              </w:rPr>
            </w:pPr>
          </w:p>
        </w:tc>
        <w:tc>
          <w:tcPr>
            <w:tcW w:w="426" w:type="pct"/>
          </w:tcPr>
          <w:p>
            <w:pPr>
              <w:rPr>
                <w:sz w:val="22"/>
              </w:rPr>
            </w:pPr>
          </w:p>
        </w:tc>
        <w:tc>
          <w:tcPr>
            <w:tcW w:w="1530" w:type="pct"/>
            <w:vAlign w:val="center"/>
          </w:tcPr>
          <w:p>
            <w:pPr>
              <w:jc w:val="center"/>
              <w:rPr>
                <w:sz w:val="22"/>
              </w:rPr>
            </w:pPr>
          </w:p>
        </w:tc>
        <w:tc>
          <w:tcPr>
            <w:tcW w:w="868" w:type="pct"/>
            <w:shd w:val="clear" w:color="auto" w:fill="auto"/>
          </w:tcPr>
          <w:p>
            <w:pPr>
              <w:rPr>
                <w:sz w:val="22"/>
              </w:rPr>
            </w:pPr>
          </w:p>
        </w:tc>
        <w:tc>
          <w:tcPr>
            <w:tcW w:w="809"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shd w:val="clear" w:color="auto" w:fill="auto"/>
          </w:tcPr>
          <w:p>
            <w:pPr>
              <w:pStyle w:val="68"/>
              <w:jc w:val="center"/>
              <w:rPr>
                <w:b/>
                <w:sz w:val="22"/>
              </w:rPr>
            </w:pPr>
            <w:r>
              <w:rPr>
                <w:rFonts w:hint="eastAsia"/>
                <w:b/>
                <w:sz w:val="22"/>
              </w:rPr>
              <w:t>董事会</w:t>
            </w:r>
            <w:r>
              <w:rPr>
                <w:b/>
                <w:sz w:val="22"/>
              </w:rPr>
              <w:t>人数</w:t>
            </w: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tcPr>
          <w:p>
            <w:pPr>
              <w:pStyle w:val="68"/>
              <w:jc w:val="center"/>
              <w:rPr>
                <w:b/>
                <w:sz w:val="22"/>
              </w:rPr>
            </w:pPr>
            <w:r>
              <w:rPr>
                <w:rFonts w:hint="eastAsia"/>
                <w:b/>
                <w:sz w:val="22"/>
              </w:rPr>
              <w:t>监事会</w:t>
            </w:r>
            <w:r>
              <w:rPr>
                <w:b/>
                <w:sz w:val="22"/>
              </w:rPr>
              <w:t>人数</w:t>
            </w: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000" w:type="pct"/>
            <w:gridSpan w:val="6"/>
          </w:tcPr>
          <w:p>
            <w:pPr>
              <w:pStyle w:val="68"/>
              <w:jc w:val="center"/>
              <w:rPr>
                <w:b/>
                <w:sz w:val="22"/>
              </w:rPr>
            </w:pPr>
            <w:r>
              <w:rPr>
                <w:rFonts w:hint="eastAsia"/>
                <w:b/>
                <w:sz w:val="22"/>
              </w:rPr>
              <w:t>高级管理人员</w:t>
            </w:r>
            <w:r>
              <w:rPr>
                <w:b/>
                <w:sz w:val="22"/>
              </w:rPr>
              <w:t>人数：</w:t>
            </w: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董事</w:t>
      </w:r>
      <w:r>
        <w:rPr>
          <w:rFonts w:asciiTheme="minorEastAsia" w:hAnsiTheme="minorEastAsia" w:eastAsiaTheme="minorEastAsia"/>
          <w:b/>
          <w:color w:val="000000" w:themeColor="text1"/>
          <w:szCs w:val="21"/>
          <w14:textFill>
            <w14:solidFill>
              <w14:schemeClr w14:val="tx1"/>
            </w14:solidFill>
          </w14:textFill>
        </w:rPr>
        <w:t>、监事、高级管理人员</w:t>
      </w:r>
      <w:r>
        <w:rPr>
          <w:rFonts w:hint="eastAsia" w:asciiTheme="minorEastAsia" w:hAnsiTheme="minorEastAsia" w:eastAsiaTheme="minorEastAsia"/>
          <w:b/>
          <w:color w:val="000000" w:themeColor="text1"/>
          <w:szCs w:val="21"/>
          <w14:textFill>
            <w14:solidFill>
              <w14:schemeClr w14:val="tx1"/>
            </w14:solidFill>
          </w14:textFill>
        </w:rPr>
        <w:t>与股东</w:t>
      </w:r>
      <w:r>
        <w:rPr>
          <w:rFonts w:asciiTheme="minorEastAsia" w:hAnsiTheme="minorEastAsia" w:eastAsiaTheme="minorEastAsia"/>
          <w:b/>
          <w:color w:val="000000" w:themeColor="text1"/>
          <w:szCs w:val="21"/>
          <w14:textFill>
            <w14:solidFill>
              <w14:schemeClr w14:val="tx1"/>
            </w14:solidFill>
          </w14:textFill>
        </w:rPr>
        <w:t>之</w:t>
      </w:r>
      <w:r>
        <w:rPr>
          <w:rFonts w:hint="eastAsia" w:asciiTheme="minorEastAsia" w:hAnsiTheme="minorEastAsia" w:eastAsiaTheme="minorEastAsia"/>
          <w:b/>
          <w:color w:val="000000" w:themeColor="text1"/>
          <w:szCs w:val="21"/>
          <w14:textFill>
            <w14:solidFill>
              <w14:schemeClr w14:val="tx1"/>
            </w14:solidFill>
          </w14:textFill>
        </w:rPr>
        <w:t>间的</w:t>
      </w:r>
      <w:r>
        <w:rPr>
          <w:rFonts w:asciiTheme="minorEastAsia" w:hAnsiTheme="minorEastAsia" w:eastAsiaTheme="minorEastAsia"/>
          <w:b/>
          <w:color w:val="000000" w:themeColor="text1"/>
          <w:szCs w:val="21"/>
          <w14:textFill>
            <w14:solidFill>
              <w14:schemeClr w14:val="tx1"/>
            </w14:solidFill>
          </w14:textFill>
        </w:rPr>
        <w:t>关系：</w:t>
      </w:r>
    </w:p>
    <w:tbl>
      <w:tblPr>
        <w:tblStyle w:val="12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5"/>
        <w:keepNext w:val="0"/>
        <w:keepLines w:val="0"/>
        <w:spacing w:line="377" w:lineRule="auto"/>
        <w:jc w:val="left"/>
        <w:rPr>
          <w:szCs w:val="22"/>
        </w:rPr>
      </w:pPr>
      <w:r>
        <w:rPr>
          <w:rFonts w:hint="eastAsia"/>
          <w:szCs w:val="22"/>
        </w:rPr>
        <w:t>（二）变动情况</w:t>
      </w:r>
    </w:p>
    <w:p>
      <w:pPr>
        <w:rPr>
          <w:b/>
        </w:rPr>
      </w:pPr>
      <w:r>
        <w:rPr>
          <w:rFonts w:hint="eastAsia"/>
          <w:b/>
        </w:rPr>
        <w:t>报告期内董事、监事、高级管理人员变动详细情况</w:t>
      </w:r>
      <w:r>
        <w:rPr>
          <w:b/>
        </w:rPr>
        <w:t>：</w:t>
      </w:r>
    </w:p>
    <w:p>
      <w:r>
        <w:rPr>
          <w:rFonts w:hint="eastAsia"/>
        </w:rPr>
        <w:t>□  适用  □  不适用</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54"/>
        <w:gridCol w:w="1746"/>
        <w:gridCol w:w="2041"/>
        <w:gridCol w:w="2186"/>
        <w:gridCol w:w="232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shd w:val="pct10" w:color="auto" w:fill="auto"/>
            <w:vAlign w:val="center"/>
          </w:tcPr>
          <w:p>
            <w:pPr>
              <w:pStyle w:val="68"/>
              <w:jc w:val="center"/>
              <w:rPr>
                <w:b/>
                <w:sz w:val="22"/>
              </w:rPr>
            </w:pPr>
            <w:r>
              <w:rPr>
                <w:rFonts w:hint="eastAsia"/>
                <w:b/>
                <w:sz w:val="22"/>
              </w:rPr>
              <w:t>姓名</w:t>
            </w:r>
          </w:p>
        </w:tc>
        <w:tc>
          <w:tcPr>
            <w:tcW w:w="868" w:type="pct"/>
            <w:shd w:val="pct10" w:color="auto" w:fill="auto"/>
            <w:vAlign w:val="center"/>
          </w:tcPr>
          <w:p>
            <w:pPr>
              <w:pStyle w:val="68"/>
              <w:jc w:val="center"/>
              <w:rPr>
                <w:b/>
                <w:sz w:val="22"/>
              </w:rPr>
            </w:pPr>
            <w:r>
              <w:rPr>
                <w:rFonts w:hint="eastAsia"/>
                <w:b/>
                <w:sz w:val="22"/>
              </w:rPr>
              <w:t>期初职务</w:t>
            </w:r>
          </w:p>
        </w:tc>
        <w:tc>
          <w:tcPr>
            <w:tcW w:w="1015" w:type="pct"/>
            <w:shd w:val="pct10" w:color="auto" w:fill="auto"/>
            <w:vAlign w:val="center"/>
          </w:tcPr>
          <w:p>
            <w:pPr>
              <w:pStyle w:val="68"/>
              <w:jc w:val="center"/>
              <w:rPr>
                <w:b/>
                <w:sz w:val="22"/>
              </w:rPr>
            </w:pPr>
            <w:r>
              <w:rPr>
                <w:rFonts w:hint="eastAsia"/>
                <w:b/>
                <w:sz w:val="22"/>
              </w:rPr>
              <w:t>变动类型</w:t>
            </w:r>
          </w:p>
        </w:tc>
        <w:tc>
          <w:tcPr>
            <w:tcW w:w="1087" w:type="pct"/>
            <w:shd w:val="pct10" w:color="auto" w:fill="auto"/>
            <w:vAlign w:val="center"/>
          </w:tcPr>
          <w:p>
            <w:pPr>
              <w:pStyle w:val="68"/>
              <w:jc w:val="center"/>
              <w:rPr>
                <w:b/>
                <w:sz w:val="22"/>
              </w:rPr>
            </w:pPr>
            <w:r>
              <w:rPr>
                <w:rFonts w:hint="eastAsia"/>
                <w:b/>
                <w:sz w:val="22"/>
              </w:rPr>
              <w:t>期末职务</w:t>
            </w:r>
          </w:p>
        </w:tc>
        <w:tc>
          <w:tcPr>
            <w:tcW w:w="1158" w:type="pct"/>
            <w:shd w:val="pct10" w:color="auto" w:fill="auto"/>
            <w:vAlign w:val="center"/>
          </w:tcPr>
          <w:p>
            <w:pPr>
              <w:pStyle w:val="68"/>
              <w:jc w:val="center"/>
              <w:rPr>
                <w:b/>
                <w:sz w:val="22"/>
              </w:rPr>
            </w:pPr>
            <w:r>
              <w:rPr>
                <w:rFonts w:hint="eastAsia"/>
                <w:b/>
                <w:sz w:val="22"/>
              </w:rPr>
              <w:t>变动原因</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r>
              <w:rPr>
                <w:rFonts w:hint="eastAsia"/>
                <w:sz w:val="22"/>
              </w:rPr>
              <w:t>（新任/离任）</w:t>
            </w: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r>
              <w:rPr>
                <w:rFonts w:hint="eastAsia"/>
                <w:sz w:val="22"/>
              </w:rPr>
              <w:t>（自动添行）</w:t>
            </w: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bl>
    <w:p>
      <w:pPr>
        <w:pStyle w:val="5"/>
        <w:keepNext w:val="0"/>
        <w:keepLines w:val="0"/>
        <w:spacing w:line="377" w:lineRule="auto"/>
        <w:jc w:val="left"/>
        <w:rPr>
          <w:szCs w:val="22"/>
        </w:rPr>
      </w:pPr>
      <w:r>
        <w:rPr>
          <w:rFonts w:hint="eastAsia"/>
          <w:szCs w:val="22"/>
        </w:rPr>
        <w:t>（三）报告期内新任董事、监事、高级管理人员情况</w:t>
      </w:r>
      <w:r>
        <w:rPr>
          <w:szCs w:val="22"/>
        </w:rPr>
        <w:t xml:space="preserve"> </w:t>
      </w:r>
    </w:p>
    <w:p>
      <w:r>
        <w:rPr>
          <w:rFonts w:hint="eastAsia"/>
        </w:rPr>
        <w:t>□  适用  □  不适用</w:t>
      </w:r>
    </w:p>
    <w:p>
      <w:pPr>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1</w:t>
      </w:r>
      <w:r>
        <w:rPr>
          <w:rFonts w:hint="eastAsia" w:asciiTheme="minorEastAsia" w:hAnsiTheme="minorEastAsia" w:eastAsiaTheme="minorEastAsia"/>
          <w:b/>
          <w:color w:val="000000" w:themeColor="text1"/>
          <w:szCs w:val="44"/>
          <w14:textFill>
            <w14:solidFill>
              <w14:schemeClr w14:val="tx1"/>
            </w14:solidFill>
          </w14:textFill>
        </w:rPr>
        <w:t>、报告期内新任董事、监事、高级管理人员持股情况</w:t>
      </w:r>
    </w:p>
    <w:p>
      <w:r>
        <w:rPr>
          <w:rFonts w:hint="eastAsia"/>
        </w:rPr>
        <w:t>□  适用  □  不适用</w:t>
      </w:r>
    </w:p>
    <w:p>
      <w:pPr>
        <w:ind w:left="6300" w:firstLine="420"/>
        <w:jc w:val="right"/>
      </w:pPr>
      <w:r>
        <w:rPr>
          <w:rFonts w:hint="eastAsia"/>
        </w:rPr>
        <w:t>单位：股</w:t>
      </w:r>
    </w:p>
    <w:tbl>
      <w:tblPr>
        <w:tblStyle w:val="45"/>
        <w:tblW w:w="589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59"/>
        <w:gridCol w:w="1165"/>
        <w:gridCol w:w="1310"/>
        <w:gridCol w:w="1165"/>
        <w:gridCol w:w="1308"/>
        <w:gridCol w:w="1163"/>
        <w:gridCol w:w="1166"/>
        <w:gridCol w:w="131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shd w:val="pct10" w:color="auto" w:fill="auto"/>
            <w:vAlign w:val="center"/>
          </w:tcPr>
          <w:p>
            <w:pPr>
              <w:pStyle w:val="68"/>
              <w:jc w:val="center"/>
              <w:rPr>
                <w:b/>
                <w:sz w:val="22"/>
              </w:rPr>
            </w:pPr>
            <w:r>
              <w:rPr>
                <w:rFonts w:hint="eastAsia"/>
                <w:b/>
                <w:sz w:val="22"/>
              </w:rPr>
              <w:t>姓名</w:t>
            </w:r>
          </w:p>
        </w:tc>
        <w:tc>
          <w:tcPr>
            <w:tcW w:w="580" w:type="pct"/>
            <w:shd w:val="pct10" w:color="auto" w:fill="auto"/>
            <w:vAlign w:val="center"/>
          </w:tcPr>
          <w:p>
            <w:pPr>
              <w:pStyle w:val="68"/>
              <w:jc w:val="center"/>
              <w:rPr>
                <w:b/>
                <w:sz w:val="22"/>
              </w:rPr>
            </w:pPr>
            <w:r>
              <w:rPr>
                <w:rFonts w:hint="eastAsia"/>
                <w:b/>
                <w:sz w:val="22"/>
              </w:rPr>
              <w:t>职务</w:t>
            </w:r>
          </w:p>
        </w:tc>
        <w:tc>
          <w:tcPr>
            <w:tcW w:w="652" w:type="pct"/>
            <w:shd w:val="pct10" w:color="auto" w:fill="auto"/>
            <w:vAlign w:val="center"/>
          </w:tcPr>
          <w:p>
            <w:pPr>
              <w:pStyle w:val="68"/>
              <w:jc w:val="center"/>
              <w:rPr>
                <w:b/>
                <w:sz w:val="22"/>
              </w:rPr>
            </w:pPr>
            <w:r>
              <w:rPr>
                <w:rFonts w:hint="eastAsia"/>
                <w:b/>
                <w:sz w:val="22"/>
              </w:rPr>
              <w:t>期初持普通股股数</w:t>
            </w:r>
          </w:p>
        </w:tc>
        <w:tc>
          <w:tcPr>
            <w:tcW w:w="580" w:type="pct"/>
            <w:shd w:val="pct10" w:color="auto" w:fill="auto"/>
            <w:vAlign w:val="center"/>
          </w:tcPr>
          <w:p>
            <w:pPr>
              <w:pStyle w:val="68"/>
              <w:jc w:val="center"/>
              <w:rPr>
                <w:b/>
                <w:sz w:val="22"/>
              </w:rPr>
            </w:pPr>
            <w:r>
              <w:rPr>
                <w:rFonts w:hint="eastAsia"/>
                <w:b/>
                <w:sz w:val="22"/>
              </w:rPr>
              <w:t>数量变动</w:t>
            </w:r>
          </w:p>
        </w:tc>
        <w:tc>
          <w:tcPr>
            <w:tcW w:w="651" w:type="pct"/>
            <w:shd w:val="pct10" w:color="auto" w:fill="auto"/>
            <w:vAlign w:val="center"/>
          </w:tcPr>
          <w:p>
            <w:pPr>
              <w:pStyle w:val="68"/>
              <w:jc w:val="center"/>
              <w:rPr>
                <w:b/>
                <w:sz w:val="22"/>
              </w:rPr>
            </w:pPr>
            <w:r>
              <w:rPr>
                <w:rFonts w:hint="eastAsia"/>
                <w:b/>
                <w:sz w:val="22"/>
              </w:rPr>
              <w:t>期末持普通股股数</w:t>
            </w:r>
          </w:p>
        </w:tc>
        <w:tc>
          <w:tcPr>
            <w:tcW w:w="579" w:type="pct"/>
            <w:shd w:val="pct10" w:color="auto" w:fill="auto"/>
            <w:vAlign w:val="center"/>
          </w:tcPr>
          <w:p>
            <w:pPr>
              <w:pStyle w:val="68"/>
              <w:jc w:val="center"/>
              <w:rPr>
                <w:b/>
                <w:sz w:val="22"/>
              </w:rPr>
            </w:pPr>
            <w:r>
              <w:rPr>
                <w:rFonts w:hint="eastAsia"/>
                <w:b/>
                <w:sz w:val="22"/>
              </w:rPr>
              <w:t>期末普通股持股比例</w:t>
            </w:r>
          </w:p>
        </w:tc>
        <w:tc>
          <w:tcPr>
            <w:tcW w:w="580" w:type="pct"/>
            <w:shd w:val="pct10" w:color="auto" w:fill="auto"/>
            <w:vAlign w:val="center"/>
          </w:tcPr>
          <w:p>
            <w:pPr>
              <w:pStyle w:val="68"/>
              <w:jc w:val="center"/>
              <w:rPr>
                <w:b/>
                <w:sz w:val="22"/>
              </w:rPr>
            </w:pPr>
            <w:r>
              <w:rPr>
                <w:rFonts w:hint="eastAsia"/>
                <w:b/>
                <w:sz w:val="22"/>
              </w:rPr>
              <w:t>期末持有股票期权数量</w:t>
            </w:r>
          </w:p>
        </w:tc>
        <w:tc>
          <w:tcPr>
            <w:tcW w:w="652" w:type="pct"/>
            <w:shd w:val="pct10" w:color="auto" w:fill="auto"/>
          </w:tcPr>
          <w:p>
            <w:pPr>
              <w:pStyle w:val="68"/>
              <w:jc w:val="center"/>
              <w:rPr>
                <w:b/>
                <w:sz w:val="22"/>
              </w:rPr>
            </w:pPr>
            <w:r>
              <w:rPr>
                <w:rFonts w:hint="eastAsia"/>
                <w:b/>
                <w:sz w:val="22"/>
              </w:rPr>
              <w:t>期末</w:t>
            </w:r>
            <w:r>
              <w:rPr>
                <w:b/>
                <w:sz w:val="22"/>
              </w:rPr>
              <w:t>被</w:t>
            </w:r>
            <w:r>
              <w:rPr>
                <w:rFonts w:hint="eastAsia"/>
                <w:b/>
                <w:sz w:val="22"/>
              </w:rPr>
              <w:t>授予的限制性股票数量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tcPr>
          <w:p>
            <w:pPr>
              <w:jc w:val="center"/>
              <w:rPr>
                <w:sz w:val="22"/>
              </w:rPr>
            </w:pPr>
          </w:p>
        </w:tc>
        <w:tc>
          <w:tcPr>
            <w:tcW w:w="580" w:type="pct"/>
          </w:tcPr>
          <w:p>
            <w:pPr>
              <w:rPr>
                <w:sz w:val="22"/>
              </w:rPr>
            </w:pPr>
          </w:p>
        </w:tc>
        <w:tc>
          <w:tcPr>
            <w:tcW w:w="652" w:type="pct"/>
          </w:tcPr>
          <w:p>
            <w:pPr>
              <w:rPr>
                <w:sz w:val="22"/>
              </w:rPr>
            </w:pPr>
          </w:p>
        </w:tc>
        <w:tc>
          <w:tcPr>
            <w:tcW w:w="580" w:type="pct"/>
          </w:tcPr>
          <w:p>
            <w:pPr>
              <w:rPr>
                <w:sz w:val="22"/>
              </w:rPr>
            </w:pPr>
          </w:p>
        </w:tc>
        <w:tc>
          <w:tcPr>
            <w:tcW w:w="651" w:type="pct"/>
          </w:tcPr>
          <w:p>
            <w:pPr>
              <w:rPr>
                <w:sz w:val="22"/>
              </w:rPr>
            </w:pPr>
          </w:p>
        </w:tc>
        <w:tc>
          <w:tcPr>
            <w:tcW w:w="579" w:type="pct"/>
            <w:shd w:val="clear" w:color="auto" w:fill="auto"/>
          </w:tcPr>
          <w:p>
            <w:pPr>
              <w:rPr>
                <w:sz w:val="22"/>
              </w:rPr>
            </w:pPr>
          </w:p>
        </w:tc>
        <w:tc>
          <w:tcPr>
            <w:tcW w:w="580" w:type="pct"/>
          </w:tcPr>
          <w:p>
            <w:pPr>
              <w:rPr>
                <w:sz w:val="22"/>
              </w:rPr>
            </w:pPr>
          </w:p>
        </w:tc>
        <w:tc>
          <w:tcPr>
            <w:tcW w:w="65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tcPr>
          <w:p>
            <w:pPr>
              <w:jc w:val="center"/>
              <w:rPr>
                <w:sz w:val="22"/>
              </w:rPr>
            </w:pPr>
          </w:p>
        </w:tc>
        <w:tc>
          <w:tcPr>
            <w:tcW w:w="580" w:type="pct"/>
          </w:tcPr>
          <w:p>
            <w:pPr>
              <w:rPr>
                <w:sz w:val="22"/>
              </w:rPr>
            </w:pPr>
          </w:p>
        </w:tc>
        <w:tc>
          <w:tcPr>
            <w:tcW w:w="652" w:type="pct"/>
          </w:tcPr>
          <w:p>
            <w:pPr>
              <w:rPr>
                <w:sz w:val="22"/>
              </w:rPr>
            </w:pPr>
          </w:p>
        </w:tc>
        <w:tc>
          <w:tcPr>
            <w:tcW w:w="580" w:type="pct"/>
          </w:tcPr>
          <w:p>
            <w:pPr>
              <w:rPr>
                <w:sz w:val="22"/>
              </w:rPr>
            </w:pPr>
          </w:p>
        </w:tc>
        <w:tc>
          <w:tcPr>
            <w:tcW w:w="651" w:type="pct"/>
          </w:tcPr>
          <w:p>
            <w:pPr>
              <w:rPr>
                <w:sz w:val="22"/>
              </w:rPr>
            </w:pPr>
          </w:p>
        </w:tc>
        <w:tc>
          <w:tcPr>
            <w:tcW w:w="579" w:type="pct"/>
            <w:shd w:val="clear" w:color="auto" w:fill="auto"/>
          </w:tcPr>
          <w:p>
            <w:pPr>
              <w:rPr>
                <w:sz w:val="22"/>
              </w:rPr>
            </w:pPr>
          </w:p>
        </w:tc>
        <w:tc>
          <w:tcPr>
            <w:tcW w:w="580" w:type="pct"/>
          </w:tcPr>
          <w:p>
            <w:pPr>
              <w:rPr>
                <w:sz w:val="22"/>
              </w:rPr>
            </w:pPr>
          </w:p>
        </w:tc>
        <w:tc>
          <w:tcPr>
            <w:tcW w:w="65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26" w:type="pct"/>
          </w:tcPr>
          <w:p>
            <w:pPr>
              <w:jc w:val="center"/>
              <w:rPr>
                <w:sz w:val="22"/>
              </w:rPr>
            </w:pPr>
            <w:r>
              <w:rPr>
                <w:rFonts w:hint="eastAsia"/>
                <w:sz w:val="22"/>
              </w:rPr>
              <w:t>（自动添行）</w:t>
            </w:r>
          </w:p>
        </w:tc>
        <w:tc>
          <w:tcPr>
            <w:tcW w:w="580" w:type="pct"/>
          </w:tcPr>
          <w:p>
            <w:pPr>
              <w:rPr>
                <w:sz w:val="22"/>
              </w:rPr>
            </w:pPr>
          </w:p>
        </w:tc>
        <w:tc>
          <w:tcPr>
            <w:tcW w:w="652" w:type="pct"/>
          </w:tcPr>
          <w:p>
            <w:pPr>
              <w:rPr>
                <w:sz w:val="22"/>
              </w:rPr>
            </w:pPr>
          </w:p>
        </w:tc>
        <w:tc>
          <w:tcPr>
            <w:tcW w:w="580" w:type="pct"/>
          </w:tcPr>
          <w:p>
            <w:pPr>
              <w:rPr>
                <w:sz w:val="22"/>
              </w:rPr>
            </w:pPr>
          </w:p>
        </w:tc>
        <w:tc>
          <w:tcPr>
            <w:tcW w:w="651" w:type="pct"/>
          </w:tcPr>
          <w:p>
            <w:pPr>
              <w:rPr>
                <w:sz w:val="22"/>
              </w:rPr>
            </w:pPr>
          </w:p>
        </w:tc>
        <w:tc>
          <w:tcPr>
            <w:tcW w:w="579" w:type="pct"/>
            <w:shd w:val="clear" w:color="auto" w:fill="auto"/>
          </w:tcPr>
          <w:p>
            <w:pPr>
              <w:rPr>
                <w:sz w:val="22"/>
              </w:rPr>
            </w:pPr>
          </w:p>
        </w:tc>
        <w:tc>
          <w:tcPr>
            <w:tcW w:w="580" w:type="pct"/>
          </w:tcPr>
          <w:p>
            <w:pPr>
              <w:rPr>
                <w:sz w:val="22"/>
              </w:rPr>
            </w:pPr>
          </w:p>
        </w:tc>
        <w:tc>
          <w:tcPr>
            <w:tcW w:w="65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26" w:type="pct"/>
          </w:tcPr>
          <w:p>
            <w:pPr>
              <w:pStyle w:val="68"/>
              <w:jc w:val="center"/>
              <w:rPr>
                <w:b/>
                <w:sz w:val="22"/>
              </w:rPr>
            </w:pPr>
            <w:r>
              <w:rPr>
                <w:rFonts w:hint="eastAsia"/>
                <w:b/>
                <w:sz w:val="22"/>
              </w:rPr>
              <w:t>合计</w:t>
            </w:r>
          </w:p>
        </w:tc>
        <w:tc>
          <w:tcPr>
            <w:tcW w:w="580" w:type="pct"/>
          </w:tcPr>
          <w:p>
            <w:pPr>
              <w:rPr>
                <w:sz w:val="22"/>
              </w:rPr>
            </w:pPr>
          </w:p>
        </w:tc>
        <w:tc>
          <w:tcPr>
            <w:tcW w:w="652" w:type="pct"/>
          </w:tcPr>
          <w:p>
            <w:pPr>
              <w:rPr>
                <w:sz w:val="22"/>
              </w:rPr>
            </w:pPr>
          </w:p>
        </w:tc>
        <w:tc>
          <w:tcPr>
            <w:tcW w:w="580" w:type="pct"/>
          </w:tcPr>
          <w:p>
            <w:pPr>
              <w:jc w:val="center"/>
              <w:rPr>
                <w:sz w:val="22"/>
              </w:rPr>
            </w:pPr>
            <w:r>
              <w:rPr>
                <w:sz w:val="22"/>
              </w:rPr>
              <w:t>-</w:t>
            </w:r>
          </w:p>
        </w:tc>
        <w:tc>
          <w:tcPr>
            <w:tcW w:w="651" w:type="pct"/>
          </w:tcPr>
          <w:p>
            <w:pPr>
              <w:rPr>
                <w:sz w:val="22"/>
              </w:rPr>
            </w:pPr>
          </w:p>
        </w:tc>
        <w:tc>
          <w:tcPr>
            <w:tcW w:w="579" w:type="pct"/>
            <w:shd w:val="clear" w:color="auto" w:fill="auto"/>
          </w:tcPr>
          <w:p>
            <w:pPr>
              <w:rPr>
                <w:sz w:val="22"/>
              </w:rPr>
            </w:pPr>
          </w:p>
        </w:tc>
        <w:tc>
          <w:tcPr>
            <w:tcW w:w="580" w:type="pct"/>
          </w:tcPr>
          <w:p>
            <w:pPr>
              <w:rPr>
                <w:sz w:val="22"/>
              </w:rPr>
            </w:pPr>
          </w:p>
        </w:tc>
        <w:tc>
          <w:tcPr>
            <w:tcW w:w="652" w:type="pct"/>
          </w:tcPr>
          <w:p>
            <w:pPr>
              <w:rPr>
                <w:sz w:val="22"/>
              </w:rPr>
            </w:pPr>
          </w:p>
        </w:tc>
      </w:tr>
    </w:tbl>
    <w:p>
      <w:pPr>
        <w:tabs>
          <w:tab w:val="left" w:pos="5140"/>
        </w:tabs>
      </w:pPr>
      <w:r>
        <w:rPr>
          <w:rFonts w:hint="eastAsia" w:asciiTheme="minorEastAsia" w:hAnsiTheme="minorEastAsia" w:eastAsiaTheme="minorEastAsia"/>
          <w:b/>
          <w:color w:val="000000" w:themeColor="text1"/>
          <w:szCs w:val="21"/>
          <w14:textFill>
            <w14:solidFill>
              <w14:schemeClr w14:val="tx1"/>
            </w14:solidFill>
          </w14:textFill>
        </w:rPr>
        <w:t>2、报告期</w:t>
      </w:r>
      <w:r>
        <w:rPr>
          <w:rFonts w:asciiTheme="minorEastAsia" w:hAnsiTheme="minorEastAsia" w:eastAsiaTheme="minorEastAsia"/>
          <w:b/>
          <w:color w:val="000000" w:themeColor="text1"/>
          <w:szCs w:val="21"/>
          <w14:textFill>
            <w14:solidFill>
              <w14:schemeClr w14:val="tx1"/>
            </w14:solidFill>
          </w14:textFill>
        </w:rPr>
        <w:t>内新任董事、监事、高级管理人员</w:t>
      </w:r>
      <w:r>
        <w:rPr>
          <w:rFonts w:hint="eastAsia"/>
          <w:b/>
        </w:rPr>
        <w:t>的主要工作经历等情况</w:t>
      </w:r>
      <w:r>
        <w:rPr>
          <w:rFonts w:asciiTheme="minorEastAsia" w:hAnsiTheme="minorEastAsia" w:eastAsiaTheme="minorEastAsia"/>
          <w:b/>
          <w:color w:val="000000" w:themeColor="text1"/>
          <w:szCs w:val="21"/>
          <w14:textFill>
            <w14:solidFill>
              <w14:schemeClr w14:val="tx1"/>
            </w14:solidFill>
          </w14:textFill>
        </w:rPr>
        <w:t>：</w:t>
      </w:r>
    </w:p>
    <w:tbl>
      <w:tblPr>
        <w:tblStyle w:val="12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tabs>
          <w:tab w:val="left" w:pos="5140"/>
        </w:tabs>
        <w:outlineLvl w:val="2"/>
      </w:pPr>
      <w:r>
        <w:rPr>
          <w:rFonts w:hint="eastAsia" w:asciiTheme="minorEastAsia" w:hAnsiTheme="minorEastAsia" w:eastAsiaTheme="minorEastAsia"/>
          <w:b/>
          <w:color w:val="000000" w:themeColor="text1"/>
          <w:szCs w:val="44"/>
          <w14:textFill>
            <w14:solidFill>
              <w14:schemeClr w14:val="tx1"/>
            </w14:solidFill>
          </w14:textFill>
        </w:rPr>
        <w:t>（</w:t>
      </w:r>
      <w:r>
        <w:rPr>
          <w:rFonts w:hint="eastAsia"/>
          <w:b/>
        </w:rPr>
        <w:t>四）董事</w:t>
      </w:r>
      <w:r>
        <w:rPr>
          <w:b/>
        </w:rPr>
        <w:t>、高级管理人员的</w:t>
      </w:r>
      <w:r>
        <w:rPr>
          <w:rFonts w:hint="eastAsia"/>
          <w:b/>
        </w:rPr>
        <w:t>股权激励情况</w:t>
      </w:r>
    </w:p>
    <w:p>
      <w:r>
        <w:rPr>
          <w:rFonts w:hint="eastAsia"/>
        </w:rPr>
        <w:t>□  适用  □  不适用</w:t>
      </w:r>
    </w:p>
    <w:p>
      <w:pPr>
        <w:ind w:left="6300" w:firstLine="420"/>
        <w:jc w:val="right"/>
      </w:pPr>
      <w:r>
        <w:rPr>
          <w:rFonts w:hint="eastAsia"/>
        </w:rPr>
        <w:t>单位：股</w:t>
      </w:r>
    </w:p>
    <w:tbl>
      <w:tblPr>
        <w:tblStyle w:val="45"/>
        <w:tblW w:w="590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21"/>
        <w:gridCol w:w="1115"/>
        <w:gridCol w:w="1304"/>
        <w:gridCol w:w="1304"/>
        <w:gridCol w:w="1304"/>
        <w:gridCol w:w="1304"/>
        <w:gridCol w:w="1305"/>
        <w:gridCol w:w="130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554"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未解锁股份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可行权股份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行权价（元/股）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报告期末市价（元</w:t>
            </w:r>
            <w:r>
              <w:rPr>
                <w:rFonts w:asciiTheme="minorEastAsia" w:hAnsiTheme="minorEastAsia"/>
                <w:b/>
                <w:color w:val="000000" w:themeColor="text1"/>
                <w:sz w:val="22"/>
                <w14:textFill>
                  <w14:solidFill>
                    <w14:schemeClr w14:val="tx1"/>
                  </w14:solidFill>
                </w14:textFill>
              </w:rPr>
              <w:t>/股</w:t>
            </w:r>
            <w:r>
              <w:rPr>
                <w:rFonts w:hint="eastAsia"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57" w:type="pct"/>
          </w:tcPr>
          <w:p>
            <w:pPr>
              <w:jc w:val="center"/>
              <w:rPr>
                <w:sz w:val="22"/>
              </w:rPr>
            </w:pPr>
            <w:r>
              <w:rPr>
                <w:rFonts w:hint="eastAsia"/>
                <w:sz w:val="22"/>
              </w:rPr>
              <w:t>（自动添行）</w:t>
            </w: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clear" w:color="auto" w:fill="D8D8D8" w:themeFill="background1" w:themeFillShade="D9"/>
          </w:tcPr>
          <w:p>
            <w:pPr>
              <w:jc w:val="center"/>
              <w:rPr>
                <w:b/>
                <w:sz w:val="22"/>
              </w:rPr>
            </w:pPr>
            <w:r>
              <w:rPr>
                <w:rFonts w:hint="eastAsia"/>
                <w:b/>
                <w:sz w:val="22"/>
              </w:rPr>
              <w:t>合计</w:t>
            </w:r>
          </w:p>
        </w:tc>
        <w:tc>
          <w:tcPr>
            <w:tcW w:w="554"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p>
        </w:tc>
        <w:tc>
          <w:tcPr>
            <w:tcW w:w="648" w:type="pct"/>
            <w:shd w:val="clear" w:color="auto" w:fill="D8D8D8" w:themeFill="background1" w:themeFillShade="D9"/>
          </w:tcPr>
          <w:p>
            <w:pPr>
              <w:rPr>
                <w:b/>
                <w:sz w:val="22"/>
              </w:rPr>
            </w:pPr>
            <w:r>
              <w:rPr>
                <w:rFonts w:hint="eastAsia"/>
                <w:b/>
                <w:sz w:val="22"/>
              </w:rPr>
              <w:t>-</w:t>
            </w:r>
          </w:p>
        </w:tc>
        <w:tc>
          <w:tcPr>
            <w:tcW w:w="648" w:type="pct"/>
            <w:shd w:val="clear" w:color="auto" w:fill="D8D8D8" w:themeFill="background1" w:themeFillShade="D9"/>
          </w:tcPr>
          <w:p>
            <w:pPr>
              <w:rPr>
                <w:b/>
                <w:sz w:val="22"/>
              </w:rPr>
            </w:pPr>
            <w:r>
              <w:rPr>
                <w:rFonts w:hint="eastAsia"/>
                <w:b/>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r>
              <w:rPr>
                <w:rFonts w:hint="eastAsia"/>
                <w:sz w:val="22"/>
              </w:rPr>
              <w:t>备注（如有）</w:t>
            </w:r>
          </w:p>
        </w:tc>
        <w:tc>
          <w:tcPr>
            <w:tcW w:w="4443" w:type="pct"/>
            <w:gridSpan w:val="7"/>
          </w:tcPr>
          <w:p>
            <w:pPr>
              <w:rPr>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二、员工情况</w:t>
      </w:r>
    </w:p>
    <w:p>
      <w:pPr>
        <w:pStyle w:val="5"/>
        <w:keepNext w:val="0"/>
        <w:keepLines w:val="0"/>
        <w:spacing w:line="377" w:lineRule="auto"/>
        <w:jc w:val="left"/>
        <w:rPr>
          <w:szCs w:val="22"/>
        </w:rPr>
      </w:pPr>
      <w:r>
        <w:rPr>
          <w:rFonts w:hint="eastAsia"/>
          <w:szCs w:val="22"/>
        </w:rPr>
        <w:t>（一）在职员工（公司及控股子公司）基本情况</w:t>
      </w:r>
    </w:p>
    <w:tbl>
      <w:tblPr>
        <w:tblStyle w:val="130"/>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6"/>
        <w:gridCol w:w="3118"/>
        <w:gridCol w:w="297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按工作性质</w:t>
            </w:r>
            <w:r>
              <w:rPr>
                <w:rFonts w:asciiTheme="minorEastAsia" w:hAnsiTheme="minorEastAsia"/>
                <w:b/>
                <w:color w:val="000000" w:themeColor="text1"/>
                <w:sz w:val="22"/>
                <w14:textFill>
                  <w14:solidFill>
                    <w14:schemeClr w14:val="tx1"/>
                  </w14:solidFill>
                </w14:textFill>
              </w:rPr>
              <w:t>分</w:t>
            </w:r>
            <w:r>
              <w:rPr>
                <w:rFonts w:hint="eastAsia" w:asciiTheme="minorEastAsia" w:hAnsiTheme="minorEastAsia"/>
                <w:b/>
                <w:color w:val="000000" w:themeColor="text1"/>
                <w:sz w:val="22"/>
                <w14:textFill>
                  <w14:solidFill>
                    <w14:schemeClr w14:val="tx1"/>
                  </w14:solidFill>
                </w14:textFill>
              </w:rPr>
              <w:t>类</w:t>
            </w:r>
          </w:p>
        </w:tc>
        <w:tc>
          <w:tcPr>
            <w:tcW w:w="311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297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977"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977"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977"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977"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977"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3118"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2977" w:type="dxa"/>
          </w:tcPr>
          <w:p>
            <w:pPr>
              <w:tabs>
                <w:tab w:val="left" w:pos="5140"/>
              </w:tabs>
              <w:jc w:val="center"/>
              <w:rPr>
                <w:rFonts w:asciiTheme="minorEastAsia" w:hAnsi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i/>
          <w:color w:val="FF0000"/>
          <w:szCs w:val="21"/>
        </w:rPr>
      </w:pPr>
      <w:r>
        <w:rPr>
          <w:rFonts w:asciiTheme="minorEastAsia" w:hAnsiTheme="minorEastAsia" w:eastAsiaTheme="minorEastAsia"/>
          <w:i/>
          <w:color w:val="FF0000"/>
          <w:szCs w:val="21"/>
        </w:rPr>
        <w:t>注</w:t>
      </w:r>
      <w:r>
        <w:rPr>
          <w:rFonts w:hint="eastAsia" w:asciiTheme="minorEastAsia" w:hAnsiTheme="minorEastAsia" w:eastAsiaTheme="minorEastAsia"/>
          <w:i/>
          <w:color w:val="FF0000"/>
          <w:szCs w:val="21"/>
        </w:rPr>
        <w:t>：</w:t>
      </w:r>
      <w:r>
        <w:rPr>
          <w:rFonts w:asciiTheme="minorEastAsia" w:hAnsiTheme="minorEastAsia" w:eastAsiaTheme="minorEastAsia"/>
          <w:i/>
          <w:color w:val="FF0000"/>
          <w:szCs w:val="21"/>
        </w:rPr>
        <w:t>可以分类为</w:t>
      </w:r>
      <w:r>
        <w:rPr>
          <w:rFonts w:hint="eastAsia" w:asciiTheme="minorEastAsia" w:hAnsiTheme="minorEastAsia" w:eastAsiaTheme="minorEastAsia"/>
          <w:i/>
          <w:color w:val="FF0000"/>
          <w:szCs w:val="21"/>
        </w:rPr>
        <w:t>：管理人员、生产人员、销售人员、技术人员、财务人员、行政</w:t>
      </w:r>
      <w:r>
        <w:rPr>
          <w:rFonts w:asciiTheme="minorEastAsia" w:hAnsiTheme="minorEastAsia" w:eastAsiaTheme="minorEastAsia"/>
          <w:i/>
          <w:color w:val="FF0000"/>
          <w:szCs w:val="21"/>
        </w:rPr>
        <w:t>人员</w:t>
      </w:r>
      <w:r>
        <w:rPr>
          <w:rFonts w:hint="eastAsia" w:asciiTheme="minorEastAsia" w:hAnsiTheme="minorEastAsia" w:eastAsiaTheme="minorEastAsia"/>
          <w:i/>
          <w:color w:val="FF0000"/>
          <w:szCs w:val="21"/>
        </w:rPr>
        <w:t>等。</w:t>
      </w:r>
    </w:p>
    <w:p>
      <w:pPr>
        <w:pStyle w:val="5"/>
        <w:keepNext w:val="0"/>
        <w:keepLines w:val="0"/>
        <w:spacing w:line="377" w:lineRule="auto"/>
        <w:jc w:val="left"/>
        <w:rPr>
          <w:b w:val="0"/>
          <w:szCs w:val="22"/>
        </w:rPr>
      </w:pPr>
      <w:r>
        <w:rPr>
          <w:rFonts w:hint="eastAsia"/>
          <w:szCs w:val="22"/>
        </w:rPr>
        <w:t>（二</w:t>
      </w:r>
      <w:r>
        <w:rPr>
          <w:szCs w:val="22"/>
        </w:rPr>
        <w:t>）</w:t>
      </w:r>
      <w:r>
        <w:rPr>
          <w:rFonts w:hint="eastAsia"/>
          <w:szCs w:val="22"/>
        </w:rPr>
        <w:t>核心员工（公司</w:t>
      </w:r>
      <w:r>
        <w:rPr>
          <w:szCs w:val="22"/>
        </w:rPr>
        <w:t>及</w:t>
      </w:r>
      <w:r>
        <w:rPr>
          <w:rFonts w:hint="eastAsia"/>
          <w:szCs w:val="22"/>
        </w:rPr>
        <w:t>控股</w:t>
      </w:r>
      <w:r>
        <w:rPr>
          <w:szCs w:val="22"/>
        </w:rPr>
        <w:t>子公司）基本情况</w:t>
      </w:r>
      <w:r>
        <w:rPr>
          <w:rFonts w:hint="eastAsia"/>
          <w:szCs w:val="22"/>
        </w:rPr>
        <w:t>及</w:t>
      </w:r>
      <w:r>
        <w:rPr>
          <w:szCs w:val="22"/>
        </w:rPr>
        <w:t>变动情况</w:t>
      </w:r>
    </w:p>
    <w:p>
      <w:r>
        <w:rPr>
          <w:rFonts w:hint="eastAsia"/>
        </w:rPr>
        <w:t>□  适用  □  不适用</w:t>
      </w:r>
    </w:p>
    <w:tbl>
      <w:tblPr>
        <w:tblStyle w:val="45"/>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27"/>
        <w:gridCol w:w="1713"/>
        <w:gridCol w:w="1714"/>
        <w:gridCol w:w="1713"/>
        <w:gridCol w:w="171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shd w:val="pct10" w:color="auto" w:fill="auto"/>
            <w:vAlign w:val="center"/>
          </w:tcPr>
          <w:p>
            <w:pPr>
              <w:tabs>
                <w:tab w:val="left" w:pos="5140"/>
              </w:tabs>
              <w:ind w:firstLine="331" w:firstLineChars="150"/>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171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期初人数</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713"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核心员工</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w:t>
            </w:r>
            <w:r>
              <w:rPr>
                <w:rFonts w:asciiTheme="minorEastAsia" w:hAnsiTheme="minorEastAsia" w:eastAsiaTheme="minorEastAsia"/>
                <w:color w:val="000000" w:themeColor="text1"/>
                <w:sz w:val="22"/>
                <w14:textFill>
                  <w14:solidFill>
                    <w14:schemeClr w14:val="tx1"/>
                  </w14:solidFill>
                </w14:textFill>
              </w:rPr>
              <w:t>添行</w:t>
            </w:r>
            <w:r>
              <w:rPr>
                <w:rFonts w:hint="eastAsia" w:asciiTheme="minorEastAsia" w:hAnsiTheme="minorEastAsia" w:eastAsiaTheme="minorEastAsia"/>
                <w:color w:val="000000" w:themeColor="text1"/>
                <w:sz w:val="22"/>
                <w14:textFill>
                  <w14:solidFill>
                    <w14:schemeClr w14:val="tx1"/>
                  </w14:solidFill>
                </w14:textFill>
              </w:rPr>
              <w:t>）</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b/>
        </w:rPr>
      </w:pPr>
      <w:r>
        <w:rPr>
          <w:rFonts w:hint="eastAsia"/>
          <w:b/>
        </w:rPr>
        <w:t>核心员工</w:t>
      </w:r>
      <w:r>
        <w:rPr>
          <w:b/>
        </w:rPr>
        <w:t>的变动</w:t>
      </w:r>
      <w:r>
        <w:rPr>
          <w:rFonts w:hint="eastAsia"/>
          <w:b/>
        </w:rPr>
        <w:t>情况：</w:t>
      </w:r>
    </w:p>
    <w:tbl>
      <w:tblPr>
        <w:tblStyle w:val="133"/>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w:t>
            </w:r>
            <w:r>
              <w:rPr>
                <w:rFonts w:asciiTheme="minorEastAsia" w:hAnsiTheme="minorEastAsia" w:eastAsiaTheme="minorEastAsia"/>
                <w:i/>
                <w:color w:val="FF0000"/>
                <w:szCs w:val="21"/>
              </w:rPr>
              <w:t>应披露</w:t>
            </w:r>
            <w:r>
              <w:rPr>
                <w:rFonts w:hint="eastAsia" w:asciiTheme="minorEastAsia" w:hAnsiTheme="minorEastAsia" w:eastAsiaTheme="minorEastAsia"/>
                <w:i/>
                <w:color w:val="FF0000"/>
                <w:szCs w:val="21"/>
              </w:rPr>
              <w:t>公司及其控股子公司的核心员工的变动情况，并说明变动对公司经营的影响及公司采取的应对措施。</w:t>
            </w: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tabs>
          <w:tab w:val="left" w:pos="5140"/>
        </w:tabs>
        <w:jc w:val="center"/>
        <w:outlineLvl w:val="0"/>
        <w:rPr>
          <w:rFonts w:ascii="黑体" w:hAnsi="黑体" w:eastAsia="黑体"/>
          <w:color w:val="000000" w:themeColor="text1"/>
          <w:sz w:val="36"/>
          <w:szCs w:val="28"/>
          <w14:textFill>
            <w14:solidFill>
              <w14:schemeClr w14:val="tx1"/>
            </w14:solidFill>
          </w14:textFill>
        </w:rPr>
        <w:sectPr>
          <w:pgSz w:w="11907" w:h="16840"/>
          <w:pgMar w:top="1440" w:right="1797" w:bottom="1440" w:left="1797" w:header="851" w:footer="992" w:gutter="0"/>
          <w:cols w:space="425" w:num="1"/>
          <w:docGrid w:type="lines" w:linePitch="312" w:charSpace="0"/>
        </w:sectPr>
      </w:pPr>
    </w:p>
    <w:p>
      <w:pPr>
        <w:pStyle w:val="35"/>
        <w:rPr>
          <w:rFonts w:ascii="黑体" w:hAnsi="黑体" w:eastAsia="黑体"/>
          <w:b w:val="0"/>
          <w:sz w:val="36"/>
          <w:szCs w:val="36"/>
        </w:rPr>
      </w:pPr>
      <w:r>
        <w:rPr>
          <w:rFonts w:hint="eastAsia" w:ascii="黑体" w:hAnsi="黑体" w:eastAsia="黑体"/>
          <w:b w:val="0"/>
          <w:sz w:val="36"/>
          <w:szCs w:val="36"/>
        </w:rPr>
        <w:t>第七节</w:t>
      </w:r>
      <w:r>
        <w:rPr>
          <w:rFonts w:ascii="黑体" w:hAnsi="黑体" w:eastAsia="黑体"/>
          <w:b w:val="0"/>
          <w:sz w:val="36"/>
          <w:szCs w:val="36"/>
        </w:rPr>
        <w:t xml:space="preserve"> </w:t>
      </w:r>
      <w:r>
        <w:rPr>
          <w:rFonts w:hint="eastAsia" w:ascii="黑体" w:hAnsi="黑体" w:eastAsia="黑体"/>
          <w:b w:val="0"/>
          <w:sz w:val="36"/>
          <w:szCs w:val="36"/>
        </w:rPr>
        <w:t>财务会计报告</w:t>
      </w:r>
    </w:p>
    <w:p>
      <w:pPr>
        <w:pStyle w:val="4"/>
        <w:keepNext w:val="0"/>
        <w:keepLines w:val="0"/>
        <w:spacing w:line="415" w:lineRule="auto"/>
      </w:pPr>
      <w:r>
        <w:rPr>
          <w:rFonts w:ascii="微软雅黑" w:hAnsi="微软雅黑" w:eastAsia="微软雅黑"/>
          <w:sz w:val="22"/>
          <w:szCs w:val="22"/>
        </w:rPr>
        <w:t>一</w:t>
      </w:r>
      <w:r>
        <w:rPr>
          <w:rFonts w:hint="eastAsia" w:ascii="微软雅黑" w:hAnsi="微软雅黑" w:eastAsia="微软雅黑"/>
          <w:sz w:val="22"/>
          <w:szCs w:val="22"/>
        </w:rPr>
        <w:t>、</w:t>
      </w:r>
      <w:r>
        <w:rPr>
          <w:rFonts w:ascii="微软雅黑" w:hAnsi="微软雅黑" w:eastAsia="微软雅黑"/>
          <w:sz w:val="22"/>
          <w:szCs w:val="22"/>
        </w:rPr>
        <w:t>审计报告</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77"/>
        <w:gridCol w:w="851"/>
        <w:gridCol w:w="1453"/>
        <w:gridCol w:w="1453"/>
        <w:gridCol w:w="1453"/>
        <w:gridCol w:w="145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是否审计</w:t>
            </w:r>
          </w:p>
        </w:tc>
        <w:tc>
          <w:tcPr>
            <w:tcW w:w="6663" w:type="dxa"/>
            <w:gridSpan w:val="5"/>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6663" w:type="dxa"/>
            <w:gridSpan w:val="5"/>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 xml:space="preserve">: </w:t>
            </w:r>
            <w:r>
              <w:rPr>
                <w:rFonts w:hint="eastAsia" w:asciiTheme="minorEastAsia" w:hAnsiTheme="minorEastAsia" w:eastAsiaTheme="minorEastAsia"/>
                <w:color w:val="FF0000"/>
                <w:sz w:val="22"/>
              </w:rPr>
              <w:t>无保留意见、保留意见、否定意见、无法表示意见</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6663" w:type="dxa"/>
            <w:gridSpan w:val="5"/>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下拉选项（多选）：无、强调事项段、其他事项段、持续经营重大不确定性段落、其他信息段落中包含其他信息存在未更正重大错报说明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审计报告编号</w:t>
            </w:r>
          </w:p>
        </w:tc>
        <w:tc>
          <w:tcPr>
            <w:tcW w:w="6663" w:type="dxa"/>
            <w:gridSpan w:val="5"/>
          </w:tcPr>
          <w:p>
            <w:pPr>
              <w:tabs>
                <w:tab w:val="left" w:pos="5140"/>
              </w:tabs>
              <w:rPr>
                <w:rFonts w:asciiTheme="minorEastAsia" w:hAnsiTheme="minorEastAsia" w:eastAsiaTheme="minorEastAsia"/>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机构名称</w:t>
            </w:r>
          </w:p>
        </w:tc>
        <w:tc>
          <w:tcPr>
            <w:tcW w:w="6663" w:type="dxa"/>
            <w:gridSpan w:val="5"/>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立信会计师事务所（特殊普通合伙）。</w:t>
            </w:r>
            <w:r>
              <w:rPr>
                <w:rFonts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机构地址</w:t>
            </w:r>
          </w:p>
        </w:tc>
        <w:tc>
          <w:tcPr>
            <w:tcW w:w="6663" w:type="dxa"/>
            <w:gridSpan w:val="5"/>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报告日期</w:t>
            </w:r>
          </w:p>
        </w:tc>
        <w:tc>
          <w:tcPr>
            <w:tcW w:w="6663" w:type="dxa"/>
            <w:gridSpan w:val="5"/>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gridSpan w:val="2"/>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注册会计师</w:t>
            </w:r>
            <w:r>
              <w:rPr>
                <w:rFonts w:asciiTheme="minorEastAsia" w:hAnsiTheme="minorEastAsia" w:eastAsiaTheme="minorEastAsia"/>
                <w:color w:val="000000" w:themeColor="text1"/>
                <w:kern w:val="0"/>
                <w:sz w:val="22"/>
                <w14:textFill>
                  <w14:solidFill>
                    <w14:schemeClr w14:val="tx1"/>
                  </w14:solidFill>
                </w14:textFill>
              </w:rPr>
              <w:t>姓名</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（姓名1）</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（姓名2）</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（姓名3）</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（姓名4）</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56" w:hRule="atLeast"/>
        </w:trPr>
        <w:tc>
          <w:tcPr>
            <w:tcW w:w="9640" w:type="dxa"/>
            <w:gridSpan w:val="6"/>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审计报告正文</w:t>
            </w:r>
            <w:r>
              <w:rPr>
                <w:rFonts w:asciiTheme="minorEastAsia" w:hAnsiTheme="minorEastAsia" w:eastAsiaTheme="minorEastAsia"/>
                <w:color w:val="000000" w:themeColor="text1"/>
                <w:sz w:val="22"/>
                <w14:textFill>
                  <w14:solidFill>
                    <w14:schemeClr w14:val="tx1"/>
                  </w14:solidFill>
                </w14:textFill>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ascii="微软雅黑" w:hAnsi="微软雅黑" w:eastAsia="微软雅黑"/>
          <w:sz w:val="22"/>
          <w:szCs w:val="22"/>
        </w:rPr>
        <w:t>二</w:t>
      </w:r>
      <w:r>
        <w:rPr>
          <w:rFonts w:hint="eastAsia" w:ascii="微软雅黑" w:hAnsi="微软雅黑" w:eastAsia="微软雅黑"/>
          <w:sz w:val="22"/>
          <w:szCs w:val="22"/>
        </w:rPr>
        <w:t>、</w:t>
      </w:r>
      <w:r>
        <w:rPr>
          <w:rFonts w:ascii="微软雅黑" w:hAnsi="微软雅黑" w:eastAsia="微软雅黑"/>
          <w:sz w:val="22"/>
          <w:szCs w:val="22"/>
        </w:rPr>
        <w:t>财务报表</w:t>
      </w:r>
    </w:p>
    <w:p>
      <w:pPr>
        <w:pStyle w:val="5"/>
        <w:keepNext w:val="0"/>
        <w:keepLines w:val="0"/>
        <w:spacing w:line="377" w:lineRule="auto"/>
        <w:jc w:val="left"/>
        <w:rPr>
          <w:szCs w:val="22"/>
        </w:rPr>
      </w:pPr>
      <w:r>
        <w:rPr>
          <w:rFonts w:hint="eastAsia"/>
          <w:szCs w:val="22"/>
        </w:rPr>
        <w:t xml:space="preserve">（一）合并资产负债表                                             </w:t>
      </w:r>
    </w:p>
    <w:p>
      <w:pPr>
        <w:ind w:left="6300" w:firstLine="42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43"/>
        <w:gridCol w:w="1884"/>
        <w:gridCol w:w="2501"/>
        <w:gridCol w:w="242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56"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269" w:type="pct"/>
            <w:shd w:val="pct10" w:color="auto" w:fill="FFFFFF" w:themeFill="background1"/>
          </w:tcPr>
          <w:p>
            <w:pPr>
              <w:jc w:val="center"/>
              <w:rPr>
                <w:rFonts w:cs="宋体" w:asciiTheme="minorEastAsia" w:hAnsiTheme="minorEastAsia" w:eastAsiaTheme="minorEastAsia"/>
                <w:b/>
                <w:sz w:val="18"/>
                <w:szCs w:val="18"/>
              </w:rPr>
            </w:pPr>
            <w:r>
              <w:rPr>
                <w:rFonts w:asciiTheme="minorEastAsia" w:hAnsiTheme="minorEastAsia" w:eastAsiaTheme="minorEastAsia"/>
                <w:b/>
                <w:sz w:val="18"/>
                <w:szCs w:val="18"/>
              </w:rPr>
              <w:t>2022</w:t>
            </w:r>
            <w:r>
              <w:rPr>
                <w:rFonts w:hint="eastAsia" w:asciiTheme="minorEastAsia" w:hAnsiTheme="minorEastAsia" w:eastAsiaTheme="minorEastAsia"/>
                <w:b/>
                <w:sz w:val="18"/>
                <w:szCs w:val="18"/>
              </w:rPr>
              <w:t>年6月30日</w:t>
            </w:r>
          </w:p>
        </w:tc>
        <w:tc>
          <w:tcPr>
            <w:tcW w:w="1231"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rPr>
              <w:t>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12</w:t>
            </w:r>
            <w:r>
              <w:rPr>
                <w:rFonts w:hint="eastAsia" w:asciiTheme="minorEastAsia" w:hAnsiTheme="minorEastAsia" w:eastAsiaTheme="minorEastAsia"/>
                <w:b/>
                <w:sz w:val="18"/>
                <w:szCs w:val="18"/>
              </w:rPr>
              <w:t>月3</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56" w:type="pct"/>
            <w:shd w:val="clear" w:color="auto" w:fill="auto"/>
          </w:tcPr>
          <w:p>
            <w:pPr>
              <w:widowControl/>
              <w:tabs>
                <w:tab w:val="left" w:pos="1380"/>
              </w:tabs>
              <w:jc w:val="righ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ab/>
            </w: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结算备付金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rPr>
                <w:sz w:val="18"/>
                <w:szCs w:val="18"/>
              </w:rPr>
            </w:pPr>
            <w:r>
              <w:rPr>
                <w:rFonts w:hint="eastAsia"/>
                <w:sz w:val="18"/>
                <w:szCs w:val="18"/>
              </w:rPr>
              <w:t>应收票据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应收账款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sz w:val="18"/>
                <w:szCs w:val="18"/>
              </w:rPr>
            </w:pPr>
            <w:r>
              <w:rPr>
                <w:rFonts w:hint="eastAsia"/>
                <w:sz w:val="18"/>
                <w:szCs w:val="18"/>
              </w:rPr>
              <w:t>应收</w:t>
            </w:r>
            <w:r>
              <w:rPr>
                <w:sz w:val="18"/>
                <w:szCs w:val="18"/>
              </w:rPr>
              <w:t>款项融资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保费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应收分保合同准备金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其中：应收利息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ind w:firstLine="540" w:firstLineChars="300"/>
              <w:rPr>
                <w:rFonts w:asciiTheme="minorEastAsia" w:hAnsiTheme="minorEastAsia" w:eastAsiaTheme="minorEastAsia"/>
                <w:sz w:val="18"/>
                <w:szCs w:val="18"/>
              </w:rPr>
            </w:pPr>
            <w:r>
              <w:rPr>
                <w:rFonts w:hint="eastAsia"/>
                <w:sz w:val="18"/>
                <w:szCs w:val="18"/>
              </w:rPr>
              <w:t>应收股利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买入返售金融资产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269"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231"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269" w:type="pct"/>
            <w:shd w:val="pct10" w:color="auto" w:fill="auto"/>
          </w:tcPr>
          <w:p>
            <w:pPr>
              <w:widowControl/>
              <w:jc w:val="right"/>
              <w:rPr>
                <w:rFonts w:cs="宋体" w:asciiTheme="minorEastAsia" w:hAnsiTheme="minorEastAsia" w:eastAsiaTheme="minorEastAsia"/>
                <w:kern w:val="0"/>
                <w:sz w:val="18"/>
                <w:szCs w:val="18"/>
              </w:rPr>
            </w:pPr>
          </w:p>
        </w:tc>
        <w:tc>
          <w:tcPr>
            <w:tcW w:w="1231"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jc w:val="left"/>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发放贷款及垫款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269"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231"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269" w:type="pct"/>
            <w:shd w:val="pct10" w:color="auto" w:fill="auto"/>
          </w:tcPr>
          <w:p>
            <w:pPr>
              <w:widowControl/>
              <w:jc w:val="right"/>
              <w:rPr>
                <w:rFonts w:cs="宋体" w:asciiTheme="minorEastAsia" w:hAnsiTheme="minorEastAsia" w:eastAsiaTheme="minorEastAsia"/>
                <w:kern w:val="0"/>
                <w:sz w:val="18"/>
                <w:szCs w:val="18"/>
              </w:rPr>
            </w:pPr>
          </w:p>
        </w:tc>
        <w:tc>
          <w:tcPr>
            <w:tcW w:w="1231"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269" w:type="pct"/>
            <w:shd w:val="pct10" w:color="auto" w:fill="auto"/>
          </w:tcPr>
          <w:p>
            <w:pPr>
              <w:widowControl/>
              <w:jc w:val="right"/>
              <w:rPr>
                <w:rFonts w:cs="宋体" w:asciiTheme="minorEastAsia" w:hAnsiTheme="minorEastAsia" w:eastAsiaTheme="minorEastAsia"/>
                <w:kern w:val="0"/>
                <w:sz w:val="18"/>
                <w:szCs w:val="18"/>
              </w:rPr>
            </w:pPr>
          </w:p>
        </w:tc>
        <w:tc>
          <w:tcPr>
            <w:tcW w:w="1231"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拆入资金</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sz w:val="18"/>
                <w:szCs w:val="18"/>
              </w:rPr>
            </w:pPr>
            <w:r>
              <w:rPr>
                <w:rFonts w:hint="eastAsia"/>
                <w:sz w:val="18"/>
                <w:szCs w:val="18"/>
              </w:rPr>
              <w:t>应付票据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应付账款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吸收存款及同业存放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代理买卖</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代理承销</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其中：应付利息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ind w:firstLine="540" w:firstLineChars="300"/>
              <w:jc w:val="left"/>
              <w:rPr>
                <w:rFonts w:asciiTheme="minorEastAsia" w:hAnsiTheme="minorEastAsia" w:eastAsiaTheme="minorEastAsia"/>
                <w:sz w:val="18"/>
                <w:szCs w:val="18"/>
              </w:rPr>
            </w:pPr>
            <w:r>
              <w:rPr>
                <w:rFonts w:hint="eastAsia"/>
                <w:sz w:val="18"/>
                <w:szCs w:val="18"/>
              </w:rPr>
              <w:t>应付股利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应付手续费及佣金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269"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231"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269" w:type="pct"/>
            <w:shd w:val="pct10" w:color="auto" w:fill="auto"/>
          </w:tcPr>
          <w:p>
            <w:pPr>
              <w:widowControl/>
              <w:jc w:val="right"/>
              <w:rPr>
                <w:rFonts w:cs="宋体" w:asciiTheme="minorEastAsia" w:hAnsiTheme="minorEastAsia" w:eastAsiaTheme="minorEastAsia"/>
                <w:kern w:val="0"/>
                <w:sz w:val="18"/>
                <w:szCs w:val="18"/>
              </w:rPr>
            </w:pPr>
          </w:p>
        </w:tc>
        <w:tc>
          <w:tcPr>
            <w:tcW w:w="1231"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保险合同准备金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永续债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269"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231"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269" w:type="pct"/>
            <w:shd w:val="pct10" w:color="auto" w:fill="auto"/>
          </w:tcPr>
          <w:p>
            <w:pPr>
              <w:widowControl/>
              <w:jc w:val="right"/>
              <w:rPr>
                <w:rFonts w:cs="宋体" w:asciiTheme="minorEastAsia" w:hAnsiTheme="minorEastAsia" w:eastAsiaTheme="minorEastAsia"/>
                <w:kern w:val="0"/>
                <w:sz w:val="18"/>
                <w:szCs w:val="18"/>
              </w:rPr>
            </w:pPr>
          </w:p>
        </w:tc>
        <w:tc>
          <w:tcPr>
            <w:tcW w:w="1231"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269" w:type="pct"/>
            <w:shd w:val="pct10" w:color="auto" w:fill="auto"/>
          </w:tcPr>
          <w:p>
            <w:pPr>
              <w:widowControl/>
              <w:jc w:val="right"/>
              <w:rPr>
                <w:rFonts w:cs="宋体" w:asciiTheme="minorEastAsia" w:hAnsiTheme="minorEastAsia" w:eastAsiaTheme="minorEastAsia"/>
                <w:kern w:val="0"/>
                <w:sz w:val="18"/>
                <w:szCs w:val="18"/>
              </w:rPr>
            </w:pPr>
          </w:p>
        </w:tc>
        <w:tc>
          <w:tcPr>
            <w:tcW w:w="1231"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归属于母公司所有者权益合计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269" w:type="pct"/>
            <w:shd w:val="clear" w:color="auto" w:fill="auto"/>
          </w:tcPr>
          <w:p>
            <w:pPr>
              <w:widowControl/>
              <w:jc w:val="right"/>
              <w:rPr>
                <w:rFonts w:cs="宋体" w:asciiTheme="minorEastAsia" w:hAnsiTheme="minorEastAsia" w:eastAsiaTheme="minorEastAsia"/>
                <w:kern w:val="0"/>
                <w:sz w:val="18"/>
                <w:szCs w:val="18"/>
              </w:rPr>
            </w:pPr>
          </w:p>
        </w:tc>
        <w:tc>
          <w:tcPr>
            <w:tcW w:w="1231"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少数股东权益</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269"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231"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所有者权益合计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269"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231"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负债和所有者权益总计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269"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231"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bl>
    <w:p>
      <w:pPr>
        <w:rPr>
          <w:rFonts w:ascii="Arial" w:hAnsi="Arial" w:eastAsia="黑体"/>
          <w:b/>
          <w:bCs/>
          <w:sz w:val="22"/>
          <w:lang w:val="zh-CN"/>
        </w:rPr>
      </w:pPr>
      <w:bookmarkStart w:id="0" w:name="_Toc247094005"/>
      <w:bookmarkStart w:id="1" w:name="_Toc241636376"/>
      <w:bookmarkStart w:id="2" w:name="_Toc369159466"/>
      <w:bookmarkStart w:id="3" w:name="_Toc247371780"/>
      <w:r>
        <w:rPr>
          <w:sz w:val="18"/>
          <w:szCs w:val="18"/>
        </w:rPr>
        <w:t>法定代表人：_____________ 主管会计工作负责人：_____________ 会计机构负责人：_____________</w:t>
      </w:r>
      <w:bookmarkEnd w:id="0"/>
      <w:bookmarkEnd w:id="1"/>
      <w:bookmarkEnd w:id="2"/>
      <w:bookmarkEnd w:id="3"/>
      <w:bookmarkStart w:id="4" w:name="OLE_LINK4"/>
      <w:bookmarkStart w:id="5" w:name="OLE_LINK3"/>
    </w:p>
    <w:p>
      <w:pPr>
        <w:pStyle w:val="5"/>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pPr>
        <w:ind w:left="6300" w:firstLine="420"/>
        <w:jc w:val="right"/>
      </w:pPr>
      <w:r>
        <w:rPr>
          <w:rFonts w:hint="eastAsia"/>
        </w:rPr>
        <w:t>单位</w:t>
      </w:r>
      <w:r>
        <w:t>：元</w:t>
      </w:r>
    </w:p>
    <w:bookmarkEnd w:id="4"/>
    <w:bookmarkEnd w:id="5"/>
    <w:tbl>
      <w:tblPr>
        <w:tblStyle w:val="45"/>
        <w:tblW w:w="583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59"/>
        <w:gridCol w:w="1895"/>
        <w:gridCol w:w="2474"/>
        <w:gridCol w:w="247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57"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249" w:type="pct"/>
            <w:shd w:val="pct10" w:color="auto" w:fill="FFFFFF" w:themeFill="background1"/>
          </w:tcPr>
          <w:p>
            <w:pPr>
              <w:jc w:val="center"/>
              <w:rPr>
                <w:rFonts w:cs="宋体" w:asciiTheme="minorEastAsia" w:hAnsiTheme="minorEastAsia" w:eastAsiaTheme="minorEastAsia"/>
                <w:b/>
                <w:sz w:val="18"/>
                <w:szCs w:val="18"/>
              </w:rPr>
            </w:pPr>
            <w:r>
              <w:rPr>
                <w:rFonts w:asciiTheme="minorEastAsia" w:hAnsiTheme="minorEastAsia" w:eastAsiaTheme="minorEastAsia"/>
                <w:b/>
                <w:sz w:val="18"/>
                <w:szCs w:val="18"/>
              </w:rPr>
              <w:t>2022</w:t>
            </w:r>
            <w:r>
              <w:rPr>
                <w:rFonts w:hint="eastAsia" w:asciiTheme="minorEastAsia" w:hAnsiTheme="minorEastAsia" w:eastAsiaTheme="minorEastAsia"/>
                <w:b/>
                <w:sz w:val="18"/>
                <w:szCs w:val="18"/>
              </w:rPr>
              <w:t>年6月30日</w:t>
            </w:r>
          </w:p>
        </w:tc>
        <w:tc>
          <w:tcPr>
            <w:tcW w:w="1249"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rPr>
              <w:t>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12</w:t>
            </w:r>
            <w:r>
              <w:rPr>
                <w:rFonts w:hint="eastAsia" w:asciiTheme="minorEastAsia" w:hAnsiTheme="minorEastAsia" w:eastAsiaTheme="minorEastAsia"/>
                <w:b/>
                <w:sz w:val="18"/>
                <w:szCs w:val="18"/>
              </w:rPr>
              <w:t>月3</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应收票据</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rPr>
                <w:rFonts w:asciiTheme="minorHAnsi" w:hAnsiTheme="minorHAnsi" w:eastAsiaTheme="minorEastAsia" w:cstheme="minorBidi"/>
                <w:sz w:val="18"/>
                <w:szCs w:val="18"/>
              </w:rPr>
            </w:pPr>
            <w:r>
              <w:rPr>
                <w:rFonts w:hint="eastAsia" w:asciiTheme="minorEastAsia" w:hAnsiTheme="minorEastAsia" w:eastAsiaTheme="minorEastAsia"/>
                <w:sz w:val="18"/>
                <w:szCs w:val="18"/>
              </w:rPr>
              <w:t>应收账款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rPr>
                <w:rFonts w:asciiTheme="minorEastAsia" w:hAnsiTheme="minorEastAsia" w:eastAsiaTheme="minorEastAsia"/>
                <w:sz w:val="18"/>
                <w:szCs w:val="18"/>
              </w:rPr>
            </w:pPr>
            <w:r>
              <w:rPr>
                <w:rFonts w:hint="eastAsia"/>
                <w:sz w:val="18"/>
                <w:szCs w:val="18"/>
              </w:rPr>
              <w:t>应收</w:t>
            </w:r>
            <w:r>
              <w:rPr>
                <w:sz w:val="18"/>
                <w:szCs w:val="18"/>
              </w:rPr>
              <w:t>款项融资</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其中：应收利息</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应收股利</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买入返售</w:t>
            </w:r>
            <w:r>
              <w:rPr>
                <w:rFonts w:asciiTheme="minorHAnsi" w:hAnsiTheme="minorHAnsi" w:eastAsiaTheme="minorEastAsia" w:cstheme="minorBidi"/>
                <w:sz w:val="18"/>
                <w:szCs w:val="18"/>
              </w:rPr>
              <w:t>金融资产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57"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57"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ind w:right="90"/>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57"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57"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57"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5"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应付票据</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5"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应付账款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其中：应付利息</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应付股利</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57"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57" w:type="pct"/>
            <w:shd w:val="pct10" w:color="auto" w:fill="FFFFFF" w:themeFill="background1"/>
          </w:tcPr>
          <w:p>
            <w:pPr>
              <w:jc w:val="right"/>
              <w:rPr>
                <w:rFonts w:asciiTheme="minorEastAsia" w:hAnsiTheme="minorEastAsia" w:eastAsiaTheme="minorEastAsia"/>
                <w:b/>
                <w:sz w:val="18"/>
                <w:szCs w:val="18"/>
              </w:rPr>
            </w:pPr>
          </w:p>
        </w:tc>
        <w:tc>
          <w:tcPr>
            <w:tcW w:w="1249" w:type="pct"/>
            <w:shd w:val="pct10" w:color="auto" w:fill="FFFFFF" w:themeFill="background1"/>
          </w:tcPr>
          <w:p>
            <w:pPr>
              <w:jc w:val="right"/>
              <w:rPr>
                <w:rFonts w:asciiTheme="minorEastAsia" w:hAnsiTheme="minorEastAsia" w:eastAsiaTheme="minorEastAsia"/>
                <w:b/>
                <w:sz w:val="18"/>
                <w:szCs w:val="18"/>
              </w:rPr>
            </w:pPr>
          </w:p>
        </w:tc>
        <w:tc>
          <w:tcPr>
            <w:tcW w:w="1249" w:type="pct"/>
            <w:shd w:val="pct10" w:color="auto" w:fill="FFFFFF" w:themeFill="background1"/>
          </w:tcPr>
          <w:p>
            <w:pPr>
              <w:jc w:val="righ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57"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57"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57"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57"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c>
          <w:tcPr>
            <w:tcW w:w="1249"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57"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249" w:type="pct"/>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所有者权益合计</w:t>
            </w:r>
          </w:p>
        </w:tc>
        <w:tc>
          <w:tcPr>
            <w:tcW w:w="957"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负债和所有者权益合计</w:t>
            </w:r>
          </w:p>
        </w:tc>
        <w:tc>
          <w:tcPr>
            <w:tcW w:w="957"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c>
          <w:tcPr>
            <w:tcW w:w="1249" w:type="pct"/>
            <w:shd w:val="pct10" w:color="auto" w:fill="FFFFFF" w:themeFill="background1"/>
          </w:tcPr>
          <w:p>
            <w:pPr>
              <w:jc w:val="right"/>
              <w:rPr>
                <w:rFonts w:asciiTheme="minorEastAsia" w:hAnsiTheme="minorEastAsia" w:eastAsiaTheme="minorEastAsia"/>
                <w:sz w:val="18"/>
                <w:szCs w:val="18"/>
              </w:rPr>
            </w:pPr>
          </w:p>
        </w:tc>
      </w:tr>
    </w:tbl>
    <w:p>
      <w:pPr>
        <w:pStyle w:val="5"/>
        <w:keepNext w:val="0"/>
        <w:keepLines w:val="0"/>
        <w:spacing w:line="377" w:lineRule="auto"/>
        <w:jc w:val="left"/>
        <w:rPr>
          <w:szCs w:val="22"/>
        </w:rPr>
      </w:pPr>
      <w:r>
        <w:rPr>
          <w:rFonts w:hint="eastAsia"/>
          <w:szCs w:val="22"/>
        </w:rPr>
        <w:t>（三</w:t>
      </w:r>
      <w:r>
        <w:rPr>
          <w:szCs w:val="22"/>
        </w:rPr>
        <w:t>）</w:t>
      </w:r>
      <w:r>
        <w:rPr>
          <w:rFonts w:hint="eastAsia"/>
          <w:szCs w:val="22"/>
        </w:rPr>
        <w:t xml:space="preserve">合并利润表 </w:t>
      </w:r>
    </w:p>
    <w:p>
      <w:pPr>
        <w:ind w:left="6300" w:firstLine="420"/>
        <w:jc w:val="right"/>
      </w:pPr>
      <w:r>
        <w:rPr>
          <w:rFonts w:hint="eastAsia"/>
        </w:rPr>
        <w:t>单位</w:t>
      </w:r>
      <w:r>
        <w:t>：元</w:t>
      </w:r>
    </w:p>
    <w:tbl>
      <w:tblPr>
        <w:tblStyle w:val="45"/>
        <w:tblW w:w="583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38"/>
        <w:gridCol w:w="1269"/>
        <w:gridCol w:w="2028"/>
        <w:gridCol w:w="236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641"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024" w:type="pct"/>
            <w:shd w:val="pct10" w:color="auto" w:fill="FFFFFF" w:themeFill="background1"/>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195" w:type="pct"/>
            <w:shd w:val="pct10" w:color="auto" w:fill="FFFFFF" w:themeFill="background1"/>
            <w:vAlign w:val="center"/>
          </w:tcPr>
          <w:p>
            <w:pPr>
              <w:jc w:val="center"/>
              <w:rPr>
                <w:rFonts w:cs="宋体" w:asciiTheme="minorEastAsia" w:hAnsiTheme="minorEastAsia" w:eastAsiaTheme="minorEastAsia"/>
                <w:b/>
                <w:sz w:val="18"/>
                <w:szCs w:val="18"/>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一、营业总收入</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其中：营业收入</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已赚保费</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手续费及佣金收入</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二、营业总成本</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其中：营业成本</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退保金</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赔付支出净额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提取保险责任准备金净额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保单红利支出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分保费用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40"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40"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其中：利息费用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1080" w:firstLineChars="6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left="945" w:leftChars="45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汇兑收益（损失以“-”号填列）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信用减值损失（损失以“-”号填列）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三、营业利润（亏损以“－”号填列）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四、利润总额（亏损总额以“－”号填列）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五、净利润（净亏损以“－”号填列）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其中：被合并方在合并前实现的净利润</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（一）按</w:t>
            </w:r>
            <w:r>
              <w:rPr>
                <w:rFonts w:asciiTheme="minorEastAsia" w:hAnsiTheme="minorEastAsia" w:eastAsiaTheme="minorEastAsia"/>
                <w:color w:val="000000" w:themeColor="text1"/>
                <w:sz w:val="18"/>
                <w:szCs w:val="18"/>
                <w14:textFill>
                  <w14:solidFill>
                    <w14:schemeClr w14:val="tx1"/>
                  </w14:solidFill>
                </w14:textFill>
              </w:rPr>
              <w:t>经营持续性分类：</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1.持续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2.终止经营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（二）按</w:t>
            </w:r>
            <w:r>
              <w:rPr>
                <w:rFonts w:asciiTheme="minorEastAsia" w:hAnsiTheme="minorEastAsia" w:eastAsiaTheme="minorEastAsia"/>
                <w:sz w:val="18"/>
                <w:szCs w:val="18"/>
              </w:rPr>
              <w:t>所有权归属分类</w:t>
            </w:r>
            <w:r>
              <w:rPr>
                <w:rFonts w:hint="eastAsia" w:asciiTheme="minorEastAsia" w:hAnsiTheme="minorEastAsia" w:eastAsiaTheme="minorEastAsia"/>
                <w:sz w:val="18"/>
                <w:szCs w:val="18"/>
              </w:rPr>
              <w:t>：</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1.少数股东损益（净亏损以“-”号填列）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2.归属于母公司所有者的净利润（净亏损以“-”号填列）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（一）归属于母公司所有者的其他综合收益的税后净额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不能重分类进损益的其他综合收益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（1）重新计量设定受益计划变动额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w:t>
            </w:r>
            <w:r>
              <w:rPr>
                <w:rFonts w:hint="eastAsia" w:asciiTheme="minorEastAsia" w:hAnsiTheme="minorEastAsia" w:eastAsiaTheme="minorEastAsia"/>
                <w:sz w:val="18"/>
                <w:szCs w:val="18"/>
              </w:rPr>
              <w:t>权益法下不能转损益的其他综合收益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3</w:t>
            </w:r>
            <w:r>
              <w:rPr>
                <w:rFonts w:hint="eastAsia"/>
                <w:sz w:val="18"/>
                <w:szCs w:val="18"/>
              </w:rPr>
              <w:t>）其他权益工具投资公允价值变动</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4</w:t>
            </w:r>
            <w:r>
              <w:rPr>
                <w:rFonts w:hint="eastAsia"/>
                <w:sz w:val="18"/>
                <w:szCs w:val="18"/>
              </w:rPr>
              <w:t>）企业自身信用风险公允价值变动</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tcPr>
          <w:p>
            <w:pPr>
              <w:rPr>
                <w:sz w:val="18"/>
                <w:szCs w:val="18"/>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2.将重分类进损益的其他综合收益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 xml:space="preserve">归属于少数股东的其他综合收益的税后净额 </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七、综合收益总额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（一）</w:t>
            </w:r>
            <w:r>
              <w:rPr>
                <w:rFonts w:hint="eastAsia" w:asciiTheme="minorEastAsia" w:hAnsiTheme="minorEastAsia" w:eastAsiaTheme="minorEastAsia"/>
                <w:color w:val="000000" w:themeColor="text1"/>
                <w:sz w:val="18"/>
                <w:szCs w:val="18"/>
                <w14:textFill>
                  <w14:solidFill>
                    <w14:schemeClr w14:val="tx1"/>
                  </w14:solidFill>
                </w14:textFill>
              </w:rPr>
              <w:t>归属于母公司所有者的综合收益总额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归属于少数股东的综合收益总额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40"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八、每股收益：</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641" w:type="pct"/>
            <w:shd w:val="clear" w:color="auto" w:fill="auto"/>
          </w:tcPr>
          <w:p>
            <w:pPr>
              <w:jc w:val="right"/>
              <w:rPr>
                <w:rFonts w:asciiTheme="minorEastAsia" w:hAnsiTheme="minorEastAsia" w:eastAsiaTheme="minorEastAsia"/>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40"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shd w:val="clear" w:color="auto" w:fill="auto"/>
          </w:tcPr>
          <w:p>
            <w:pPr>
              <w:jc w:val="right"/>
              <w:rPr>
                <w:rFonts w:asciiTheme="minorEastAsia" w:hAnsiTheme="minorEastAsia" w:eastAsiaTheme="minorEastAsia"/>
                <w:sz w:val="18"/>
                <w:szCs w:val="18"/>
              </w:rPr>
            </w:pPr>
          </w:p>
        </w:tc>
        <w:tc>
          <w:tcPr>
            <w:tcW w:w="1195" w:type="pct"/>
            <w:shd w:val="clear" w:color="auto" w:fill="auto"/>
          </w:tcPr>
          <w:p>
            <w:pPr>
              <w:jc w:val="right"/>
              <w:rPr>
                <w:rFonts w:asciiTheme="minorEastAsia" w:hAnsiTheme="minorEastAsia" w:eastAsiaTheme="minorEastAsia"/>
                <w:sz w:val="18"/>
                <w:szCs w:val="18"/>
              </w:rPr>
            </w:pPr>
          </w:p>
        </w:tc>
      </w:tr>
    </w:tbl>
    <w:p>
      <w:pPr>
        <w:widowControl/>
        <w:jc w:val="left"/>
        <w:rPr>
          <w:rFonts w:cs="宋体" w:asciiTheme="minorEastAsia" w:hAnsiTheme="minorEastAsia" w:eastAsiaTheme="minorEastAsia"/>
          <w:kern w:val="0"/>
          <w:sz w:val="18"/>
          <w:szCs w:val="18"/>
        </w:rPr>
      </w:pPr>
      <w:r>
        <w:rPr>
          <w:sz w:val="18"/>
          <w:szCs w:val="18"/>
        </w:rPr>
        <w:t>　法定代表人：_____________ 主管会计工作负责人：_____________ 会计机构负责人：_____________</w:t>
      </w:r>
    </w:p>
    <w:p>
      <w:pPr>
        <w:pStyle w:val="5"/>
        <w:keepNext w:val="0"/>
        <w:keepLines w:val="0"/>
        <w:spacing w:line="377" w:lineRule="auto"/>
        <w:jc w:val="left"/>
        <w:rPr>
          <w:szCs w:val="22"/>
        </w:rPr>
      </w:pPr>
      <w:r>
        <w:rPr>
          <w:rFonts w:hint="eastAsia"/>
          <w:szCs w:val="22"/>
        </w:rPr>
        <w:t>（四</w:t>
      </w:r>
      <w:r>
        <w:rPr>
          <w:szCs w:val="22"/>
        </w:rPr>
        <w:t>）</w:t>
      </w:r>
      <w:r>
        <w:rPr>
          <w:rFonts w:hint="eastAsia"/>
          <w:szCs w:val="22"/>
        </w:rPr>
        <w:t>母公司利润表</w:t>
      </w:r>
    </w:p>
    <w:p/>
    <w:p>
      <w:pPr>
        <w:ind w:left="6720" w:firstLine="420"/>
        <w:jc w:val="right"/>
      </w:pPr>
      <w:r>
        <w:rPr>
          <w:rFonts w:hint="eastAsia"/>
        </w:rPr>
        <w:t>单位</w:t>
      </w:r>
      <w:r>
        <w:t>：元</w:t>
      </w:r>
    </w:p>
    <w:tbl>
      <w:tblPr>
        <w:tblStyle w:val="45"/>
        <w:tblW w:w="583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89"/>
        <w:gridCol w:w="1246"/>
        <w:gridCol w:w="2038"/>
        <w:gridCol w:w="232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62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029"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176" w:type="pct"/>
            <w:shd w:val="pct10" w:color="auto" w:fill="FFFFFF" w:themeFill="background1"/>
            <w:vAlign w:val="center"/>
          </w:tcPr>
          <w:p>
            <w:pPr>
              <w:jc w:val="center"/>
              <w:rPr>
                <w:rFonts w:cs="宋体" w:asciiTheme="minorEastAsia" w:hAnsiTheme="minorEastAsia" w:eastAsiaTheme="minorEastAsia"/>
                <w:b/>
                <w:sz w:val="18"/>
                <w:szCs w:val="18"/>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一、营业收入</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减：营业成本</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66"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166"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tcPr>
          <w:p>
            <w:pPr>
              <w:ind w:firstLine="360" w:firstLineChars="200"/>
              <w:rPr>
                <w:rFonts w:asciiTheme="minorEastAsia" w:hAnsiTheme="minorEastAsia" w:eastAsiaTheme="minorEastAsia"/>
                <w:sz w:val="18"/>
                <w:szCs w:val="18"/>
              </w:rPr>
            </w:pPr>
            <w:r>
              <w:rPr>
                <w:rFonts w:hint="eastAsia" w:asciiTheme="minorEastAsia" w:hAnsiTheme="minorEastAsia"/>
                <w:sz w:val="18"/>
                <w:szCs w:val="18"/>
              </w:rPr>
              <w:t>其中：利息费用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tcPr>
          <w:p>
            <w:pPr>
              <w:ind w:firstLine="900" w:firstLineChars="500"/>
              <w:rPr>
                <w:rFonts w:asciiTheme="minorEastAsia" w:hAnsiTheme="minorEastAsia" w:eastAsiaTheme="minorEastAsia"/>
                <w:sz w:val="18"/>
                <w:szCs w:val="18"/>
              </w:rPr>
            </w:pPr>
            <w:r>
              <w:rPr>
                <w:rFonts w:hint="eastAsia" w:asciiTheme="minorEastAsia" w:hAnsiTheme="minorEastAsia"/>
                <w:sz w:val="18"/>
                <w:szCs w:val="18"/>
              </w:rPr>
              <w:t>利息收入</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630" w:firstLineChars="350"/>
              <w:rPr>
                <w:rFonts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left="1260" w:leftChars="60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汇兑收益（损失以“-”号填列）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信用减值损失（损失以“-”号填列）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二、营业利润（亏损以“－”号填列）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三、利润总额（亏损总额以“－”号填列）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四、净利润（净亏损以“－”号填列）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（一）持续</w:t>
            </w:r>
            <w:r>
              <w:rPr>
                <w:rFonts w:asciiTheme="minorEastAsia" w:hAnsiTheme="minorEastAsia" w:eastAsiaTheme="minorEastAsia"/>
                <w:sz w:val="18"/>
                <w:szCs w:val="18"/>
              </w:rPr>
              <w:t>经营净利润</w:t>
            </w:r>
            <w:r>
              <w:rPr>
                <w:rFonts w:hint="eastAsia" w:asciiTheme="minorEastAsia" w:hAnsiTheme="minorEastAsia" w:eastAsiaTheme="minorEastAsia"/>
                <w:sz w:val="18"/>
                <w:szCs w:val="18"/>
              </w:rPr>
              <w:t>（净亏损以“－”号填列）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（二）终止经营</w:t>
            </w:r>
            <w:r>
              <w:rPr>
                <w:rFonts w:asciiTheme="minorEastAsia" w:hAnsiTheme="minorEastAsia" w:eastAsiaTheme="minorEastAsia"/>
                <w:sz w:val="18"/>
                <w:szCs w:val="18"/>
              </w:rPr>
              <w:t>净利润</w:t>
            </w:r>
            <w:r>
              <w:rPr>
                <w:rFonts w:hint="eastAsia" w:asciiTheme="minorEastAsia" w:hAnsiTheme="minorEastAsia" w:eastAsiaTheme="minorEastAsia"/>
                <w:sz w:val="18"/>
                <w:szCs w:val="18"/>
              </w:rPr>
              <w:t>（净亏损以“－”号填列）</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五</w:t>
            </w:r>
            <w:r>
              <w:rPr>
                <w:rFonts w:hint="eastAsia" w:asciiTheme="minorEastAsia" w:hAnsiTheme="minorEastAsia" w:eastAsiaTheme="minorEastAsia"/>
                <w:b/>
                <w:sz w:val="18"/>
                <w:szCs w:val="18"/>
              </w:rPr>
              <w:t>、其他综合收益的税后净额</w:t>
            </w:r>
            <w:r>
              <w:rPr>
                <w:rFonts w:asciiTheme="minorEastAsia" w:hAnsiTheme="minorEastAsia" w:eastAsiaTheme="minorEastAsia"/>
                <w:b/>
                <w:sz w:val="18"/>
                <w:szCs w:val="18"/>
              </w:rPr>
              <w:t xml:space="preserve"> </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（一）不能重分类进损益的其他综合收益</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rPr>
              <w:t xml:space="preserve"> </w:t>
            </w:r>
            <w:r>
              <w:rPr>
                <w:rFonts w:hint="eastAsia" w:asciiTheme="minorEastAsia" w:hAnsiTheme="minorEastAsia" w:eastAsiaTheme="minorEastAsia"/>
                <w:sz w:val="18"/>
                <w:szCs w:val="18"/>
              </w:rPr>
              <w:t>重新计量设定受益计划变动额</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 xml:space="preserve"> </w:t>
            </w:r>
            <w:r>
              <w:rPr>
                <w:rFonts w:hint="eastAsia" w:asciiTheme="minorEastAsia" w:hAnsiTheme="minorEastAsia" w:eastAsiaTheme="minorEastAsia"/>
                <w:sz w:val="18"/>
                <w:szCs w:val="18"/>
              </w:rPr>
              <w:t>权益法下不能转损益的其他综合收益</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tcPr>
          <w:p>
            <w:pPr>
              <w:rPr>
                <w:rFonts w:asciiTheme="minorEastAsia" w:hAnsiTheme="minorEastAsia" w:eastAsiaTheme="minorEastAsia"/>
                <w:sz w:val="18"/>
                <w:szCs w:val="18"/>
              </w:rPr>
            </w:pPr>
            <w:r>
              <w:rPr>
                <w:rFonts w:hint="eastAsia"/>
                <w:sz w:val="18"/>
                <w:szCs w:val="18"/>
              </w:rPr>
              <w:t>3．其他权益工具投资公允价值变动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tcPr>
          <w:p>
            <w:pPr>
              <w:rPr>
                <w:rFonts w:asciiTheme="minorEastAsia" w:hAnsiTheme="minorEastAsia" w:eastAsiaTheme="minorEastAsia"/>
                <w:sz w:val="18"/>
                <w:szCs w:val="18"/>
              </w:rPr>
            </w:pPr>
            <w:r>
              <w:rPr>
                <w:rFonts w:hint="eastAsia"/>
                <w:sz w:val="18"/>
                <w:szCs w:val="18"/>
              </w:rPr>
              <w:t>4．企业自身信用风险公允价值变动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tcPr>
          <w:p>
            <w:pPr>
              <w:rPr>
                <w:sz w:val="18"/>
                <w:szCs w:val="18"/>
              </w:rPr>
            </w:pP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（二）将重分类进损益的其他综合收益</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六、综合收益总额</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七、每股收益：</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66"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629" w:type="pct"/>
            <w:shd w:val="clear" w:color="auto" w:fill="auto"/>
          </w:tcPr>
          <w:p>
            <w:pPr>
              <w:rPr>
                <w:rFonts w:asciiTheme="minorEastAsia" w:hAnsiTheme="minorEastAsia" w:eastAsiaTheme="minorEastAsia"/>
                <w:sz w:val="18"/>
                <w:szCs w:val="18"/>
              </w:rPr>
            </w:pPr>
          </w:p>
        </w:tc>
        <w:tc>
          <w:tcPr>
            <w:tcW w:w="1029" w:type="pct"/>
            <w:shd w:val="clear" w:color="auto" w:fill="auto"/>
          </w:tcPr>
          <w:p>
            <w:pPr>
              <w:rPr>
                <w:rFonts w:asciiTheme="minorEastAsia" w:hAnsiTheme="minorEastAsia" w:eastAsiaTheme="minorEastAsia"/>
                <w:sz w:val="18"/>
                <w:szCs w:val="18"/>
              </w:rPr>
            </w:pPr>
          </w:p>
        </w:tc>
        <w:tc>
          <w:tcPr>
            <w:tcW w:w="1176" w:type="pct"/>
            <w:shd w:val="clear" w:color="auto" w:fill="auto"/>
          </w:tcPr>
          <w:p>
            <w:pPr>
              <w:rPr>
                <w:rFonts w:asciiTheme="minorEastAsia" w:hAnsiTheme="minorEastAsia" w:eastAsiaTheme="minorEastAsia"/>
                <w:sz w:val="18"/>
                <w:szCs w:val="18"/>
              </w:rPr>
            </w:pPr>
          </w:p>
        </w:tc>
      </w:tr>
    </w:tbl>
    <w:p>
      <w:pPr>
        <w:rPr>
          <w:rFonts w:asciiTheme="minorEastAsia" w:hAnsiTheme="minorEastAsia" w:eastAsiaTheme="minorEastAsia"/>
          <w:sz w:val="18"/>
          <w:szCs w:val="18"/>
        </w:rPr>
      </w:pPr>
      <w:bookmarkStart w:id="6" w:name="_Toc369159469"/>
      <w:bookmarkStart w:id="7" w:name="_Toc247094008"/>
      <w:bookmarkStart w:id="8" w:name="_Toc241636379"/>
      <w:bookmarkStart w:id="9" w:name="_Toc247371783"/>
    </w:p>
    <w:bookmarkEnd w:id="6"/>
    <w:bookmarkEnd w:id="7"/>
    <w:bookmarkEnd w:id="8"/>
    <w:bookmarkEnd w:id="9"/>
    <w:p>
      <w:pPr>
        <w:pStyle w:val="5"/>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pPr>
        <w:ind w:left="7140"/>
        <w:jc w:val="right"/>
      </w:pPr>
      <w:r>
        <w:rPr>
          <w:rFonts w:hint="eastAsia"/>
        </w:rPr>
        <w:t>单位</w:t>
      </w:r>
      <w:r>
        <w:t>：元</w:t>
      </w:r>
    </w:p>
    <w:tbl>
      <w:tblPr>
        <w:tblStyle w:val="45"/>
        <w:tblW w:w="5838"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50"/>
        <w:gridCol w:w="1774"/>
        <w:gridCol w:w="1703"/>
        <w:gridCol w:w="177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896"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860"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896" w:type="pct"/>
            <w:shd w:val="pct10" w:color="auto" w:fill="FFFFFF" w:themeFill="background1"/>
            <w:vAlign w:val="center"/>
          </w:tcPr>
          <w:p>
            <w:pPr>
              <w:jc w:val="center"/>
              <w:rPr>
                <w:rFonts w:cs="宋体" w:asciiTheme="minorEastAsia" w:hAnsiTheme="minorEastAsia" w:eastAsiaTheme="minorEastAsia"/>
                <w:b/>
                <w:sz w:val="18"/>
                <w:szCs w:val="18"/>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4" w:hRule="atLeast"/>
        </w:trPr>
        <w:tc>
          <w:tcPr>
            <w:tcW w:w="2348"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一、经营活动产生的现金流量：</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销售商品、提供劳务收到的现金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客户存款和同业存放款项净增加额 </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向其他金融机构拆入资金净增加额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收到原保险合同保费取得的现金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收到再保险业务现金净额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保户储金及投资款净增加额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收取利息、手续费及佣金的现金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拆入资金净增加额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回购业务资金净增加额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代理买卖证券收到的现金净额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收到的税费返还</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收到其他与经营活动有关的现金</w:t>
            </w: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0"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经营活动现金流入小计</w:t>
            </w: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c>
          <w:tcPr>
            <w:tcW w:w="860" w:type="pct"/>
            <w:shd w:val="pct10" w:color="auto" w:fill="FFFFFF" w:themeFill="background1"/>
          </w:tcPr>
          <w:p>
            <w:pPr>
              <w:jc w:val="right"/>
              <w:rPr>
                <w:rFonts w:cs="宋体" w:asciiTheme="minorEastAsia" w:hAnsiTheme="minorEastAsia" w:eastAsiaTheme="minorEastAsia"/>
                <w:kern w:val="0"/>
                <w:sz w:val="18"/>
                <w:szCs w:val="18"/>
              </w:rPr>
            </w:pP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购买商品、接受劳务支付的现金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客户贷款及垫款净增加额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存放中央银行和同业款项净增加额 </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支付原保险合同赔付款项的现金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为</w:t>
            </w:r>
            <w:r>
              <w:rPr>
                <w:rFonts w:asciiTheme="minorEastAsia" w:hAnsiTheme="minorEastAsia" w:eastAsiaTheme="minorEastAsia"/>
                <w:sz w:val="18"/>
                <w:szCs w:val="18"/>
              </w:rPr>
              <w:t>交易目的而持有的金融资产净增加额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r>
              <w:rPr>
                <w:rFonts w:asciiTheme="minorEastAsia" w:hAnsiTheme="minorEastAsia" w:eastAsiaTheme="minorEastAsia"/>
                <w:sz w:val="18"/>
                <w:szCs w:val="18"/>
              </w:rPr>
              <w:t>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支付利息、手续费及佣金的现金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支付保单红利的现金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支付给职工以及为职工支付的现金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支付的各项税费</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支付其他与经营活动有关的现金</w:t>
            </w: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0"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经营活动现金流出小计</w:t>
            </w: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c>
          <w:tcPr>
            <w:tcW w:w="860" w:type="pct"/>
            <w:shd w:val="pct10" w:color="auto" w:fill="FFFFFF" w:themeFill="background1"/>
          </w:tcPr>
          <w:p>
            <w:pPr>
              <w:jc w:val="right"/>
              <w:rPr>
                <w:rFonts w:cs="宋体" w:asciiTheme="minorEastAsia" w:hAnsiTheme="minorEastAsia" w:eastAsiaTheme="minorEastAsia"/>
                <w:kern w:val="0"/>
                <w:sz w:val="18"/>
                <w:szCs w:val="18"/>
              </w:rPr>
            </w:pP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经营活动产生的现金流量净额</w:t>
            </w: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c>
          <w:tcPr>
            <w:tcW w:w="860" w:type="pct"/>
            <w:shd w:val="pct10" w:color="auto" w:fill="FFFFFF" w:themeFill="background1"/>
          </w:tcPr>
          <w:p>
            <w:pPr>
              <w:jc w:val="right"/>
              <w:rPr>
                <w:rFonts w:cs="宋体" w:asciiTheme="minorEastAsia" w:hAnsiTheme="minorEastAsia" w:eastAsiaTheme="minorEastAsia"/>
                <w:kern w:val="0"/>
                <w:sz w:val="18"/>
                <w:szCs w:val="18"/>
              </w:rPr>
            </w:pPr>
          </w:p>
        </w:tc>
        <w:tc>
          <w:tcPr>
            <w:tcW w:w="896"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二、投资活动产生的现金流量：</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收回投资收到的现金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取得投资收益收到的现金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处置固定资产、无形资产和其他长期资产收回的现金净额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处置子公司及其他营业单位收到的现金净额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收到其他与投资活动有关的现金</w:t>
            </w: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0"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投资活动现金流入小计</w:t>
            </w:r>
          </w:p>
        </w:tc>
        <w:tc>
          <w:tcPr>
            <w:tcW w:w="896" w:type="pct"/>
            <w:shd w:val="pct10" w:color="auto" w:fill="auto"/>
          </w:tcPr>
          <w:p>
            <w:pPr>
              <w:jc w:val="right"/>
              <w:rPr>
                <w:rFonts w:cs="宋体" w:asciiTheme="minorEastAsia" w:hAnsiTheme="minorEastAsia" w:eastAsiaTheme="minorEastAsia"/>
                <w:kern w:val="0"/>
                <w:sz w:val="18"/>
                <w:szCs w:val="18"/>
              </w:rPr>
            </w:pPr>
          </w:p>
        </w:tc>
        <w:tc>
          <w:tcPr>
            <w:tcW w:w="860" w:type="pct"/>
            <w:shd w:val="pct10" w:color="auto" w:fill="auto"/>
          </w:tcPr>
          <w:p>
            <w:pPr>
              <w:jc w:val="right"/>
              <w:rPr>
                <w:rFonts w:cs="宋体" w:asciiTheme="minorEastAsia" w:hAnsiTheme="minorEastAsia" w:eastAsiaTheme="minorEastAsia"/>
                <w:kern w:val="0"/>
                <w:sz w:val="18"/>
                <w:szCs w:val="18"/>
              </w:rPr>
            </w:pPr>
          </w:p>
        </w:tc>
        <w:tc>
          <w:tcPr>
            <w:tcW w:w="896"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购建固定资产、无形资产和其他长期资产支付的现金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投资支付的现金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质押贷款净增加额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取得子公司及其他营业单位支付的现金净额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支付其他与投资活动有关的现金</w:t>
            </w: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0"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投资活动现金流出小计</w:t>
            </w:r>
          </w:p>
        </w:tc>
        <w:tc>
          <w:tcPr>
            <w:tcW w:w="896" w:type="pct"/>
            <w:shd w:val="pct10" w:color="auto" w:fill="FFFFFF" w:themeFill="background1"/>
          </w:tcPr>
          <w:p>
            <w:pPr>
              <w:jc w:val="right"/>
              <w:rPr>
                <w:rFonts w:cs="宋体" w:asciiTheme="minorEastAsia" w:hAnsiTheme="minorEastAsia" w:eastAsiaTheme="minorEastAsia"/>
                <w:b/>
                <w:kern w:val="0"/>
                <w:sz w:val="18"/>
                <w:szCs w:val="18"/>
              </w:rPr>
            </w:pPr>
          </w:p>
        </w:tc>
        <w:tc>
          <w:tcPr>
            <w:tcW w:w="860" w:type="pct"/>
            <w:shd w:val="pct10" w:color="auto" w:fill="FFFFFF" w:themeFill="background1"/>
          </w:tcPr>
          <w:p>
            <w:pPr>
              <w:jc w:val="right"/>
              <w:rPr>
                <w:rFonts w:cs="宋体" w:asciiTheme="minorEastAsia" w:hAnsiTheme="minorEastAsia" w:eastAsiaTheme="minorEastAsia"/>
                <w:b/>
                <w:kern w:val="0"/>
                <w:sz w:val="18"/>
                <w:szCs w:val="18"/>
              </w:rPr>
            </w:pPr>
          </w:p>
        </w:tc>
        <w:tc>
          <w:tcPr>
            <w:tcW w:w="896"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投资活动产生的现金流量净额</w:t>
            </w:r>
          </w:p>
        </w:tc>
        <w:tc>
          <w:tcPr>
            <w:tcW w:w="896" w:type="pct"/>
            <w:shd w:val="pct10" w:color="auto" w:fill="FFFFFF" w:themeFill="background1"/>
          </w:tcPr>
          <w:p>
            <w:pPr>
              <w:jc w:val="right"/>
              <w:rPr>
                <w:rFonts w:cs="宋体" w:asciiTheme="minorEastAsia" w:hAnsiTheme="minorEastAsia" w:eastAsiaTheme="minorEastAsia"/>
                <w:b/>
                <w:kern w:val="0"/>
                <w:sz w:val="18"/>
                <w:szCs w:val="18"/>
              </w:rPr>
            </w:pPr>
          </w:p>
        </w:tc>
        <w:tc>
          <w:tcPr>
            <w:tcW w:w="860" w:type="pct"/>
            <w:shd w:val="pct10" w:color="auto" w:fill="FFFFFF" w:themeFill="background1"/>
          </w:tcPr>
          <w:p>
            <w:pPr>
              <w:jc w:val="right"/>
              <w:rPr>
                <w:rFonts w:cs="宋体" w:asciiTheme="minorEastAsia" w:hAnsiTheme="minorEastAsia" w:eastAsiaTheme="minorEastAsia"/>
                <w:b/>
                <w:kern w:val="0"/>
                <w:sz w:val="18"/>
                <w:szCs w:val="18"/>
              </w:rPr>
            </w:pPr>
          </w:p>
        </w:tc>
        <w:tc>
          <w:tcPr>
            <w:tcW w:w="896"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三、筹资活动产生的现金流量：</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吸收投资收到的现金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其中：子公司吸收少数股东投资收到的现金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取得借款收到的现金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发行债券收到的现金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收到其他与筹资活动有关的现金</w:t>
            </w: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0"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筹资活动现金流入小计</w:t>
            </w:r>
          </w:p>
        </w:tc>
        <w:tc>
          <w:tcPr>
            <w:tcW w:w="896" w:type="pct"/>
            <w:shd w:val="pct10" w:color="auto" w:fill="auto"/>
          </w:tcPr>
          <w:p>
            <w:pPr>
              <w:jc w:val="right"/>
              <w:rPr>
                <w:rFonts w:cs="宋体" w:asciiTheme="minorEastAsia" w:hAnsiTheme="minorEastAsia" w:eastAsiaTheme="minorEastAsia"/>
                <w:kern w:val="0"/>
                <w:sz w:val="18"/>
                <w:szCs w:val="18"/>
              </w:rPr>
            </w:pPr>
          </w:p>
        </w:tc>
        <w:tc>
          <w:tcPr>
            <w:tcW w:w="860" w:type="pct"/>
            <w:shd w:val="pct10" w:color="auto" w:fill="auto"/>
          </w:tcPr>
          <w:p>
            <w:pPr>
              <w:jc w:val="right"/>
              <w:rPr>
                <w:rFonts w:cs="宋体" w:asciiTheme="minorEastAsia" w:hAnsiTheme="minorEastAsia" w:eastAsiaTheme="minorEastAsia"/>
                <w:kern w:val="0"/>
                <w:sz w:val="18"/>
                <w:szCs w:val="18"/>
              </w:rPr>
            </w:pPr>
          </w:p>
        </w:tc>
        <w:tc>
          <w:tcPr>
            <w:tcW w:w="896"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偿还债务支付的现金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分配股利、利润或偿付利息支付的现金</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其中：子公司支付给少数股东的股利、利润</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支付其他与筹资活动有关的现金</w:t>
            </w: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0"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9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筹资活动现金流出小计</w:t>
            </w: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c>
          <w:tcPr>
            <w:tcW w:w="860" w:type="pct"/>
            <w:shd w:val="pct10" w:color="auto" w:fill="FFFFFF" w:themeFill="background1"/>
          </w:tcPr>
          <w:p>
            <w:pPr>
              <w:jc w:val="right"/>
              <w:rPr>
                <w:rFonts w:cs="宋体" w:asciiTheme="minorEastAsia" w:hAnsiTheme="minorEastAsia" w:eastAsiaTheme="minorEastAsia"/>
                <w:kern w:val="0"/>
                <w:sz w:val="18"/>
                <w:szCs w:val="18"/>
              </w:rPr>
            </w:pP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筹资活动产生的现金流量净额</w:t>
            </w: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c>
          <w:tcPr>
            <w:tcW w:w="860" w:type="pct"/>
            <w:shd w:val="pct10" w:color="auto" w:fill="FFFFFF" w:themeFill="background1"/>
          </w:tcPr>
          <w:p>
            <w:pPr>
              <w:jc w:val="right"/>
              <w:rPr>
                <w:rFonts w:cs="宋体" w:asciiTheme="minorEastAsia" w:hAnsiTheme="minorEastAsia" w:eastAsiaTheme="minorEastAsia"/>
                <w:kern w:val="0"/>
                <w:sz w:val="18"/>
                <w:szCs w:val="18"/>
              </w:rPr>
            </w:pPr>
          </w:p>
        </w:tc>
        <w:tc>
          <w:tcPr>
            <w:tcW w:w="89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四、汇率变动对现金及现金等价物的影响</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五、现金及现金等价物净增加额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加：期初现金及现金等价物余额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48"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六、期末现金及现金等价物余额</w:t>
            </w:r>
          </w:p>
        </w:tc>
        <w:tc>
          <w:tcPr>
            <w:tcW w:w="896" w:type="pct"/>
            <w:shd w:val="clear" w:color="auto" w:fill="auto"/>
          </w:tcPr>
          <w:p>
            <w:pPr>
              <w:jc w:val="right"/>
              <w:rPr>
                <w:rFonts w:cs="宋体" w:asciiTheme="minorEastAsia" w:hAnsiTheme="minorEastAsia" w:eastAsiaTheme="minorEastAsia"/>
                <w:kern w:val="0"/>
                <w:sz w:val="18"/>
                <w:szCs w:val="18"/>
              </w:rPr>
            </w:pPr>
          </w:p>
        </w:tc>
        <w:tc>
          <w:tcPr>
            <w:tcW w:w="860" w:type="pct"/>
            <w:shd w:val="clear" w:color="auto" w:fill="auto"/>
          </w:tcPr>
          <w:p>
            <w:pPr>
              <w:jc w:val="right"/>
              <w:rPr>
                <w:rFonts w:cs="宋体" w:asciiTheme="minorEastAsia" w:hAnsiTheme="minorEastAsia" w:eastAsiaTheme="minorEastAsia"/>
                <w:kern w:val="0"/>
                <w:sz w:val="18"/>
                <w:szCs w:val="18"/>
              </w:rPr>
            </w:pPr>
          </w:p>
        </w:tc>
        <w:tc>
          <w:tcPr>
            <w:tcW w:w="896" w:type="pct"/>
            <w:shd w:val="clear" w:color="auto" w:fill="auto"/>
          </w:tcPr>
          <w:p>
            <w:pPr>
              <w:jc w:val="right"/>
              <w:rPr>
                <w:rFonts w:cs="宋体" w:asciiTheme="minorEastAsia" w:hAnsiTheme="minorEastAsia" w:eastAsiaTheme="minorEastAsia"/>
                <w:kern w:val="0"/>
                <w:sz w:val="18"/>
                <w:szCs w:val="18"/>
              </w:rPr>
            </w:pPr>
          </w:p>
        </w:tc>
      </w:tr>
    </w:tbl>
    <w:p>
      <w:pPr>
        <w:widowControl/>
        <w:ind w:right="-382"/>
        <w:jc w:val="left"/>
        <w:rPr>
          <w:rFonts w:asciiTheme="minorEastAsia" w:hAnsiTheme="minorEastAsia" w:eastAsiaTheme="minorEastAsia"/>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Theme="minorEastAsia" w:hAnsiTheme="minorEastAsia" w:eastAsiaTheme="minorEastAsia"/>
          <w:b/>
          <w:bCs/>
          <w:szCs w:val="18"/>
        </w:rPr>
      </w:pPr>
    </w:p>
    <w:p>
      <w:pPr>
        <w:pStyle w:val="5"/>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pPr>
        <w:ind w:left="6720" w:firstLine="420"/>
        <w:jc w:val="right"/>
      </w:pPr>
      <w:r>
        <w:rPr>
          <w:rFonts w:hint="eastAsia"/>
        </w:rPr>
        <w:t>单位</w:t>
      </w:r>
      <w:r>
        <w:t>：元</w:t>
      </w:r>
      <w:r>
        <w:rPr>
          <w:rFonts w:hint="eastAsia"/>
        </w:rPr>
        <w:t xml:space="preserve"> </w:t>
      </w:r>
    </w:p>
    <w:tbl>
      <w:tblPr>
        <w:tblStyle w:val="45"/>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项目</w:t>
            </w:r>
          </w:p>
        </w:tc>
        <w:tc>
          <w:tcPr>
            <w:tcW w:w="902"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附注</w:t>
            </w:r>
          </w:p>
        </w:tc>
        <w:tc>
          <w:tcPr>
            <w:tcW w:w="804" w:type="pct"/>
            <w:shd w:val="pct10" w:color="auto" w:fill="FFFFFF" w:themeFill="background1"/>
          </w:tcPr>
          <w:p>
            <w:pPr>
              <w:jc w:val="center"/>
              <w:rPr>
                <w:rFonts w:asciiTheme="minorEastAsia" w:hAnsiTheme="minorEastAsia" w:eastAsiaTheme="minorEastAsia"/>
                <w:b/>
                <w:sz w:val="18"/>
                <w:szCs w:val="21"/>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018" w:type="pct"/>
            <w:shd w:val="pct10" w:color="auto" w:fill="FFFFFF" w:themeFill="background1"/>
            <w:vAlign w:val="center"/>
          </w:tcPr>
          <w:p>
            <w:pPr>
              <w:jc w:val="center"/>
              <w:rPr>
                <w:rFonts w:cs="宋体" w:asciiTheme="minorEastAsia" w:hAnsiTheme="minorEastAsia" w:eastAsiaTheme="minorEastAsia"/>
                <w:b/>
                <w:sz w:val="18"/>
                <w:szCs w:val="21"/>
              </w:rPr>
            </w:pPr>
            <w:r>
              <w:rPr>
                <w:rFonts w:asciiTheme="minorEastAsia" w:hAnsiTheme="minorEastAsia" w:eastAsiaTheme="minorEastAsia"/>
                <w:b/>
                <w:sz w:val="18"/>
                <w:szCs w:val="18"/>
              </w:rPr>
              <w:t>2021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一、经营活动产生的现金流量：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销售商品、提供劳务收到的现金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收到的税费返还</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18"/>
              </w:rPr>
              <w:t>收到其他与经营活动有关的现金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18"/>
              </w:rPr>
              <w:t>经营活动现金流入小计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购买商品、接受劳务支付的现金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支付给职工以及为职工支付的现金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支付的各项税费</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经营活动现金流出小计</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经营活动产生的现金流量净额</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二、投资活动产生的现金流量：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收回投资收到的现金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取得投资收益收到的现金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处置固定资产、无形资产和其他长期资产收回的现金净额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处置子公司及其他营业单位收到的现金净额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收到其他与投资活动有关的现金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购建固定资产、无形资产和其他长期资产支付的现金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投资支付的现金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取得子公司及其他营业单位支付的现金净额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支付其他与投资活动有关的现金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三、筹资活动产生的现金流量：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吸收投资收到的现金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取得借款收到的现金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eastAsiaTheme="minorEastAsia"/>
                <w:sz w:val="18"/>
                <w:szCs w:val="21"/>
              </w:rPr>
            </w:pPr>
            <w:r>
              <w:rPr>
                <w:rFonts w:hint="eastAsia" w:asciiTheme="minorEastAsia" w:hAnsiTheme="minorEastAsia" w:eastAsiaTheme="minorEastAsia"/>
                <w:sz w:val="18"/>
                <w:szCs w:val="21"/>
              </w:rPr>
              <w:t>发行债券收到的现金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收到其他与筹资活动有关的现金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偿还债务支付的现金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分配股利、利润或偿付利息支付的现金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支付其他与筹资活动有关的现金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四、汇率变动对现金及现金等价物的影响</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五、现金及现金等价物净增加额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加：期初现金及现金等价物余额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六、期末现金及现金等价物余额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bl>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三、财务报表附注</w:t>
      </w:r>
    </w:p>
    <w:p>
      <w:pPr>
        <w:pStyle w:val="5"/>
        <w:keepNext w:val="0"/>
        <w:keepLines w:val="0"/>
        <w:spacing w:before="240" w:line="377" w:lineRule="auto"/>
        <w:jc w:val="left"/>
        <w:rPr>
          <w:szCs w:val="22"/>
        </w:rPr>
      </w:pPr>
      <w:r>
        <w:rPr>
          <w:rFonts w:hint="eastAsia"/>
          <w:szCs w:val="22"/>
        </w:rPr>
        <w:t>（一）</w:t>
      </w:r>
      <w:r>
        <w:rPr>
          <w:szCs w:val="22"/>
        </w:rPr>
        <w:t>附注事项索引</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330"/>
        <w:gridCol w:w="1608"/>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pct10" w:color="auto" w:fill="auto"/>
          </w:tcPr>
          <w:p>
            <w:pPr>
              <w:jc w:val="center"/>
              <w:rPr>
                <w:rFonts w:asciiTheme="minorEastAsia" w:hAnsiTheme="minorEastAsia" w:eastAsiaTheme="minorEastAsia"/>
                <w:b/>
                <w:szCs w:val="24"/>
              </w:rPr>
            </w:pPr>
            <w:r>
              <w:rPr>
                <w:rFonts w:asciiTheme="minorEastAsia" w:hAnsiTheme="minorEastAsia" w:eastAsiaTheme="minorEastAsia"/>
                <w:b/>
                <w:szCs w:val="24"/>
              </w:rPr>
              <w:t>事项</w:t>
            </w:r>
          </w:p>
        </w:tc>
        <w:tc>
          <w:tcPr>
            <w:tcW w:w="1608"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是或</w:t>
            </w:r>
            <w:r>
              <w:rPr>
                <w:rFonts w:asciiTheme="minorEastAsia" w:hAnsiTheme="minorEastAsia" w:eastAsiaTheme="minorEastAsia"/>
                <w:b/>
                <w:szCs w:val="24"/>
              </w:rPr>
              <w:t>否</w:t>
            </w:r>
          </w:p>
        </w:tc>
        <w:tc>
          <w:tcPr>
            <w:tcW w:w="1701"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1．半年度报告所采用的会计政策与上年度财务报表是否变化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r>
              <w:rPr>
                <w:rFonts w:hint="eastAsia" w:asciiTheme="minorEastAsia" w:hAnsiTheme="minorEastAsia" w:eastAsiaTheme="minorEastAsia"/>
                <w:color w:val="FF0000"/>
                <w:szCs w:val="24"/>
              </w:rPr>
              <w:t>如该事项</w:t>
            </w:r>
            <w:r>
              <w:rPr>
                <w:rFonts w:asciiTheme="minorEastAsia" w:hAnsiTheme="minorEastAsia" w:eastAsiaTheme="minorEastAsia"/>
                <w:color w:val="FF0000"/>
                <w:szCs w:val="24"/>
              </w:rPr>
              <w:t>不存在</w:t>
            </w:r>
            <w:r>
              <w:rPr>
                <w:rFonts w:hint="eastAsia" w:asciiTheme="minorEastAsia" w:hAnsiTheme="minorEastAsia" w:eastAsiaTheme="minorEastAsia"/>
                <w:color w:val="FF0000"/>
                <w:szCs w:val="24"/>
              </w:rPr>
              <w:t>，</w:t>
            </w:r>
            <w:r>
              <w:rPr>
                <w:rFonts w:asciiTheme="minorEastAsia" w:hAnsiTheme="minorEastAsia" w:eastAsiaTheme="minorEastAsia"/>
                <w:color w:val="FF0000"/>
                <w:szCs w:val="24"/>
              </w:rPr>
              <w:t>请填写“</w:t>
            </w:r>
            <w:r>
              <w:rPr>
                <w:rFonts w:hint="eastAsia" w:asciiTheme="minorEastAsia" w:hAnsiTheme="minorEastAsia" w:eastAsiaTheme="minorEastAsia"/>
                <w:color w:val="FF0000"/>
                <w:szCs w:val="24"/>
              </w:rPr>
              <w:t>不适用</w:t>
            </w:r>
            <w:r>
              <w:rPr>
                <w:rFonts w:asciiTheme="minorEastAsia" w:hAnsiTheme="minorEastAsia" w:eastAsiaTheme="minorEastAsia"/>
                <w:color w:val="FF0000"/>
                <w:szCs w:val="24"/>
              </w:rPr>
              <w:t>”</w:t>
            </w:r>
            <w:r>
              <w:rPr>
                <w:rFonts w:hint="eastAsia" w:asciiTheme="minorEastAsia" w:hAnsiTheme="minorEastAsia" w:eastAsiaTheme="minorEastAsia"/>
                <w:color w:val="FF0000"/>
                <w:szCs w:val="2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2．半年度</w:t>
            </w:r>
            <w:r>
              <w:rPr>
                <w:rFonts w:asciiTheme="minorEastAsia" w:hAnsiTheme="minorEastAsia" w:eastAsiaTheme="minorEastAsia"/>
                <w:color w:val="000000" w:themeColor="text1"/>
                <w:kern w:val="0"/>
                <w:szCs w:val="21"/>
                <w14:textFill>
                  <w14:solidFill>
                    <w14:schemeClr w14:val="tx1"/>
                  </w14:solidFill>
                </w14:textFill>
              </w:rPr>
              <w:t>报告所采用的</w:t>
            </w:r>
            <w:r>
              <w:rPr>
                <w:rFonts w:hint="eastAsia" w:asciiTheme="minorEastAsia" w:hAnsiTheme="minorEastAsia" w:eastAsiaTheme="minorEastAsia"/>
                <w:color w:val="000000" w:themeColor="text1"/>
                <w:kern w:val="0"/>
                <w:szCs w:val="21"/>
                <w14:textFill>
                  <w14:solidFill>
                    <w14:schemeClr w14:val="tx1"/>
                  </w14:solidFill>
                </w14:textFill>
              </w:rPr>
              <w:t>会计估计与</w:t>
            </w:r>
            <w:r>
              <w:rPr>
                <w:rFonts w:asciiTheme="minorEastAsia" w:hAnsiTheme="minorEastAsia" w:eastAsiaTheme="minorEastAsia"/>
                <w:color w:val="000000" w:themeColor="text1"/>
                <w:kern w:val="0"/>
                <w:szCs w:val="21"/>
                <w14:textFill>
                  <w14:solidFill>
                    <w14:schemeClr w14:val="tx1"/>
                  </w14:solidFill>
                </w14:textFill>
              </w:rPr>
              <w:t>上年度</w:t>
            </w:r>
            <w:r>
              <w:rPr>
                <w:rFonts w:hint="eastAsia" w:asciiTheme="minorEastAsia" w:hAnsiTheme="minorEastAsia" w:eastAsiaTheme="minorEastAsia"/>
                <w:color w:val="000000" w:themeColor="text1"/>
                <w:kern w:val="0"/>
                <w:szCs w:val="21"/>
                <w14:textFill>
                  <w14:solidFill>
                    <w14:schemeClr w14:val="tx1"/>
                  </w14:solidFill>
                </w14:textFill>
              </w:rPr>
              <w:t>财务报表</w:t>
            </w:r>
            <w:r>
              <w:rPr>
                <w:rFonts w:asciiTheme="minorEastAsia" w:hAnsiTheme="minorEastAsia" w:eastAsiaTheme="minorEastAsia"/>
                <w:color w:val="000000" w:themeColor="text1"/>
                <w:kern w:val="0"/>
                <w:szCs w:val="21"/>
                <w14:textFill>
                  <w14:solidFill>
                    <w14:schemeClr w14:val="tx1"/>
                  </w14:solidFill>
                </w14:textFill>
              </w:rPr>
              <w:t>是否</w:t>
            </w:r>
            <w:r>
              <w:rPr>
                <w:rFonts w:hint="eastAsia" w:asciiTheme="minorEastAsia" w:hAnsiTheme="minorEastAsia" w:eastAsiaTheme="minorEastAsia"/>
                <w:color w:val="000000" w:themeColor="text1"/>
                <w:kern w:val="0"/>
                <w:szCs w:val="21"/>
                <w14:textFill>
                  <w14:solidFill>
                    <w14:schemeClr w14:val="tx1"/>
                  </w14:solidFill>
                </w14:textFill>
              </w:rPr>
              <w:t>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3．是否</w:t>
            </w:r>
            <w:r>
              <w:rPr>
                <w:rFonts w:asciiTheme="minorEastAsia" w:hAnsiTheme="minorEastAsia" w:eastAsiaTheme="minorEastAsia"/>
                <w:color w:val="000000" w:themeColor="text1"/>
                <w:kern w:val="0"/>
                <w:szCs w:val="21"/>
                <w14:textFill>
                  <w14:solidFill>
                    <w14:schemeClr w14:val="tx1"/>
                  </w14:solidFill>
                </w14:textFill>
              </w:rPr>
              <w:t>存在前期差错更正</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4．企业经营</w:t>
            </w:r>
            <w:r>
              <w:rPr>
                <w:rFonts w:asciiTheme="minorEastAsia" w:hAnsiTheme="minorEastAsia" w:eastAsiaTheme="minorEastAsia"/>
                <w:color w:val="000000" w:themeColor="text1"/>
                <w:kern w:val="0"/>
                <w:szCs w:val="21"/>
                <w14:textFill>
                  <w14:solidFill>
                    <w14:schemeClr w14:val="tx1"/>
                  </w14:solidFill>
                </w14:textFill>
              </w:rPr>
              <w:t>是否存在季节性或者周期性特征</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w:t>
            </w:r>
            <w:r>
              <w:rPr>
                <w:rFonts w:hint="eastAsia"/>
                <w:color w:val="000000"/>
              </w:rPr>
              <w:t xml:space="preserve"> 存在控制关系的关联方是否发生变化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．合并财务报表</w:t>
            </w:r>
            <w:r>
              <w:rPr>
                <w:rFonts w:asciiTheme="minorEastAsia" w:hAnsiTheme="minorEastAsia" w:eastAsiaTheme="minorEastAsia"/>
                <w:color w:val="000000" w:themeColor="text1"/>
                <w:kern w:val="0"/>
                <w:szCs w:val="21"/>
                <w14:textFill>
                  <w14:solidFill>
                    <w14:schemeClr w14:val="tx1"/>
                  </w14:solidFill>
                </w14:textFill>
              </w:rPr>
              <w:t>的合并范围</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hint="eastAsia"/>
                <w:color w:val="000000"/>
              </w:rPr>
              <w:t>证券发行、回购和偿还情况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8</w:t>
            </w:r>
            <w:r>
              <w:rPr>
                <w:rFonts w:hint="eastAsia" w:asciiTheme="minorEastAsia" w:hAnsiTheme="minorEastAsia" w:eastAsiaTheme="minorEastAsia"/>
                <w:color w:val="000000" w:themeColor="text1"/>
                <w:kern w:val="0"/>
                <w:szCs w:val="21"/>
                <w14:textFill>
                  <w14:solidFill>
                    <w14:schemeClr w14:val="tx1"/>
                  </w14:solidFill>
                </w14:textFill>
              </w:rPr>
              <w:t>. 是否存在</w:t>
            </w:r>
            <w:r>
              <w:rPr>
                <w:rFonts w:hint="eastAsia"/>
                <w:color w:val="000000"/>
              </w:rPr>
              <w:t>向所有者分配利润的情况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9</w:t>
            </w:r>
            <w:r>
              <w:rPr>
                <w:rFonts w:hint="eastAsia" w:asciiTheme="minorEastAsia" w:hAnsiTheme="minorEastAsia" w:eastAsiaTheme="minorEastAsia"/>
                <w:color w:val="000000" w:themeColor="text1"/>
                <w:kern w:val="0"/>
                <w:szCs w:val="21"/>
                <w14:textFill>
                  <w14:solidFill>
                    <w14:schemeClr w14:val="tx1"/>
                  </w14:solidFill>
                </w14:textFill>
              </w:rPr>
              <w:t>.是否根据会计</w:t>
            </w:r>
            <w:r>
              <w:rPr>
                <w:rFonts w:asciiTheme="minorEastAsia" w:hAnsiTheme="minorEastAsia" w:eastAsiaTheme="minorEastAsia"/>
                <w:color w:val="000000" w:themeColor="text1"/>
                <w:kern w:val="0"/>
                <w:szCs w:val="21"/>
                <w14:textFill>
                  <w14:solidFill>
                    <w14:schemeClr w14:val="tx1"/>
                  </w14:solidFill>
                </w14:textFill>
              </w:rPr>
              <w:t>准则的相关规定披露分部报告</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10</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asciiTheme="minorEastAsia" w:hAnsiTheme="minorEastAsia" w:eastAsiaTheme="minorEastAsia"/>
                <w:color w:val="000000" w:themeColor="text1"/>
                <w:kern w:val="0"/>
                <w:szCs w:val="21"/>
                <w14:textFill>
                  <w14:solidFill>
                    <w14:schemeClr w14:val="tx1"/>
                  </w14:solidFill>
                </w14:textFill>
              </w:rPr>
              <w:t>半年度</w:t>
            </w:r>
            <w:r>
              <w:rPr>
                <w:rFonts w:hint="eastAsia" w:asciiTheme="minorEastAsia" w:hAnsiTheme="minorEastAsia" w:eastAsiaTheme="minorEastAsia"/>
                <w:color w:val="000000" w:themeColor="text1"/>
                <w:kern w:val="0"/>
                <w:szCs w:val="21"/>
                <w14:textFill>
                  <w14:solidFill>
                    <w14:schemeClr w14:val="tx1"/>
                  </w14:solidFill>
                </w14:textFill>
              </w:rPr>
              <w:t>资产负债表日至</w:t>
            </w:r>
            <w:r>
              <w:rPr>
                <w:rFonts w:asciiTheme="minorEastAsia" w:hAnsiTheme="minorEastAsia" w:eastAsiaTheme="minorEastAsia"/>
                <w:color w:val="000000" w:themeColor="text1"/>
                <w:kern w:val="0"/>
                <w:szCs w:val="21"/>
                <w14:textFill>
                  <w14:solidFill>
                    <w14:schemeClr w14:val="tx1"/>
                  </w14:solidFill>
                </w14:textFill>
              </w:rPr>
              <w:t>半年度财务报告批准报出日之间的非调整事项</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11</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w:t>
            </w:r>
            <w:r>
              <w:rPr>
                <w:rFonts w:hint="eastAsia" w:asciiTheme="minorEastAsia" w:hAnsiTheme="minorEastAsia" w:eastAsiaTheme="minorEastAsia"/>
                <w:color w:val="000000" w:themeColor="text1"/>
                <w:kern w:val="0"/>
                <w:szCs w:val="21"/>
                <w14:textFill>
                  <w14:solidFill>
                    <w14:schemeClr w14:val="tx1"/>
                  </w14:solidFill>
                </w14:textFill>
              </w:rPr>
              <w:t>上年度</w:t>
            </w:r>
            <w:r>
              <w:rPr>
                <w:rFonts w:asciiTheme="minorEastAsia" w:hAnsiTheme="minorEastAsia" w:eastAsiaTheme="minorEastAsia"/>
                <w:color w:val="000000" w:themeColor="text1"/>
                <w:kern w:val="0"/>
                <w:szCs w:val="21"/>
                <w14:textFill>
                  <w14:solidFill>
                    <w14:schemeClr w14:val="tx1"/>
                  </w14:solidFill>
                </w14:textFill>
              </w:rPr>
              <w:t>资产</w:t>
            </w:r>
            <w:r>
              <w:rPr>
                <w:rFonts w:hint="eastAsia" w:asciiTheme="minorEastAsia" w:hAnsiTheme="minorEastAsia" w:eastAsiaTheme="minorEastAsia"/>
                <w:color w:val="000000" w:themeColor="text1"/>
                <w:kern w:val="0"/>
                <w:szCs w:val="21"/>
                <w14:textFill>
                  <w14:solidFill>
                    <w14:schemeClr w14:val="tx1"/>
                  </w14:solidFill>
                </w14:textFill>
              </w:rPr>
              <w:t>负债</w:t>
            </w:r>
            <w:r>
              <w:rPr>
                <w:rFonts w:asciiTheme="minorEastAsia" w:hAnsiTheme="minorEastAsia" w:eastAsiaTheme="minorEastAsia"/>
                <w:color w:val="000000" w:themeColor="text1"/>
                <w:kern w:val="0"/>
                <w:szCs w:val="21"/>
                <w14:textFill>
                  <w14:solidFill>
                    <w14:schemeClr w14:val="tx1"/>
                  </w14:solidFill>
                </w14:textFill>
              </w:rPr>
              <w:t>表日以后所发生的或有负债和或有资产</w:t>
            </w:r>
            <w:r>
              <w:rPr>
                <w:rFonts w:hint="eastAsia" w:asciiTheme="minorEastAsia" w:hAnsiTheme="minorEastAsia" w:eastAsiaTheme="minorEastAsia"/>
                <w:color w:val="000000" w:themeColor="text1"/>
                <w:kern w:val="0"/>
                <w:szCs w:val="21"/>
                <w14:textFill>
                  <w14:solidFill>
                    <w14:schemeClr w14:val="tx1"/>
                  </w14:solidFill>
                </w14:textFill>
              </w:rPr>
              <w:t>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12</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存在企业结构变化情况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13</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长期资产是否转</w:t>
            </w:r>
            <w:r>
              <w:rPr>
                <w:rFonts w:hint="eastAsia" w:asciiTheme="minorEastAsia" w:hAnsiTheme="minorEastAsia" w:eastAsiaTheme="minorEastAsia"/>
                <w:color w:val="000000" w:themeColor="text1"/>
                <w:kern w:val="0"/>
                <w:szCs w:val="21"/>
                <w14:textFill>
                  <w14:solidFill>
                    <w14:schemeClr w14:val="tx1"/>
                  </w14:solidFill>
                </w14:textFill>
              </w:rPr>
              <w:t>让</w:t>
            </w:r>
            <w:r>
              <w:rPr>
                <w:rFonts w:asciiTheme="minorEastAsia" w:hAnsiTheme="minorEastAsia" w:eastAsiaTheme="minorEastAsia"/>
                <w:color w:val="000000" w:themeColor="text1"/>
                <w:kern w:val="0"/>
                <w:szCs w:val="21"/>
                <w14:textFill>
                  <w14:solidFill>
                    <w14:schemeClr w14:val="tx1"/>
                  </w14:solidFill>
                </w14:textFill>
              </w:rPr>
              <w:t>或者出售</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14</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固定资产和</w:t>
            </w:r>
            <w:r>
              <w:rPr>
                <w:rFonts w:hint="eastAsia" w:asciiTheme="minorEastAsia" w:hAnsiTheme="minorEastAsia" w:eastAsiaTheme="minorEastAsia"/>
                <w:color w:val="000000" w:themeColor="text1"/>
                <w:kern w:val="0"/>
                <w:szCs w:val="21"/>
                <w14:textFill>
                  <w14:solidFill>
                    <w14:schemeClr w14:val="tx1"/>
                  </w14:solidFill>
                </w14:textFill>
              </w:rPr>
              <w:t>无形</w:t>
            </w:r>
            <w:r>
              <w:rPr>
                <w:rFonts w:asciiTheme="minorEastAsia" w:hAnsiTheme="minorEastAsia" w:eastAsiaTheme="minorEastAsia"/>
                <w:color w:val="000000" w:themeColor="text1"/>
                <w:kern w:val="0"/>
                <w:szCs w:val="21"/>
                <w14:textFill>
                  <w14:solidFill>
                    <w14:schemeClr w14:val="tx1"/>
                  </w14:solidFill>
                </w14:textFill>
              </w:rPr>
              <w:t>资产是否发生变化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15</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存在重大的研究和开发支出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．是否存在重大</w:t>
            </w:r>
            <w:r>
              <w:rPr>
                <w:rFonts w:asciiTheme="minorEastAsia" w:hAnsiTheme="minorEastAsia" w:eastAsiaTheme="minorEastAsia"/>
                <w:color w:val="000000" w:themeColor="text1"/>
                <w:kern w:val="0"/>
                <w:szCs w:val="21"/>
                <w14:textFill>
                  <w14:solidFill>
                    <w14:schemeClr w14:val="tx1"/>
                  </w14:solidFill>
                </w14:textFill>
              </w:rPr>
              <w:t>的资产减值损失</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 xml:space="preserve">17. </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存在预计负债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bl>
    <w:p>
      <w:pPr>
        <w:rPr>
          <w:i/>
          <w:color w:val="FF0000"/>
        </w:rPr>
      </w:pPr>
    </w:p>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附注事项索引说明</w:t>
      </w:r>
      <w:r>
        <w:rPr>
          <w:rFonts w:asciiTheme="minorEastAsia" w:hAnsiTheme="minorEastAsia" w:eastAsiaTheme="minorEastAsia"/>
          <w:b/>
          <w:color w:val="000000" w:themeColor="text1"/>
          <w:szCs w:val="21"/>
          <w14:textFill>
            <w14:solidFill>
              <w14:schemeClr w14:val="tx1"/>
            </w14:solidFill>
          </w14:textFill>
        </w:rPr>
        <w:t>：</w:t>
      </w:r>
    </w:p>
    <w:tbl>
      <w:tblPr>
        <w:tblStyle w:val="12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pPr>
        <w:rPr>
          <w:i/>
          <w:color w:val="FF0000"/>
        </w:rPr>
      </w:pPr>
    </w:p>
    <w:p>
      <w:pPr>
        <w:pStyle w:val="5"/>
        <w:keepNext w:val="0"/>
        <w:keepLines w:val="0"/>
        <w:spacing w:line="377" w:lineRule="auto"/>
        <w:jc w:val="left"/>
        <w:rPr>
          <w:szCs w:val="22"/>
        </w:rPr>
      </w:pPr>
      <w:r>
        <w:rPr>
          <w:rFonts w:hint="eastAsia"/>
          <w:szCs w:val="22"/>
        </w:rPr>
        <w:t>（二）财务报表项目附注</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注：具体的报表项目注释参照《企业会计</w:t>
      </w:r>
      <w:r>
        <w:rPr>
          <w:rFonts w:asciiTheme="minorEastAsia" w:hAnsiTheme="minorEastAsia" w:eastAsiaTheme="minorEastAsia"/>
          <w:i/>
          <w:color w:val="FF0000"/>
          <w:szCs w:val="44"/>
        </w:rPr>
        <w:t>准则</w:t>
      </w:r>
      <w:r>
        <w:rPr>
          <w:rFonts w:hint="eastAsia" w:asciiTheme="minorEastAsia" w:hAnsiTheme="minorEastAsia" w:eastAsiaTheme="minorEastAsia"/>
          <w:i/>
          <w:color w:val="FF0000"/>
          <w:szCs w:val="44"/>
        </w:rPr>
        <w:t>》、《公开发行证券的公司信息披露编报规则第15号——财务报告的一般规定》（201</w:t>
      </w:r>
      <w:r>
        <w:rPr>
          <w:rFonts w:asciiTheme="minorEastAsia" w:hAnsiTheme="minorEastAsia" w:eastAsiaTheme="minorEastAsia"/>
          <w:i/>
          <w:color w:val="FF0000"/>
          <w:szCs w:val="44"/>
        </w:rPr>
        <w:t>4</w:t>
      </w:r>
      <w:r>
        <w:rPr>
          <w:rFonts w:hint="eastAsia" w:asciiTheme="minorEastAsia" w:hAnsiTheme="minorEastAsia" w:eastAsiaTheme="minorEastAsia"/>
          <w:i/>
          <w:color w:val="FF0000"/>
          <w:szCs w:val="44"/>
        </w:rPr>
        <w:t>年修订）的规定编制。</w:t>
      </w:r>
    </w:p>
    <w:p>
      <w:pPr>
        <w:rPr>
          <w:rFonts w:asciiTheme="minorEastAsia" w:hAnsiTheme="minorEastAsia" w:eastAsiaTheme="minorEastAsia"/>
          <w:i/>
          <w:color w:val="FF0000"/>
          <w:szCs w:val="44"/>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编制合并财务报表的公司，应对合并财务报表项目进行注释，并对母公司财务报表的主要项目进行注释。</w:t>
      </w:r>
    </w:p>
    <w:p>
      <w:pPr>
        <w:pStyle w:val="35"/>
        <w:rPr>
          <w:rFonts w:ascii="黑体" w:hAnsi="黑体" w:eastAsia="黑体"/>
          <w:b w:val="0"/>
          <w:sz w:val="36"/>
          <w:szCs w:val="36"/>
        </w:rPr>
      </w:pPr>
      <w:r>
        <w:rPr>
          <w:rFonts w:hint="eastAsia" w:ascii="黑体" w:hAnsi="黑体" w:eastAsia="黑体"/>
          <w:b w:val="0"/>
          <w:sz w:val="36"/>
          <w:szCs w:val="36"/>
        </w:rPr>
        <w:t xml:space="preserve">第八节 </w:t>
      </w:r>
      <w:r>
        <w:rPr>
          <w:rFonts w:ascii="黑体" w:hAnsi="黑体" w:eastAsia="黑体"/>
          <w:b w:val="0"/>
          <w:sz w:val="36"/>
          <w:szCs w:val="36"/>
        </w:rPr>
        <w:t>备查文件</w:t>
      </w:r>
      <w:r>
        <w:rPr>
          <w:rFonts w:hint="eastAsia" w:ascii="黑体" w:hAnsi="黑体" w:eastAsia="黑体"/>
          <w:b w:val="0"/>
          <w:sz w:val="36"/>
          <w:szCs w:val="36"/>
        </w:rPr>
        <w:t>目录</w:t>
      </w:r>
    </w:p>
    <w:p>
      <w:pPr>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（一）载有公司负责人、主管会计工作负责人、会计机构负责人（会计主管人员）签名并盖章的财务报表。</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（二）载有会计师事务所盖章、注册会计师签名并盖章的审计报告原件（如有）。</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（三）报告期内在指定信息披露平台上公开披露过的所有公司文件的正本及公告的原稿。</w:t>
      </w:r>
    </w:p>
    <w:p>
      <w:pPr>
        <w:tabs>
          <w:tab w:val="left" w:pos="5140"/>
        </w:tabs>
        <w:ind w:left="420" w:firstLine="420" w:firstLineChars="20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文件备置</w:t>
      </w:r>
      <w:r>
        <w:rPr>
          <w:rFonts w:asciiTheme="minorEastAsia" w:hAnsiTheme="minorEastAsia" w:eastAsiaTheme="minorEastAsia"/>
          <w:color w:val="000000" w:themeColor="text1"/>
          <w:szCs w:val="21"/>
          <w14:textFill>
            <w14:solidFill>
              <w14:schemeClr w14:val="tx1"/>
            </w14:solidFill>
          </w14:textFill>
        </w:rPr>
        <w:t>地址：</w:t>
      </w:r>
    </w:p>
    <w:tbl>
      <w:tblPr>
        <w:tblStyle w:val="147"/>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000000" w:themeColor="text1"/>
                <w:szCs w:val="21"/>
                <w14:textFill>
                  <w14:solidFill>
                    <w14:schemeClr w14:val="tx1"/>
                  </w14:solidFill>
                </w14:textFill>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公司应当在公司住所、证券交易场所置备上述文件。</w:t>
            </w:r>
          </w:p>
        </w:tc>
      </w:tr>
    </w:tbl>
    <w:p/>
    <w:sectPr>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990849"/>
      <w:docPartObj>
        <w:docPartGallery w:val="autotext"/>
      </w:docPartObj>
    </w:sdtPr>
    <w:sdtContent>
      <w:p>
        <w:pPr>
          <w:pStyle w:val="31"/>
          <w:jc w:val="center"/>
        </w:pPr>
        <w:r>
          <w:fldChar w:fldCharType="begin"/>
        </w:r>
        <w:r>
          <w:instrText xml:space="preserve">PAGE   \* MERGEFORMAT</w:instrText>
        </w:r>
        <w:r>
          <w:fldChar w:fldCharType="separate"/>
        </w:r>
        <w:r>
          <w:rPr>
            <w:lang w:val="zh-CN"/>
          </w:rPr>
          <w:t>19</w:t>
        </w:r>
        <w:r>
          <w:fldChar w:fldCharType="end"/>
        </w:r>
      </w:p>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ascii="Times New Roman" w:hAnsi="Times New Roman" w:eastAsia="黑体"/>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2F20"/>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365A2"/>
    <w:rsid w:val="00041E80"/>
    <w:rsid w:val="00043C18"/>
    <w:rsid w:val="00052416"/>
    <w:rsid w:val="00055B06"/>
    <w:rsid w:val="00055CFE"/>
    <w:rsid w:val="0005680E"/>
    <w:rsid w:val="00056A25"/>
    <w:rsid w:val="00056D91"/>
    <w:rsid w:val="00060377"/>
    <w:rsid w:val="000611F4"/>
    <w:rsid w:val="0006186A"/>
    <w:rsid w:val="000621CE"/>
    <w:rsid w:val="00064691"/>
    <w:rsid w:val="00070F74"/>
    <w:rsid w:val="00071660"/>
    <w:rsid w:val="000722E8"/>
    <w:rsid w:val="00072D3D"/>
    <w:rsid w:val="000733D1"/>
    <w:rsid w:val="00073489"/>
    <w:rsid w:val="00073F25"/>
    <w:rsid w:val="000746C6"/>
    <w:rsid w:val="000823F7"/>
    <w:rsid w:val="00082F68"/>
    <w:rsid w:val="00084CD2"/>
    <w:rsid w:val="0008536B"/>
    <w:rsid w:val="00086A8C"/>
    <w:rsid w:val="00087B51"/>
    <w:rsid w:val="00091151"/>
    <w:rsid w:val="0009135B"/>
    <w:rsid w:val="0009152C"/>
    <w:rsid w:val="00092D5C"/>
    <w:rsid w:val="000936E3"/>
    <w:rsid w:val="00093878"/>
    <w:rsid w:val="00094C81"/>
    <w:rsid w:val="00095E58"/>
    <w:rsid w:val="000963C0"/>
    <w:rsid w:val="0009679A"/>
    <w:rsid w:val="000A0949"/>
    <w:rsid w:val="000A2BA3"/>
    <w:rsid w:val="000A363F"/>
    <w:rsid w:val="000A6B2C"/>
    <w:rsid w:val="000A7D6E"/>
    <w:rsid w:val="000B0348"/>
    <w:rsid w:val="000B04E5"/>
    <w:rsid w:val="000B0FB5"/>
    <w:rsid w:val="000B386A"/>
    <w:rsid w:val="000B7778"/>
    <w:rsid w:val="000C0FBB"/>
    <w:rsid w:val="000C27B0"/>
    <w:rsid w:val="000C2D99"/>
    <w:rsid w:val="000C74AD"/>
    <w:rsid w:val="000D2AD0"/>
    <w:rsid w:val="000D386A"/>
    <w:rsid w:val="000D4A0E"/>
    <w:rsid w:val="000D4C26"/>
    <w:rsid w:val="000D60BF"/>
    <w:rsid w:val="000E3F58"/>
    <w:rsid w:val="000E6FEE"/>
    <w:rsid w:val="000F0055"/>
    <w:rsid w:val="000F1536"/>
    <w:rsid w:val="000F3119"/>
    <w:rsid w:val="000F3211"/>
    <w:rsid w:val="000F393C"/>
    <w:rsid w:val="000F414E"/>
    <w:rsid w:val="000F4ADD"/>
    <w:rsid w:val="000F7618"/>
    <w:rsid w:val="001024C9"/>
    <w:rsid w:val="001034E4"/>
    <w:rsid w:val="00107309"/>
    <w:rsid w:val="001076D9"/>
    <w:rsid w:val="00111E05"/>
    <w:rsid w:val="0011294A"/>
    <w:rsid w:val="00116064"/>
    <w:rsid w:val="0011684D"/>
    <w:rsid w:val="001169EC"/>
    <w:rsid w:val="00116B92"/>
    <w:rsid w:val="00120538"/>
    <w:rsid w:val="00122CFD"/>
    <w:rsid w:val="001254A2"/>
    <w:rsid w:val="00125F85"/>
    <w:rsid w:val="0013027F"/>
    <w:rsid w:val="00134842"/>
    <w:rsid w:val="0013660D"/>
    <w:rsid w:val="001418A5"/>
    <w:rsid w:val="001429B7"/>
    <w:rsid w:val="00142B4E"/>
    <w:rsid w:val="00142F74"/>
    <w:rsid w:val="00146620"/>
    <w:rsid w:val="00147AFF"/>
    <w:rsid w:val="00151963"/>
    <w:rsid w:val="0015283F"/>
    <w:rsid w:val="001631A7"/>
    <w:rsid w:val="0016431E"/>
    <w:rsid w:val="00164D04"/>
    <w:rsid w:val="0016590A"/>
    <w:rsid w:val="001702D4"/>
    <w:rsid w:val="00175EE2"/>
    <w:rsid w:val="001761AA"/>
    <w:rsid w:val="0018466D"/>
    <w:rsid w:val="00185972"/>
    <w:rsid w:val="0018614A"/>
    <w:rsid w:val="001863D9"/>
    <w:rsid w:val="001867D3"/>
    <w:rsid w:val="00187176"/>
    <w:rsid w:val="00187847"/>
    <w:rsid w:val="00192D75"/>
    <w:rsid w:val="00193307"/>
    <w:rsid w:val="00196EEE"/>
    <w:rsid w:val="00196F09"/>
    <w:rsid w:val="00196FB0"/>
    <w:rsid w:val="001973E2"/>
    <w:rsid w:val="001A13C4"/>
    <w:rsid w:val="001A1E2B"/>
    <w:rsid w:val="001A3DAC"/>
    <w:rsid w:val="001A5D17"/>
    <w:rsid w:val="001A6117"/>
    <w:rsid w:val="001A7579"/>
    <w:rsid w:val="001B0BDB"/>
    <w:rsid w:val="001B39C1"/>
    <w:rsid w:val="001B3C28"/>
    <w:rsid w:val="001B48FD"/>
    <w:rsid w:val="001B4D7F"/>
    <w:rsid w:val="001B586A"/>
    <w:rsid w:val="001B60AE"/>
    <w:rsid w:val="001B71F9"/>
    <w:rsid w:val="001C0CFE"/>
    <w:rsid w:val="001C1EAC"/>
    <w:rsid w:val="001C275C"/>
    <w:rsid w:val="001C2D47"/>
    <w:rsid w:val="001C34F0"/>
    <w:rsid w:val="001C4C61"/>
    <w:rsid w:val="001C7D55"/>
    <w:rsid w:val="001D00D4"/>
    <w:rsid w:val="001D0ABE"/>
    <w:rsid w:val="001D3A72"/>
    <w:rsid w:val="001D41A8"/>
    <w:rsid w:val="001D6D00"/>
    <w:rsid w:val="001D7108"/>
    <w:rsid w:val="001E058D"/>
    <w:rsid w:val="001E08F0"/>
    <w:rsid w:val="001E0DB0"/>
    <w:rsid w:val="001E212F"/>
    <w:rsid w:val="001E53F5"/>
    <w:rsid w:val="001E5ADF"/>
    <w:rsid w:val="001E646D"/>
    <w:rsid w:val="001F12CC"/>
    <w:rsid w:val="001F2A62"/>
    <w:rsid w:val="001F337A"/>
    <w:rsid w:val="001F4B31"/>
    <w:rsid w:val="001F51BD"/>
    <w:rsid w:val="001F54E6"/>
    <w:rsid w:val="00203ABD"/>
    <w:rsid w:val="00204C9C"/>
    <w:rsid w:val="00205A46"/>
    <w:rsid w:val="002064BA"/>
    <w:rsid w:val="00207E96"/>
    <w:rsid w:val="00210CAC"/>
    <w:rsid w:val="00211DE4"/>
    <w:rsid w:val="002136DA"/>
    <w:rsid w:val="0021429D"/>
    <w:rsid w:val="0021519A"/>
    <w:rsid w:val="00216908"/>
    <w:rsid w:val="00217325"/>
    <w:rsid w:val="00217D23"/>
    <w:rsid w:val="00220B55"/>
    <w:rsid w:val="00224F1C"/>
    <w:rsid w:val="00225A61"/>
    <w:rsid w:val="002277F3"/>
    <w:rsid w:val="00230F23"/>
    <w:rsid w:val="00233A0B"/>
    <w:rsid w:val="00234B31"/>
    <w:rsid w:val="00236EF8"/>
    <w:rsid w:val="002371E3"/>
    <w:rsid w:val="00237980"/>
    <w:rsid w:val="002409EA"/>
    <w:rsid w:val="00240E47"/>
    <w:rsid w:val="00241E08"/>
    <w:rsid w:val="00242A4F"/>
    <w:rsid w:val="00245A91"/>
    <w:rsid w:val="002505A7"/>
    <w:rsid w:val="002525A9"/>
    <w:rsid w:val="00252E9E"/>
    <w:rsid w:val="00253433"/>
    <w:rsid w:val="00253F47"/>
    <w:rsid w:val="00256D94"/>
    <w:rsid w:val="00262E6B"/>
    <w:rsid w:val="00262F29"/>
    <w:rsid w:val="00265BB7"/>
    <w:rsid w:val="00266367"/>
    <w:rsid w:val="00267E40"/>
    <w:rsid w:val="00270611"/>
    <w:rsid w:val="0027108D"/>
    <w:rsid w:val="00274EC5"/>
    <w:rsid w:val="002759F4"/>
    <w:rsid w:val="0027737F"/>
    <w:rsid w:val="002806F6"/>
    <w:rsid w:val="00280B02"/>
    <w:rsid w:val="00284B55"/>
    <w:rsid w:val="00285B80"/>
    <w:rsid w:val="00285DCA"/>
    <w:rsid w:val="002870F5"/>
    <w:rsid w:val="0028749E"/>
    <w:rsid w:val="00287F4D"/>
    <w:rsid w:val="0029180E"/>
    <w:rsid w:val="00291C38"/>
    <w:rsid w:val="00291ECF"/>
    <w:rsid w:val="00291EF2"/>
    <w:rsid w:val="002A2501"/>
    <w:rsid w:val="002A2B28"/>
    <w:rsid w:val="002A6B64"/>
    <w:rsid w:val="002A7E4B"/>
    <w:rsid w:val="002B14E1"/>
    <w:rsid w:val="002B442B"/>
    <w:rsid w:val="002B6904"/>
    <w:rsid w:val="002C157D"/>
    <w:rsid w:val="002C2AED"/>
    <w:rsid w:val="002C3A4A"/>
    <w:rsid w:val="002C4FB4"/>
    <w:rsid w:val="002C6DA8"/>
    <w:rsid w:val="002D0B62"/>
    <w:rsid w:val="002D2239"/>
    <w:rsid w:val="002D3341"/>
    <w:rsid w:val="002D4CF3"/>
    <w:rsid w:val="002D4DF2"/>
    <w:rsid w:val="002D702F"/>
    <w:rsid w:val="002E1F9D"/>
    <w:rsid w:val="002E28D0"/>
    <w:rsid w:val="002E29F7"/>
    <w:rsid w:val="002E3E42"/>
    <w:rsid w:val="002E5148"/>
    <w:rsid w:val="002E535A"/>
    <w:rsid w:val="002E5489"/>
    <w:rsid w:val="002E57E6"/>
    <w:rsid w:val="002F23D6"/>
    <w:rsid w:val="002F3908"/>
    <w:rsid w:val="002F6531"/>
    <w:rsid w:val="002F738C"/>
    <w:rsid w:val="002F767E"/>
    <w:rsid w:val="00300DE0"/>
    <w:rsid w:val="00302754"/>
    <w:rsid w:val="00302EF2"/>
    <w:rsid w:val="003036AB"/>
    <w:rsid w:val="003058A4"/>
    <w:rsid w:val="00305995"/>
    <w:rsid w:val="00305F96"/>
    <w:rsid w:val="00311B4D"/>
    <w:rsid w:val="00311D32"/>
    <w:rsid w:val="00312AAB"/>
    <w:rsid w:val="00316164"/>
    <w:rsid w:val="00320B08"/>
    <w:rsid w:val="00320C9B"/>
    <w:rsid w:val="00325B21"/>
    <w:rsid w:val="0032615A"/>
    <w:rsid w:val="0032702C"/>
    <w:rsid w:val="00330631"/>
    <w:rsid w:val="00331DB5"/>
    <w:rsid w:val="00333556"/>
    <w:rsid w:val="00334F4C"/>
    <w:rsid w:val="00335609"/>
    <w:rsid w:val="00336C76"/>
    <w:rsid w:val="00337B33"/>
    <w:rsid w:val="003416F8"/>
    <w:rsid w:val="003421E8"/>
    <w:rsid w:val="00342386"/>
    <w:rsid w:val="00345BB7"/>
    <w:rsid w:val="00350DEF"/>
    <w:rsid w:val="00351A9A"/>
    <w:rsid w:val="00352538"/>
    <w:rsid w:val="00352984"/>
    <w:rsid w:val="00354A6E"/>
    <w:rsid w:val="003562EA"/>
    <w:rsid w:val="00357854"/>
    <w:rsid w:val="003578F8"/>
    <w:rsid w:val="00362B23"/>
    <w:rsid w:val="0036398D"/>
    <w:rsid w:val="00365F88"/>
    <w:rsid w:val="003668AF"/>
    <w:rsid w:val="003703CC"/>
    <w:rsid w:val="003716FD"/>
    <w:rsid w:val="00372E2E"/>
    <w:rsid w:val="00374483"/>
    <w:rsid w:val="00374484"/>
    <w:rsid w:val="00377479"/>
    <w:rsid w:val="003807C0"/>
    <w:rsid w:val="0038512B"/>
    <w:rsid w:val="003955E2"/>
    <w:rsid w:val="003961B7"/>
    <w:rsid w:val="00397472"/>
    <w:rsid w:val="003A07E1"/>
    <w:rsid w:val="003A1D95"/>
    <w:rsid w:val="003A4B71"/>
    <w:rsid w:val="003A58DF"/>
    <w:rsid w:val="003A7CD0"/>
    <w:rsid w:val="003A7D03"/>
    <w:rsid w:val="003B1398"/>
    <w:rsid w:val="003B181C"/>
    <w:rsid w:val="003B1CCE"/>
    <w:rsid w:val="003B2B63"/>
    <w:rsid w:val="003B61AD"/>
    <w:rsid w:val="003B6289"/>
    <w:rsid w:val="003B6EE6"/>
    <w:rsid w:val="003B7CA4"/>
    <w:rsid w:val="003C14BD"/>
    <w:rsid w:val="003C2BA5"/>
    <w:rsid w:val="003C3A8A"/>
    <w:rsid w:val="003C432A"/>
    <w:rsid w:val="003C473E"/>
    <w:rsid w:val="003C4987"/>
    <w:rsid w:val="003D05E0"/>
    <w:rsid w:val="003D690D"/>
    <w:rsid w:val="003E1140"/>
    <w:rsid w:val="003E1930"/>
    <w:rsid w:val="003E2EB2"/>
    <w:rsid w:val="003F2B0C"/>
    <w:rsid w:val="003F79B1"/>
    <w:rsid w:val="003F7B97"/>
    <w:rsid w:val="00400ED4"/>
    <w:rsid w:val="00403189"/>
    <w:rsid w:val="0040558C"/>
    <w:rsid w:val="00405DBD"/>
    <w:rsid w:val="00406114"/>
    <w:rsid w:val="004066BF"/>
    <w:rsid w:val="004068CA"/>
    <w:rsid w:val="004107D4"/>
    <w:rsid w:val="00414C0E"/>
    <w:rsid w:val="00414F05"/>
    <w:rsid w:val="00415141"/>
    <w:rsid w:val="00417900"/>
    <w:rsid w:val="00417C79"/>
    <w:rsid w:val="00423FA3"/>
    <w:rsid w:val="00425559"/>
    <w:rsid w:val="00426DBB"/>
    <w:rsid w:val="004276E8"/>
    <w:rsid w:val="00430260"/>
    <w:rsid w:val="00430B43"/>
    <w:rsid w:val="00431657"/>
    <w:rsid w:val="00432161"/>
    <w:rsid w:val="00432EAB"/>
    <w:rsid w:val="00433566"/>
    <w:rsid w:val="0043394A"/>
    <w:rsid w:val="00435E1C"/>
    <w:rsid w:val="004378A0"/>
    <w:rsid w:val="00440427"/>
    <w:rsid w:val="00441F06"/>
    <w:rsid w:val="00442BF2"/>
    <w:rsid w:val="00443633"/>
    <w:rsid w:val="0044392A"/>
    <w:rsid w:val="00443E52"/>
    <w:rsid w:val="0044440D"/>
    <w:rsid w:val="00445E81"/>
    <w:rsid w:val="004460B9"/>
    <w:rsid w:val="00447B98"/>
    <w:rsid w:val="004504BF"/>
    <w:rsid w:val="00451321"/>
    <w:rsid w:val="00451E86"/>
    <w:rsid w:val="0045273E"/>
    <w:rsid w:val="004529EA"/>
    <w:rsid w:val="0046521A"/>
    <w:rsid w:val="00466633"/>
    <w:rsid w:val="00466E1B"/>
    <w:rsid w:val="0046755F"/>
    <w:rsid w:val="00471970"/>
    <w:rsid w:val="00472135"/>
    <w:rsid w:val="0047562D"/>
    <w:rsid w:val="00475B86"/>
    <w:rsid w:val="00475F08"/>
    <w:rsid w:val="00475F1A"/>
    <w:rsid w:val="00477393"/>
    <w:rsid w:val="00477A45"/>
    <w:rsid w:val="00482BE2"/>
    <w:rsid w:val="0048558D"/>
    <w:rsid w:val="00485FC6"/>
    <w:rsid w:val="0048603D"/>
    <w:rsid w:val="00487117"/>
    <w:rsid w:val="0049102F"/>
    <w:rsid w:val="0049157E"/>
    <w:rsid w:val="00493F5F"/>
    <w:rsid w:val="00494BDD"/>
    <w:rsid w:val="00495F50"/>
    <w:rsid w:val="00497303"/>
    <w:rsid w:val="00497FB8"/>
    <w:rsid w:val="004A12CF"/>
    <w:rsid w:val="004A1B82"/>
    <w:rsid w:val="004A441B"/>
    <w:rsid w:val="004B015D"/>
    <w:rsid w:val="004B0E44"/>
    <w:rsid w:val="004B1ABE"/>
    <w:rsid w:val="004B48EA"/>
    <w:rsid w:val="004B7D2B"/>
    <w:rsid w:val="004C24BE"/>
    <w:rsid w:val="004C2EB8"/>
    <w:rsid w:val="004C318C"/>
    <w:rsid w:val="004C33F7"/>
    <w:rsid w:val="004C36C4"/>
    <w:rsid w:val="004C4673"/>
    <w:rsid w:val="004C5422"/>
    <w:rsid w:val="004C61B6"/>
    <w:rsid w:val="004D1FED"/>
    <w:rsid w:val="004E219C"/>
    <w:rsid w:val="004E233F"/>
    <w:rsid w:val="004E3751"/>
    <w:rsid w:val="004E5676"/>
    <w:rsid w:val="004E5D4E"/>
    <w:rsid w:val="004F0EE9"/>
    <w:rsid w:val="004F1C62"/>
    <w:rsid w:val="004F3531"/>
    <w:rsid w:val="004F6458"/>
    <w:rsid w:val="004F7FAC"/>
    <w:rsid w:val="00501D74"/>
    <w:rsid w:val="005029F1"/>
    <w:rsid w:val="00503A8D"/>
    <w:rsid w:val="0050499A"/>
    <w:rsid w:val="00506045"/>
    <w:rsid w:val="00507C51"/>
    <w:rsid w:val="00511DAE"/>
    <w:rsid w:val="00512A06"/>
    <w:rsid w:val="005143E7"/>
    <w:rsid w:val="0051466F"/>
    <w:rsid w:val="00515760"/>
    <w:rsid w:val="00515A80"/>
    <w:rsid w:val="00516BF1"/>
    <w:rsid w:val="00520BB2"/>
    <w:rsid w:val="00520FDB"/>
    <w:rsid w:val="00521258"/>
    <w:rsid w:val="00521942"/>
    <w:rsid w:val="005232ED"/>
    <w:rsid w:val="005247AB"/>
    <w:rsid w:val="0052492E"/>
    <w:rsid w:val="00524EEF"/>
    <w:rsid w:val="005253D3"/>
    <w:rsid w:val="00535286"/>
    <w:rsid w:val="00536B01"/>
    <w:rsid w:val="00541044"/>
    <w:rsid w:val="00541EE6"/>
    <w:rsid w:val="005422FD"/>
    <w:rsid w:val="005423BE"/>
    <w:rsid w:val="00542969"/>
    <w:rsid w:val="00542AB7"/>
    <w:rsid w:val="00542DAF"/>
    <w:rsid w:val="00544E9B"/>
    <w:rsid w:val="005453E1"/>
    <w:rsid w:val="005522E1"/>
    <w:rsid w:val="0055418D"/>
    <w:rsid w:val="005544A2"/>
    <w:rsid w:val="005558E2"/>
    <w:rsid w:val="0055633C"/>
    <w:rsid w:val="00557CF5"/>
    <w:rsid w:val="00562894"/>
    <w:rsid w:val="00562F1D"/>
    <w:rsid w:val="00564228"/>
    <w:rsid w:val="005655F6"/>
    <w:rsid w:val="005676FF"/>
    <w:rsid w:val="005712FE"/>
    <w:rsid w:val="00572AD2"/>
    <w:rsid w:val="00572E26"/>
    <w:rsid w:val="00573065"/>
    <w:rsid w:val="005734FB"/>
    <w:rsid w:val="0057459F"/>
    <w:rsid w:val="005757F0"/>
    <w:rsid w:val="00582727"/>
    <w:rsid w:val="00582BC5"/>
    <w:rsid w:val="00583E71"/>
    <w:rsid w:val="0058476F"/>
    <w:rsid w:val="00584A5E"/>
    <w:rsid w:val="00585672"/>
    <w:rsid w:val="005865CF"/>
    <w:rsid w:val="0058795B"/>
    <w:rsid w:val="005924A9"/>
    <w:rsid w:val="00593CC9"/>
    <w:rsid w:val="00594801"/>
    <w:rsid w:val="00594DA5"/>
    <w:rsid w:val="0059526E"/>
    <w:rsid w:val="005A005A"/>
    <w:rsid w:val="005A0367"/>
    <w:rsid w:val="005A3ED9"/>
    <w:rsid w:val="005A7D26"/>
    <w:rsid w:val="005B1175"/>
    <w:rsid w:val="005B1869"/>
    <w:rsid w:val="005B1BD7"/>
    <w:rsid w:val="005B27EA"/>
    <w:rsid w:val="005B2A3C"/>
    <w:rsid w:val="005B2F28"/>
    <w:rsid w:val="005B2FBF"/>
    <w:rsid w:val="005B4578"/>
    <w:rsid w:val="005C10F0"/>
    <w:rsid w:val="005C31EB"/>
    <w:rsid w:val="005C46DA"/>
    <w:rsid w:val="005C501A"/>
    <w:rsid w:val="005C5BCD"/>
    <w:rsid w:val="005C6A21"/>
    <w:rsid w:val="005D3096"/>
    <w:rsid w:val="005D5D10"/>
    <w:rsid w:val="005D65D9"/>
    <w:rsid w:val="005D7432"/>
    <w:rsid w:val="005D7765"/>
    <w:rsid w:val="005D7E16"/>
    <w:rsid w:val="005E0C7F"/>
    <w:rsid w:val="005E2C49"/>
    <w:rsid w:val="005E3649"/>
    <w:rsid w:val="005E5BAA"/>
    <w:rsid w:val="005E77A9"/>
    <w:rsid w:val="005F1AF6"/>
    <w:rsid w:val="005F1E0A"/>
    <w:rsid w:val="005F6D8D"/>
    <w:rsid w:val="0060019E"/>
    <w:rsid w:val="00600358"/>
    <w:rsid w:val="00600B50"/>
    <w:rsid w:val="006013F1"/>
    <w:rsid w:val="00603FE0"/>
    <w:rsid w:val="00604DF4"/>
    <w:rsid w:val="0060693F"/>
    <w:rsid w:val="00607CFF"/>
    <w:rsid w:val="00607E87"/>
    <w:rsid w:val="00611489"/>
    <w:rsid w:val="00611C69"/>
    <w:rsid w:val="00615AA6"/>
    <w:rsid w:val="006173F8"/>
    <w:rsid w:val="00621164"/>
    <w:rsid w:val="00621C84"/>
    <w:rsid w:val="00623EC9"/>
    <w:rsid w:val="006256F1"/>
    <w:rsid w:val="00635BCF"/>
    <w:rsid w:val="00635C16"/>
    <w:rsid w:val="006365E2"/>
    <w:rsid w:val="00636C9E"/>
    <w:rsid w:val="00636E56"/>
    <w:rsid w:val="00637DC4"/>
    <w:rsid w:val="00637DFC"/>
    <w:rsid w:val="00642F63"/>
    <w:rsid w:val="0064325B"/>
    <w:rsid w:val="00647538"/>
    <w:rsid w:val="0065040C"/>
    <w:rsid w:val="00653F47"/>
    <w:rsid w:val="00654DC9"/>
    <w:rsid w:val="0065611C"/>
    <w:rsid w:val="00656BEE"/>
    <w:rsid w:val="0066129B"/>
    <w:rsid w:val="00662A6E"/>
    <w:rsid w:val="00662EB9"/>
    <w:rsid w:val="00663239"/>
    <w:rsid w:val="00665EDD"/>
    <w:rsid w:val="0066611C"/>
    <w:rsid w:val="006710D7"/>
    <w:rsid w:val="00671F51"/>
    <w:rsid w:val="0067259C"/>
    <w:rsid w:val="00673017"/>
    <w:rsid w:val="006734BB"/>
    <w:rsid w:val="00675623"/>
    <w:rsid w:val="00676323"/>
    <w:rsid w:val="00676916"/>
    <w:rsid w:val="00676E6C"/>
    <w:rsid w:val="006805AF"/>
    <w:rsid w:val="00682232"/>
    <w:rsid w:val="006830A6"/>
    <w:rsid w:val="0068487F"/>
    <w:rsid w:val="00684911"/>
    <w:rsid w:val="00684A5B"/>
    <w:rsid w:val="00684DC0"/>
    <w:rsid w:val="00686CFB"/>
    <w:rsid w:val="006873D9"/>
    <w:rsid w:val="00687821"/>
    <w:rsid w:val="00695A84"/>
    <w:rsid w:val="00696798"/>
    <w:rsid w:val="00697274"/>
    <w:rsid w:val="00697D18"/>
    <w:rsid w:val="006A1917"/>
    <w:rsid w:val="006A625F"/>
    <w:rsid w:val="006A765C"/>
    <w:rsid w:val="006B0415"/>
    <w:rsid w:val="006B0D3B"/>
    <w:rsid w:val="006B2C52"/>
    <w:rsid w:val="006B30FA"/>
    <w:rsid w:val="006B5041"/>
    <w:rsid w:val="006C1C07"/>
    <w:rsid w:val="006C21A1"/>
    <w:rsid w:val="006C2261"/>
    <w:rsid w:val="006C6276"/>
    <w:rsid w:val="006C72D3"/>
    <w:rsid w:val="006D0C0E"/>
    <w:rsid w:val="006D1826"/>
    <w:rsid w:val="006D2996"/>
    <w:rsid w:val="006D32B0"/>
    <w:rsid w:val="006D3303"/>
    <w:rsid w:val="006D4652"/>
    <w:rsid w:val="006E13DA"/>
    <w:rsid w:val="006E1C01"/>
    <w:rsid w:val="006E25CB"/>
    <w:rsid w:val="006E3708"/>
    <w:rsid w:val="006E3BA5"/>
    <w:rsid w:val="006E7A09"/>
    <w:rsid w:val="006F4122"/>
    <w:rsid w:val="006F485F"/>
    <w:rsid w:val="006F6696"/>
    <w:rsid w:val="006F6811"/>
    <w:rsid w:val="006F7656"/>
    <w:rsid w:val="006F76EB"/>
    <w:rsid w:val="007008D8"/>
    <w:rsid w:val="00702881"/>
    <w:rsid w:val="007029D2"/>
    <w:rsid w:val="007041FA"/>
    <w:rsid w:val="00704661"/>
    <w:rsid w:val="00704870"/>
    <w:rsid w:val="00704CEE"/>
    <w:rsid w:val="007065BF"/>
    <w:rsid w:val="007065DD"/>
    <w:rsid w:val="007072B5"/>
    <w:rsid w:val="00707CB3"/>
    <w:rsid w:val="00710EAF"/>
    <w:rsid w:val="00711A4F"/>
    <w:rsid w:val="00713372"/>
    <w:rsid w:val="007213E8"/>
    <w:rsid w:val="00724DCB"/>
    <w:rsid w:val="00725E87"/>
    <w:rsid w:val="0072675D"/>
    <w:rsid w:val="00727A0B"/>
    <w:rsid w:val="00727A51"/>
    <w:rsid w:val="00732C5B"/>
    <w:rsid w:val="007334F4"/>
    <w:rsid w:val="00733731"/>
    <w:rsid w:val="0073389A"/>
    <w:rsid w:val="00734950"/>
    <w:rsid w:val="00735BC5"/>
    <w:rsid w:val="007376DE"/>
    <w:rsid w:val="00740685"/>
    <w:rsid w:val="00742034"/>
    <w:rsid w:val="00742897"/>
    <w:rsid w:val="00744B19"/>
    <w:rsid w:val="007463FA"/>
    <w:rsid w:val="00746895"/>
    <w:rsid w:val="00746AFA"/>
    <w:rsid w:val="00747B48"/>
    <w:rsid w:val="0075294B"/>
    <w:rsid w:val="00752B55"/>
    <w:rsid w:val="0075426E"/>
    <w:rsid w:val="007551A8"/>
    <w:rsid w:val="007629BD"/>
    <w:rsid w:val="0076358C"/>
    <w:rsid w:val="00764852"/>
    <w:rsid w:val="00765442"/>
    <w:rsid w:val="00765DA0"/>
    <w:rsid w:val="00766239"/>
    <w:rsid w:val="007668C0"/>
    <w:rsid w:val="00767533"/>
    <w:rsid w:val="00771C8F"/>
    <w:rsid w:val="00773215"/>
    <w:rsid w:val="007738B5"/>
    <w:rsid w:val="00776108"/>
    <w:rsid w:val="0077684C"/>
    <w:rsid w:val="00776EB5"/>
    <w:rsid w:val="00777D59"/>
    <w:rsid w:val="007826D9"/>
    <w:rsid w:val="00782C01"/>
    <w:rsid w:val="00783A3B"/>
    <w:rsid w:val="00783E3E"/>
    <w:rsid w:val="00784E79"/>
    <w:rsid w:val="00786957"/>
    <w:rsid w:val="00790E4E"/>
    <w:rsid w:val="0079179B"/>
    <w:rsid w:val="00792C33"/>
    <w:rsid w:val="00792CF1"/>
    <w:rsid w:val="00793743"/>
    <w:rsid w:val="00793754"/>
    <w:rsid w:val="00794152"/>
    <w:rsid w:val="0079487B"/>
    <w:rsid w:val="007A4991"/>
    <w:rsid w:val="007A7512"/>
    <w:rsid w:val="007B01A6"/>
    <w:rsid w:val="007B1A9F"/>
    <w:rsid w:val="007B44F9"/>
    <w:rsid w:val="007B4EFB"/>
    <w:rsid w:val="007B5CCA"/>
    <w:rsid w:val="007B7FFC"/>
    <w:rsid w:val="007C0EB0"/>
    <w:rsid w:val="007C1240"/>
    <w:rsid w:val="007C1A46"/>
    <w:rsid w:val="007D207E"/>
    <w:rsid w:val="007D26C7"/>
    <w:rsid w:val="007E003A"/>
    <w:rsid w:val="007E201A"/>
    <w:rsid w:val="007E5610"/>
    <w:rsid w:val="007E6B4E"/>
    <w:rsid w:val="007E6B95"/>
    <w:rsid w:val="007E6D1D"/>
    <w:rsid w:val="007E703E"/>
    <w:rsid w:val="007F00E9"/>
    <w:rsid w:val="007F02EC"/>
    <w:rsid w:val="007F3022"/>
    <w:rsid w:val="007F4440"/>
    <w:rsid w:val="007F56EC"/>
    <w:rsid w:val="007F6A04"/>
    <w:rsid w:val="007F6E8E"/>
    <w:rsid w:val="007F72C6"/>
    <w:rsid w:val="007F7496"/>
    <w:rsid w:val="00800375"/>
    <w:rsid w:val="00801ED8"/>
    <w:rsid w:val="00802EA1"/>
    <w:rsid w:val="0080591D"/>
    <w:rsid w:val="008063B9"/>
    <w:rsid w:val="00811F8F"/>
    <w:rsid w:val="00813A3A"/>
    <w:rsid w:val="00814134"/>
    <w:rsid w:val="00814B36"/>
    <w:rsid w:val="00814B87"/>
    <w:rsid w:val="00820061"/>
    <w:rsid w:val="00821F2B"/>
    <w:rsid w:val="008232EE"/>
    <w:rsid w:val="008240F0"/>
    <w:rsid w:val="0082472A"/>
    <w:rsid w:val="00825639"/>
    <w:rsid w:val="008258FC"/>
    <w:rsid w:val="00826DAD"/>
    <w:rsid w:val="00830C8D"/>
    <w:rsid w:val="0083215E"/>
    <w:rsid w:val="008333B5"/>
    <w:rsid w:val="00833404"/>
    <w:rsid w:val="008348E3"/>
    <w:rsid w:val="008367CC"/>
    <w:rsid w:val="0083724C"/>
    <w:rsid w:val="00837789"/>
    <w:rsid w:val="0084053E"/>
    <w:rsid w:val="00840638"/>
    <w:rsid w:val="00842077"/>
    <w:rsid w:val="00842B17"/>
    <w:rsid w:val="008431D3"/>
    <w:rsid w:val="00843A4C"/>
    <w:rsid w:val="008448CB"/>
    <w:rsid w:val="008451F2"/>
    <w:rsid w:val="0084607A"/>
    <w:rsid w:val="00850747"/>
    <w:rsid w:val="008538D9"/>
    <w:rsid w:val="008539CB"/>
    <w:rsid w:val="008552CC"/>
    <w:rsid w:val="00855371"/>
    <w:rsid w:val="008566F7"/>
    <w:rsid w:val="008573DB"/>
    <w:rsid w:val="008577BC"/>
    <w:rsid w:val="00860532"/>
    <w:rsid w:val="00861241"/>
    <w:rsid w:val="00861FEF"/>
    <w:rsid w:val="008633B2"/>
    <w:rsid w:val="0086469E"/>
    <w:rsid w:val="0086483D"/>
    <w:rsid w:val="008660AD"/>
    <w:rsid w:val="008672F0"/>
    <w:rsid w:val="00867F31"/>
    <w:rsid w:val="0087105B"/>
    <w:rsid w:val="008745F2"/>
    <w:rsid w:val="0087518D"/>
    <w:rsid w:val="00882051"/>
    <w:rsid w:val="00884636"/>
    <w:rsid w:val="00891177"/>
    <w:rsid w:val="00892620"/>
    <w:rsid w:val="008927CB"/>
    <w:rsid w:val="00893497"/>
    <w:rsid w:val="00893623"/>
    <w:rsid w:val="00894A7C"/>
    <w:rsid w:val="008A1E00"/>
    <w:rsid w:val="008A29A0"/>
    <w:rsid w:val="008A40F1"/>
    <w:rsid w:val="008A41D4"/>
    <w:rsid w:val="008A44A5"/>
    <w:rsid w:val="008A66DB"/>
    <w:rsid w:val="008A6CCF"/>
    <w:rsid w:val="008B03D8"/>
    <w:rsid w:val="008B1236"/>
    <w:rsid w:val="008B1F34"/>
    <w:rsid w:val="008B20F5"/>
    <w:rsid w:val="008B2AC1"/>
    <w:rsid w:val="008B3852"/>
    <w:rsid w:val="008B444B"/>
    <w:rsid w:val="008B729F"/>
    <w:rsid w:val="008B7531"/>
    <w:rsid w:val="008C0C1D"/>
    <w:rsid w:val="008C4569"/>
    <w:rsid w:val="008C5F0A"/>
    <w:rsid w:val="008C6BDF"/>
    <w:rsid w:val="008C6CC8"/>
    <w:rsid w:val="008C71A4"/>
    <w:rsid w:val="008D3326"/>
    <w:rsid w:val="008D7ABC"/>
    <w:rsid w:val="008D7F41"/>
    <w:rsid w:val="008E050D"/>
    <w:rsid w:val="008E1227"/>
    <w:rsid w:val="008E24BD"/>
    <w:rsid w:val="008E5FDF"/>
    <w:rsid w:val="008E68D2"/>
    <w:rsid w:val="008F1150"/>
    <w:rsid w:val="008F1BFA"/>
    <w:rsid w:val="008F1EAF"/>
    <w:rsid w:val="008F2DE1"/>
    <w:rsid w:val="008F3338"/>
    <w:rsid w:val="008F3573"/>
    <w:rsid w:val="008F532F"/>
    <w:rsid w:val="008F5528"/>
    <w:rsid w:val="008F6BEF"/>
    <w:rsid w:val="008F7C6E"/>
    <w:rsid w:val="009009C6"/>
    <w:rsid w:val="0090185B"/>
    <w:rsid w:val="009046A4"/>
    <w:rsid w:val="00904CA5"/>
    <w:rsid w:val="00905A66"/>
    <w:rsid w:val="00905F2E"/>
    <w:rsid w:val="009068A0"/>
    <w:rsid w:val="009104C6"/>
    <w:rsid w:val="00912BF5"/>
    <w:rsid w:val="009201A1"/>
    <w:rsid w:val="00920379"/>
    <w:rsid w:val="00921E75"/>
    <w:rsid w:val="00922847"/>
    <w:rsid w:val="009234A4"/>
    <w:rsid w:val="00927073"/>
    <w:rsid w:val="00931EF1"/>
    <w:rsid w:val="009325F9"/>
    <w:rsid w:val="009344E4"/>
    <w:rsid w:val="00935722"/>
    <w:rsid w:val="00936252"/>
    <w:rsid w:val="00936DC7"/>
    <w:rsid w:val="00941037"/>
    <w:rsid w:val="00941C44"/>
    <w:rsid w:val="00942F3A"/>
    <w:rsid w:val="00943A5C"/>
    <w:rsid w:val="009442DC"/>
    <w:rsid w:val="00944526"/>
    <w:rsid w:val="00946434"/>
    <w:rsid w:val="0094667B"/>
    <w:rsid w:val="00953094"/>
    <w:rsid w:val="00953324"/>
    <w:rsid w:val="00953934"/>
    <w:rsid w:val="00953E9B"/>
    <w:rsid w:val="00954500"/>
    <w:rsid w:val="00954E5B"/>
    <w:rsid w:val="00955E4A"/>
    <w:rsid w:val="00956B41"/>
    <w:rsid w:val="009607C8"/>
    <w:rsid w:val="00962889"/>
    <w:rsid w:val="0096374E"/>
    <w:rsid w:val="00963905"/>
    <w:rsid w:val="00964662"/>
    <w:rsid w:val="009679F7"/>
    <w:rsid w:val="00970C54"/>
    <w:rsid w:val="00972A2C"/>
    <w:rsid w:val="00974AC8"/>
    <w:rsid w:val="00975929"/>
    <w:rsid w:val="00975BFA"/>
    <w:rsid w:val="0098068C"/>
    <w:rsid w:val="00981992"/>
    <w:rsid w:val="00981CA3"/>
    <w:rsid w:val="009833C8"/>
    <w:rsid w:val="00983452"/>
    <w:rsid w:val="009835D2"/>
    <w:rsid w:val="0098685F"/>
    <w:rsid w:val="00996344"/>
    <w:rsid w:val="00996F84"/>
    <w:rsid w:val="009A0CE6"/>
    <w:rsid w:val="009A3374"/>
    <w:rsid w:val="009A4666"/>
    <w:rsid w:val="009B5ECD"/>
    <w:rsid w:val="009B625D"/>
    <w:rsid w:val="009C1F77"/>
    <w:rsid w:val="009C519A"/>
    <w:rsid w:val="009C5AB8"/>
    <w:rsid w:val="009D1F12"/>
    <w:rsid w:val="009D3729"/>
    <w:rsid w:val="009D5188"/>
    <w:rsid w:val="009E05C8"/>
    <w:rsid w:val="009E131A"/>
    <w:rsid w:val="009E16A8"/>
    <w:rsid w:val="009E193E"/>
    <w:rsid w:val="009E33D4"/>
    <w:rsid w:val="009E4AB7"/>
    <w:rsid w:val="009E5EE8"/>
    <w:rsid w:val="009E7710"/>
    <w:rsid w:val="009E7D05"/>
    <w:rsid w:val="009F0AA2"/>
    <w:rsid w:val="009F0CA3"/>
    <w:rsid w:val="009F24E4"/>
    <w:rsid w:val="009F30B8"/>
    <w:rsid w:val="009F40D8"/>
    <w:rsid w:val="009F4452"/>
    <w:rsid w:val="009F4DAD"/>
    <w:rsid w:val="009F503D"/>
    <w:rsid w:val="009F6515"/>
    <w:rsid w:val="009F6A2A"/>
    <w:rsid w:val="00A00DDA"/>
    <w:rsid w:val="00A0116B"/>
    <w:rsid w:val="00A01345"/>
    <w:rsid w:val="00A01D85"/>
    <w:rsid w:val="00A03055"/>
    <w:rsid w:val="00A04523"/>
    <w:rsid w:val="00A045A5"/>
    <w:rsid w:val="00A0463D"/>
    <w:rsid w:val="00A04DB3"/>
    <w:rsid w:val="00A07A2B"/>
    <w:rsid w:val="00A1196B"/>
    <w:rsid w:val="00A1201A"/>
    <w:rsid w:val="00A12B0B"/>
    <w:rsid w:val="00A14001"/>
    <w:rsid w:val="00A156F3"/>
    <w:rsid w:val="00A1688D"/>
    <w:rsid w:val="00A17578"/>
    <w:rsid w:val="00A17E40"/>
    <w:rsid w:val="00A20974"/>
    <w:rsid w:val="00A20A22"/>
    <w:rsid w:val="00A22B51"/>
    <w:rsid w:val="00A22D66"/>
    <w:rsid w:val="00A31CED"/>
    <w:rsid w:val="00A3388C"/>
    <w:rsid w:val="00A3456B"/>
    <w:rsid w:val="00A3481E"/>
    <w:rsid w:val="00A367DC"/>
    <w:rsid w:val="00A41185"/>
    <w:rsid w:val="00A41B2C"/>
    <w:rsid w:val="00A43E72"/>
    <w:rsid w:val="00A4776E"/>
    <w:rsid w:val="00A5054A"/>
    <w:rsid w:val="00A52567"/>
    <w:rsid w:val="00A53E0D"/>
    <w:rsid w:val="00A654BA"/>
    <w:rsid w:val="00A67860"/>
    <w:rsid w:val="00A679A2"/>
    <w:rsid w:val="00A709A7"/>
    <w:rsid w:val="00A71A6B"/>
    <w:rsid w:val="00A72350"/>
    <w:rsid w:val="00A7299B"/>
    <w:rsid w:val="00A751BE"/>
    <w:rsid w:val="00A75D5A"/>
    <w:rsid w:val="00A77725"/>
    <w:rsid w:val="00A82DF4"/>
    <w:rsid w:val="00A84755"/>
    <w:rsid w:val="00A84B3A"/>
    <w:rsid w:val="00A84B3B"/>
    <w:rsid w:val="00A86717"/>
    <w:rsid w:val="00A877C7"/>
    <w:rsid w:val="00A90E50"/>
    <w:rsid w:val="00A9263B"/>
    <w:rsid w:val="00A93E3F"/>
    <w:rsid w:val="00A9464F"/>
    <w:rsid w:val="00A95225"/>
    <w:rsid w:val="00A9597F"/>
    <w:rsid w:val="00A9740D"/>
    <w:rsid w:val="00AA1AE9"/>
    <w:rsid w:val="00AA1C02"/>
    <w:rsid w:val="00AA3078"/>
    <w:rsid w:val="00AA339D"/>
    <w:rsid w:val="00AB002F"/>
    <w:rsid w:val="00AB037E"/>
    <w:rsid w:val="00AB0F09"/>
    <w:rsid w:val="00AB287F"/>
    <w:rsid w:val="00AB2EE6"/>
    <w:rsid w:val="00AB3570"/>
    <w:rsid w:val="00AB35FA"/>
    <w:rsid w:val="00AB3AF5"/>
    <w:rsid w:val="00AB4ED4"/>
    <w:rsid w:val="00AB4FE2"/>
    <w:rsid w:val="00AB57F0"/>
    <w:rsid w:val="00AB7D15"/>
    <w:rsid w:val="00AC0FDA"/>
    <w:rsid w:val="00AC1FDC"/>
    <w:rsid w:val="00AC543D"/>
    <w:rsid w:val="00AC61B8"/>
    <w:rsid w:val="00AC639D"/>
    <w:rsid w:val="00AC7CDB"/>
    <w:rsid w:val="00AD0BC3"/>
    <w:rsid w:val="00AD1361"/>
    <w:rsid w:val="00AD5285"/>
    <w:rsid w:val="00AD60BC"/>
    <w:rsid w:val="00AD7A53"/>
    <w:rsid w:val="00AE1B9A"/>
    <w:rsid w:val="00AE2A40"/>
    <w:rsid w:val="00AE3BE5"/>
    <w:rsid w:val="00AE7D9C"/>
    <w:rsid w:val="00AF2CE2"/>
    <w:rsid w:val="00AF63A9"/>
    <w:rsid w:val="00AF6E86"/>
    <w:rsid w:val="00AF782B"/>
    <w:rsid w:val="00AF7A9B"/>
    <w:rsid w:val="00AF7B20"/>
    <w:rsid w:val="00B00E35"/>
    <w:rsid w:val="00B0130C"/>
    <w:rsid w:val="00B0377E"/>
    <w:rsid w:val="00B042B5"/>
    <w:rsid w:val="00B05C44"/>
    <w:rsid w:val="00B11000"/>
    <w:rsid w:val="00B11551"/>
    <w:rsid w:val="00B117A3"/>
    <w:rsid w:val="00B127E6"/>
    <w:rsid w:val="00B154F1"/>
    <w:rsid w:val="00B169E9"/>
    <w:rsid w:val="00B17FC2"/>
    <w:rsid w:val="00B21906"/>
    <w:rsid w:val="00B2313A"/>
    <w:rsid w:val="00B234B3"/>
    <w:rsid w:val="00B246CE"/>
    <w:rsid w:val="00B25D53"/>
    <w:rsid w:val="00B307C8"/>
    <w:rsid w:val="00B315DE"/>
    <w:rsid w:val="00B33420"/>
    <w:rsid w:val="00B3478E"/>
    <w:rsid w:val="00B366AB"/>
    <w:rsid w:val="00B36A9B"/>
    <w:rsid w:val="00B41456"/>
    <w:rsid w:val="00B41674"/>
    <w:rsid w:val="00B41ACC"/>
    <w:rsid w:val="00B43F30"/>
    <w:rsid w:val="00B447DF"/>
    <w:rsid w:val="00B47F87"/>
    <w:rsid w:val="00B51324"/>
    <w:rsid w:val="00B51BC5"/>
    <w:rsid w:val="00B531F5"/>
    <w:rsid w:val="00B540C0"/>
    <w:rsid w:val="00B5525E"/>
    <w:rsid w:val="00B601E7"/>
    <w:rsid w:val="00B60AF8"/>
    <w:rsid w:val="00B64BBE"/>
    <w:rsid w:val="00B65C82"/>
    <w:rsid w:val="00B67DC8"/>
    <w:rsid w:val="00B71723"/>
    <w:rsid w:val="00B73280"/>
    <w:rsid w:val="00B73C6C"/>
    <w:rsid w:val="00B75388"/>
    <w:rsid w:val="00B765EB"/>
    <w:rsid w:val="00B77814"/>
    <w:rsid w:val="00B7789E"/>
    <w:rsid w:val="00B802D5"/>
    <w:rsid w:val="00B810F1"/>
    <w:rsid w:val="00B811EB"/>
    <w:rsid w:val="00B84B79"/>
    <w:rsid w:val="00B85C72"/>
    <w:rsid w:val="00B85E61"/>
    <w:rsid w:val="00B86CDA"/>
    <w:rsid w:val="00B91166"/>
    <w:rsid w:val="00B95869"/>
    <w:rsid w:val="00B96F3A"/>
    <w:rsid w:val="00B97584"/>
    <w:rsid w:val="00BA12AA"/>
    <w:rsid w:val="00BA768F"/>
    <w:rsid w:val="00BB090F"/>
    <w:rsid w:val="00BB1803"/>
    <w:rsid w:val="00BC0410"/>
    <w:rsid w:val="00BC16C8"/>
    <w:rsid w:val="00BC3314"/>
    <w:rsid w:val="00BC3F35"/>
    <w:rsid w:val="00BC5145"/>
    <w:rsid w:val="00BC6E74"/>
    <w:rsid w:val="00BC75C7"/>
    <w:rsid w:val="00BD5092"/>
    <w:rsid w:val="00BD5CA8"/>
    <w:rsid w:val="00BE12FD"/>
    <w:rsid w:val="00BE1F53"/>
    <w:rsid w:val="00BE2775"/>
    <w:rsid w:val="00BE3729"/>
    <w:rsid w:val="00BE3EAC"/>
    <w:rsid w:val="00BE5CF5"/>
    <w:rsid w:val="00BE6B79"/>
    <w:rsid w:val="00BE6BEB"/>
    <w:rsid w:val="00BF0F4F"/>
    <w:rsid w:val="00BF162C"/>
    <w:rsid w:val="00BF50C6"/>
    <w:rsid w:val="00C013BC"/>
    <w:rsid w:val="00C01803"/>
    <w:rsid w:val="00C0506E"/>
    <w:rsid w:val="00C059DF"/>
    <w:rsid w:val="00C065EA"/>
    <w:rsid w:val="00C0661B"/>
    <w:rsid w:val="00C106D7"/>
    <w:rsid w:val="00C11495"/>
    <w:rsid w:val="00C11FE8"/>
    <w:rsid w:val="00C1256B"/>
    <w:rsid w:val="00C12AC8"/>
    <w:rsid w:val="00C132A8"/>
    <w:rsid w:val="00C138D5"/>
    <w:rsid w:val="00C15A27"/>
    <w:rsid w:val="00C15FE3"/>
    <w:rsid w:val="00C1743B"/>
    <w:rsid w:val="00C2278C"/>
    <w:rsid w:val="00C24297"/>
    <w:rsid w:val="00C25EC9"/>
    <w:rsid w:val="00C25F78"/>
    <w:rsid w:val="00C26354"/>
    <w:rsid w:val="00C26383"/>
    <w:rsid w:val="00C30363"/>
    <w:rsid w:val="00C30DDC"/>
    <w:rsid w:val="00C32E7F"/>
    <w:rsid w:val="00C32F24"/>
    <w:rsid w:val="00C33424"/>
    <w:rsid w:val="00C33A2E"/>
    <w:rsid w:val="00C35C07"/>
    <w:rsid w:val="00C360A3"/>
    <w:rsid w:val="00C36990"/>
    <w:rsid w:val="00C37680"/>
    <w:rsid w:val="00C409AF"/>
    <w:rsid w:val="00C41DA1"/>
    <w:rsid w:val="00C43A88"/>
    <w:rsid w:val="00C458DD"/>
    <w:rsid w:val="00C4790D"/>
    <w:rsid w:val="00C47A88"/>
    <w:rsid w:val="00C5088E"/>
    <w:rsid w:val="00C5160A"/>
    <w:rsid w:val="00C519E5"/>
    <w:rsid w:val="00C5288A"/>
    <w:rsid w:val="00C52FAD"/>
    <w:rsid w:val="00C53BB4"/>
    <w:rsid w:val="00C54D76"/>
    <w:rsid w:val="00C552CF"/>
    <w:rsid w:val="00C5548C"/>
    <w:rsid w:val="00C55F6B"/>
    <w:rsid w:val="00C7060A"/>
    <w:rsid w:val="00C7239B"/>
    <w:rsid w:val="00C72905"/>
    <w:rsid w:val="00C72D50"/>
    <w:rsid w:val="00C73104"/>
    <w:rsid w:val="00C73E2B"/>
    <w:rsid w:val="00C74178"/>
    <w:rsid w:val="00C8185F"/>
    <w:rsid w:val="00C81D4C"/>
    <w:rsid w:val="00C81F2F"/>
    <w:rsid w:val="00C83A59"/>
    <w:rsid w:val="00C85F6D"/>
    <w:rsid w:val="00C8640A"/>
    <w:rsid w:val="00C87044"/>
    <w:rsid w:val="00C909DE"/>
    <w:rsid w:val="00C927AD"/>
    <w:rsid w:val="00C93699"/>
    <w:rsid w:val="00C93790"/>
    <w:rsid w:val="00C95BDA"/>
    <w:rsid w:val="00C9712C"/>
    <w:rsid w:val="00CA0E6F"/>
    <w:rsid w:val="00CA1F44"/>
    <w:rsid w:val="00CA5F67"/>
    <w:rsid w:val="00CA72A4"/>
    <w:rsid w:val="00CA7D62"/>
    <w:rsid w:val="00CB2F38"/>
    <w:rsid w:val="00CB5A05"/>
    <w:rsid w:val="00CB672B"/>
    <w:rsid w:val="00CB7EF3"/>
    <w:rsid w:val="00CC06E8"/>
    <w:rsid w:val="00CC230C"/>
    <w:rsid w:val="00CC3754"/>
    <w:rsid w:val="00CC4890"/>
    <w:rsid w:val="00CC4DA2"/>
    <w:rsid w:val="00CC4F84"/>
    <w:rsid w:val="00CC6C11"/>
    <w:rsid w:val="00CD1C2C"/>
    <w:rsid w:val="00CD227D"/>
    <w:rsid w:val="00CD4278"/>
    <w:rsid w:val="00CD487E"/>
    <w:rsid w:val="00CD4C9B"/>
    <w:rsid w:val="00CD5290"/>
    <w:rsid w:val="00CD5976"/>
    <w:rsid w:val="00CD6E23"/>
    <w:rsid w:val="00CE0BB1"/>
    <w:rsid w:val="00CE124E"/>
    <w:rsid w:val="00CE29A0"/>
    <w:rsid w:val="00CE306E"/>
    <w:rsid w:val="00CE360A"/>
    <w:rsid w:val="00CE3887"/>
    <w:rsid w:val="00CF0E40"/>
    <w:rsid w:val="00CF1378"/>
    <w:rsid w:val="00CF3A88"/>
    <w:rsid w:val="00CF3BC4"/>
    <w:rsid w:val="00CF40F3"/>
    <w:rsid w:val="00CF57BC"/>
    <w:rsid w:val="00CF5F85"/>
    <w:rsid w:val="00CF6E42"/>
    <w:rsid w:val="00D06530"/>
    <w:rsid w:val="00D066B3"/>
    <w:rsid w:val="00D06E8C"/>
    <w:rsid w:val="00D07223"/>
    <w:rsid w:val="00D07BA7"/>
    <w:rsid w:val="00D11189"/>
    <w:rsid w:val="00D118E1"/>
    <w:rsid w:val="00D118F2"/>
    <w:rsid w:val="00D1362E"/>
    <w:rsid w:val="00D14A7E"/>
    <w:rsid w:val="00D1626A"/>
    <w:rsid w:val="00D17C98"/>
    <w:rsid w:val="00D20530"/>
    <w:rsid w:val="00D2177D"/>
    <w:rsid w:val="00D21938"/>
    <w:rsid w:val="00D221A1"/>
    <w:rsid w:val="00D232CC"/>
    <w:rsid w:val="00D25335"/>
    <w:rsid w:val="00D25826"/>
    <w:rsid w:val="00D2705D"/>
    <w:rsid w:val="00D27625"/>
    <w:rsid w:val="00D27633"/>
    <w:rsid w:val="00D30DCC"/>
    <w:rsid w:val="00D30EB6"/>
    <w:rsid w:val="00D31CE4"/>
    <w:rsid w:val="00D331B1"/>
    <w:rsid w:val="00D33224"/>
    <w:rsid w:val="00D333FA"/>
    <w:rsid w:val="00D336EB"/>
    <w:rsid w:val="00D342F8"/>
    <w:rsid w:val="00D349B5"/>
    <w:rsid w:val="00D36420"/>
    <w:rsid w:val="00D36D1C"/>
    <w:rsid w:val="00D4192F"/>
    <w:rsid w:val="00D43A04"/>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151E"/>
    <w:rsid w:val="00D648D9"/>
    <w:rsid w:val="00D65DE8"/>
    <w:rsid w:val="00D6677D"/>
    <w:rsid w:val="00D672A2"/>
    <w:rsid w:val="00D71B50"/>
    <w:rsid w:val="00D74B82"/>
    <w:rsid w:val="00D75BA4"/>
    <w:rsid w:val="00D766CD"/>
    <w:rsid w:val="00D81997"/>
    <w:rsid w:val="00D84E78"/>
    <w:rsid w:val="00D87579"/>
    <w:rsid w:val="00D90BF4"/>
    <w:rsid w:val="00D91D87"/>
    <w:rsid w:val="00D9294B"/>
    <w:rsid w:val="00D92C6C"/>
    <w:rsid w:val="00D931FF"/>
    <w:rsid w:val="00D96E7E"/>
    <w:rsid w:val="00D96F31"/>
    <w:rsid w:val="00D97CAA"/>
    <w:rsid w:val="00DA0371"/>
    <w:rsid w:val="00DA470F"/>
    <w:rsid w:val="00DA5D66"/>
    <w:rsid w:val="00DB0A99"/>
    <w:rsid w:val="00DB3E94"/>
    <w:rsid w:val="00DB4F56"/>
    <w:rsid w:val="00DB5D18"/>
    <w:rsid w:val="00DB6595"/>
    <w:rsid w:val="00DB7663"/>
    <w:rsid w:val="00DB79F2"/>
    <w:rsid w:val="00DC0361"/>
    <w:rsid w:val="00DC0879"/>
    <w:rsid w:val="00DC0C29"/>
    <w:rsid w:val="00DC24BF"/>
    <w:rsid w:val="00DC2A40"/>
    <w:rsid w:val="00DC2FC1"/>
    <w:rsid w:val="00DC5011"/>
    <w:rsid w:val="00DC6903"/>
    <w:rsid w:val="00DD014D"/>
    <w:rsid w:val="00DD092B"/>
    <w:rsid w:val="00DD202F"/>
    <w:rsid w:val="00DD3194"/>
    <w:rsid w:val="00DD5ECC"/>
    <w:rsid w:val="00DD7A3E"/>
    <w:rsid w:val="00DE0E82"/>
    <w:rsid w:val="00DE14A7"/>
    <w:rsid w:val="00DE2589"/>
    <w:rsid w:val="00DE41A1"/>
    <w:rsid w:val="00DE4229"/>
    <w:rsid w:val="00DE4952"/>
    <w:rsid w:val="00DE5F6F"/>
    <w:rsid w:val="00DE60A4"/>
    <w:rsid w:val="00DE6333"/>
    <w:rsid w:val="00DE63C8"/>
    <w:rsid w:val="00DE69CF"/>
    <w:rsid w:val="00DE7E49"/>
    <w:rsid w:val="00DF0222"/>
    <w:rsid w:val="00DF12F5"/>
    <w:rsid w:val="00DF160A"/>
    <w:rsid w:val="00DF19CB"/>
    <w:rsid w:val="00DF664A"/>
    <w:rsid w:val="00DF7523"/>
    <w:rsid w:val="00DF7C32"/>
    <w:rsid w:val="00E039A2"/>
    <w:rsid w:val="00E03E9F"/>
    <w:rsid w:val="00E060EE"/>
    <w:rsid w:val="00E06539"/>
    <w:rsid w:val="00E076C4"/>
    <w:rsid w:val="00E07822"/>
    <w:rsid w:val="00E1276B"/>
    <w:rsid w:val="00E12910"/>
    <w:rsid w:val="00E1749B"/>
    <w:rsid w:val="00E20AB4"/>
    <w:rsid w:val="00E219F3"/>
    <w:rsid w:val="00E230B7"/>
    <w:rsid w:val="00E25387"/>
    <w:rsid w:val="00E25E24"/>
    <w:rsid w:val="00E26070"/>
    <w:rsid w:val="00E2612B"/>
    <w:rsid w:val="00E30777"/>
    <w:rsid w:val="00E30F18"/>
    <w:rsid w:val="00E32653"/>
    <w:rsid w:val="00E36137"/>
    <w:rsid w:val="00E36CD3"/>
    <w:rsid w:val="00E42991"/>
    <w:rsid w:val="00E43A23"/>
    <w:rsid w:val="00E4787F"/>
    <w:rsid w:val="00E50242"/>
    <w:rsid w:val="00E5092E"/>
    <w:rsid w:val="00E50FB5"/>
    <w:rsid w:val="00E51E9F"/>
    <w:rsid w:val="00E54381"/>
    <w:rsid w:val="00E5749F"/>
    <w:rsid w:val="00E60B99"/>
    <w:rsid w:val="00E63B64"/>
    <w:rsid w:val="00E655C5"/>
    <w:rsid w:val="00E66B35"/>
    <w:rsid w:val="00E67330"/>
    <w:rsid w:val="00E677A4"/>
    <w:rsid w:val="00E7264C"/>
    <w:rsid w:val="00E75803"/>
    <w:rsid w:val="00E76493"/>
    <w:rsid w:val="00E81422"/>
    <w:rsid w:val="00E814E5"/>
    <w:rsid w:val="00E823F8"/>
    <w:rsid w:val="00E84669"/>
    <w:rsid w:val="00E906F4"/>
    <w:rsid w:val="00E90831"/>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827"/>
    <w:rsid w:val="00EB5AF0"/>
    <w:rsid w:val="00EC326C"/>
    <w:rsid w:val="00EC6900"/>
    <w:rsid w:val="00EC6C7D"/>
    <w:rsid w:val="00ED05BC"/>
    <w:rsid w:val="00ED1902"/>
    <w:rsid w:val="00ED2740"/>
    <w:rsid w:val="00ED4358"/>
    <w:rsid w:val="00ED539D"/>
    <w:rsid w:val="00ED59DB"/>
    <w:rsid w:val="00ED6F38"/>
    <w:rsid w:val="00EE0869"/>
    <w:rsid w:val="00EE286D"/>
    <w:rsid w:val="00EE5B27"/>
    <w:rsid w:val="00EE6280"/>
    <w:rsid w:val="00EF17E9"/>
    <w:rsid w:val="00EF1B1B"/>
    <w:rsid w:val="00EF1C5C"/>
    <w:rsid w:val="00EF29B6"/>
    <w:rsid w:val="00EF4D6C"/>
    <w:rsid w:val="00EF6DF4"/>
    <w:rsid w:val="00F00305"/>
    <w:rsid w:val="00F0425C"/>
    <w:rsid w:val="00F05295"/>
    <w:rsid w:val="00F054F9"/>
    <w:rsid w:val="00F05B73"/>
    <w:rsid w:val="00F06C96"/>
    <w:rsid w:val="00F06DE1"/>
    <w:rsid w:val="00F07B7A"/>
    <w:rsid w:val="00F12130"/>
    <w:rsid w:val="00F122A4"/>
    <w:rsid w:val="00F15005"/>
    <w:rsid w:val="00F15325"/>
    <w:rsid w:val="00F161CA"/>
    <w:rsid w:val="00F22120"/>
    <w:rsid w:val="00F265C3"/>
    <w:rsid w:val="00F26929"/>
    <w:rsid w:val="00F27773"/>
    <w:rsid w:val="00F27990"/>
    <w:rsid w:val="00F335FD"/>
    <w:rsid w:val="00F337B8"/>
    <w:rsid w:val="00F35E26"/>
    <w:rsid w:val="00F36B5C"/>
    <w:rsid w:val="00F37296"/>
    <w:rsid w:val="00F37C36"/>
    <w:rsid w:val="00F401C2"/>
    <w:rsid w:val="00F40865"/>
    <w:rsid w:val="00F4281D"/>
    <w:rsid w:val="00F4646B"/>
    <w:rsid w:val="00F47404"/>
    <w:rsid w:val="00F4778D"/>
    <w:rsid w:val="00F50B08"/>
    <w:rsid w:val="00F517B3"/>
    <w:rsid w:val="00F533BE"/>
    <w:rsid w:val="00F538C0"/>
    <w:rsid w:val="00F549B2"/>
    <w:rsid w:val="00F56A47"/>
    <w:rsid w:val="00F616F8"/>
    <w:rsid w:val="00F61805"/>
    <w:rsid w:val="00F629E4"/>
    <w:rsid w:val="00F62E3D"/>
    <w:rsid w:val="00F64F09"/>
    <w:rsid w:val="00F70849"/>
    <w:rsid w:val="00F70E51"/>
    <w:rsid w:val="00F7121C"/>
    <w:rsid w:val="00F73A06"/>
    <w:rsid w:val="00F73A07"/>
    <w:rsid w:val="00F73BAB"/>
    <w:rsid w:val="00F75C6F"/>
    <w:rsid w:val="00F761D4"/>
    <w:rsid w:val="00F82395"/>
    <w:rsid w:val="00F8609C"/>
    <w:rsid w:val="00F905A7"/>
    <w:rsid w:val="00F90873"/>
    <w:rsid w:val="00F92DC6"/>
    <w:rsid w:val="00F942D8"/>
    <w:rsid w:val="00F943EC"/>
    <w:rsid w:val="00F95084"/>
    <w:rsid w:val="00F956F2"/>
    <w:rsid w:val="00F978D1"/>
    <w:rsid w:val="00FA2D0C"/>
    <w:rsid w:val="00FA341E"/>
    <w:rsid w:val="00FA75D5"/>
    <w:rsid w:val="00FA7EBA"/>
    <w:rsid w:val="00FA7F0E"/>
    <w:rsid w:val="00FB703B"/>
    <w:rsid w:val="00FB7C9F"/>
    <w:rsid w:val="00FC040E"/>
    <w:rsid w:val="00FC48BD"/>
    <w:rsid w:val="00FC7965"/>
    <w:rsid w:val="00FD2BF5"/>
    <w:rsid w:val="00FD2D03"/>
    <w:rsid w:val="00FD3944"/>
    <w:rsid w:val="00FD79BE"/>
    <w:rsid w:val="00FE0B18"/>
    <w:rsid w:val="00FE250B"/>
    <w:rsid w:val="00FE2CFC"/>
    <w:rsid w:val="00FE3E46"/>
    <w:rsid w:val="00FE4C85"/>
    <w:rsid w:val="00FE550E"/>
    <w:rsid w:val="00FE5C0C"/>
    <w:rsid w:val="00FE799A"/>
    <w:rsid w:val="00FF336A"/>
    <w:rsid w:val="00FF406C"/>
    <w:rsid w:val="00FF59B5"/>
    <w:rsid w:val="00FF5E2E"/>
    <w:rsid w:val="00FF6ECC"/>
    <w:rsid w:val="490E4DAE"/>
    <w:rsid w:val="4DFB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5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qFormat/>
    <w:uiPriority w:val="0"/>
    <w:pPr>
      <w:keepNext/>
      <w:keepLines/>
      <w:spacing w:before="100" w:after="100" w:line="360" w:lineRule="auto"/>
      <w:outlineLvl w:val="2"/>
    </w:pPr>
    <w:rPr>
      <w:rFonts w:ascii="Times New Roman" w:hAnsi="Times New Roman"/>
      <w:b/>
      <w:bCs/>
      <w:sz w:val="32"/>
      <w:szCs w:val="32"/>
      <w:lang w:val="zh-CN"/>
    </w:rPr>
  </w:style>
  <w:style w:type="paragraph" w:styleId="5">
    <w:name w:val="heading 4"/>
    <w:basedOn w:val="1"/>
    <w:next w:val="1"/>
    <w:link w:val="58"/>
    <w:qFormat/>
    <w:uiPriority w:val="0"/>
    <w:pPr>
      <w:keepNext/>
      <w:keepLines/>
      <w:spacing w:before="100" w:after="100" w:line="360" w:lineRule="auto"/>
      <w:outlineLvl w:val="3"/>
    </w:pPr>
    <w:rPr>
      <w:rFonts w:ascii="Arial" w:hAnsi="Arial" w:eastAsia="黑体"/>
      <w:b/>
      <w:bCs/>
      <w:sz w:val="22"/>
      <w:szCs w:val="28"/>
      <w:lang w:val="zh-CN"/>
    </w:rPr>
  </w:style>
  <w:style w:type="paragraph" w:styleId="6">
    <w:name w:val="heading 5"/>
    <w:basedOn w:val="1"/>
    <w:next w:val="1"/>
    <w:link w:val="149"/>
    <w:semiHidden/>
    <w:unhideWhenUsed/>
    <w:qFormat/>
    <w:uiPriority w:val="9"/>
    <w:pPr>
      <w:keepNext/>
      <w:keepLines/>
      <w:spacing w:before="280" w:after="290" w:line="376" w:lineRule="auto"/>
      <w:outlineLvl w:val="4"/>
    </w:pPr>
    <w:rPr>
      <w:b/>
      <w:bCs/>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8">
    <w:name w:val="Note Heading"/>
    <w:basedOn w:val="1"/>
    <w:next w:val="1"/>
    <w:link w:val="81"/>
    <w:qFormat/>
    <w:uiPriority w:val="0"/>
    <w:pPr>
      <w:jc w:val="center"/>
    </w:pPr>
    <w:rPr>
      <w:rFonts w:ascii="Times New Roman" w:hAnsi="Times New Roman"/>
      <w:szCs w:val="21"/>
      <w:lang w:val="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szCs w:val="21"/>
    </w:rPr>
  </w:style>
  <w:style w:type="paragraph" w:styleId="10">
    <w:name w:val="List Number"/>
    <w:basedOn w:val="1"/>
    <w:qFormat/>
    <w:uiPriority w:val="0"/>
    <w:pPr>
      <w:tabs>
        <w:tab w:val="left" w:pos="360"/>
      </w:tabs>
      <w:ind w:left="360" w:hanging="360"/>
    </w:pPr>
    <w:rPr>
      <w:rFonts w:ascii="Times New Roman" w:hAnsi="Times New Roman"/>
      <w:szCs w:val="21"/>
    </w:rPr>
  </w:style>
  <w:style w:type="paragraph" w:styleId="11">
    <w:name w:val="Normal Indent"/>
    <w:basedOn w:val="1"/>
    <w:qFormat/>
    <w:uiPriority w:val="0"/>
    <w:pPr>
      <w:ind w:firstLine="420" w:firstLineChars="200"/>
    </w:pPr>
    <w:rPr>
      <w:rFonts w:ascii="Times New Roman" w:hAnsi="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szCs w:val="21"/>
    </w:rPr>
  </w:style>
  <w:style w:type="paragraph" w:styleId="13">
    <w:name w:val="Document Map"/>
    <w:basedOn w:val="1"/>
    <w:link w:val="91"/>
    <w:qFormat/>
    <w:uiPriority w:val="0"/>
    <w:rPr>
      <w:rFonts w:ascii="宋体" w:hAnsi="Times New Roman"/>
      <w:sz w:val="18"/>
      <w:szCs w:val="18"/>
      <w:lang w:val="zh-CN"/>
    </w:rPr>
  </w:style>
  <w:style w:type="paragraph" w:styleId="14">
    <w:name w:val="toa heading"/>
    <w:basedOn w:val="1"/>
    <w:next w:val="1"/>
    <w:qFormat/>
    <w:uiPriority w:val="0"/>
    <w:pPr>
      <w:spacing w:before="120"/>
    </w:pPr>
    <w:rPr>
      <w:rFonts w:ascii="Arial" w:hAnsi="Arial"/>
      <w:b/>
      <w:bCs/>
      <w:szCs w:val="21"/>
    </w:rPr>
  </w:style>
  <w:style w:type="paragraph" w:styleId="15">
    <w:name w:val="annotation text"/>
    <w:basedOn w:val="1"/>
    <w:link w:val="62"/>
    <w:unhideWhenUsed/>
    <w:qFormat/>
    <w:uiPriority w:val="0"/>
    <w:pPr>
      <w:jc w:val="left"/>
    </w:pPr>
  </w:style>
  <w:style w:type="paragraph" w:styleId="16">
    <w:name w:val="Salutation"/>
    <w:basedOn w:val="1"/>
    <w:next w:val="1"/>
    <w:link w:val="78"/>
    <w:qFormat/>
    <w:uiPriority w:val="0"/>
    <w:rPr>
      <w:rFonts w:ascii="Times New Roman" w:hAnsi="Times New Roman"/>
      <w:szCs w:val="21"/>
      <w:lang w:val="zh-CN"/>
    </w:rPr>
  </w:style>
  <w:style w:type="paragraph" w:styleId="17">
    <w:name w:val="Body Text 3"/>
    <w:basedOn w:val="1"/>
    <w:link w:val="104"/>
    <w:qFormat/>
    <w:uiPriority w:val="0"/>
    <w:pPr>
      <w:spacing w:before="100" w:after="20" w:line="440" w:lineRule="exact"/>
    </w:pPr>
    <w:rPr>
      <w:rFonts w:ascii="楷体_GB2312" w:hAnsi="Times New Roman" w:eastAsia="楷体_GB2312"/>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19">
    <w:name w:val="Body Text"/>
    <w:basedOn w:val="1"/>
    <w:link w:val="86"/>
    <w:qFormat/>
    <w:uiPriority w:val="0"/>
    <w:pPr>
      <w:spacing w:after="120"/>
    </w:pPr>
    <w:rPr>
      <w:rFonts w:ascii="Times New Roman" w:hAnsi="Times New Roman"/>
      <w:szCs w:val="21"/>
      <w:lang w:val="zh-CN"/>
    </w:rPr>
  </w:style>
  <w:style w:type="paragraph" w:styleId="20">
    <w:name w:val="Body Text Indent"/>
    <w:basedOn w:val="1"/>
    <w:link w:val="100"/>
    <w:qFormat/>
    <w:uiPriority w:val="0"/>
    <w:pPr>
      <w:adjustRightInd w:val="0"/>
      <w:spacing w:line="300" w:lineRule="auto"/>
      <w:ind w:left="898" w:firstLine="2"/>
      <w:jc w:val="left"/>
      <w:textAlignment w:val="baseline"/>
    </w:pPr>
    <w:rPr>
      <w:rFonts w:ascii="仿宋_GB2312" w:hAnsi="MS Sans Serif" w:eastAsia="仿宋_GB2312"/>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22">
    <w:name w:val="Block Text"/>
    <w:basedOn w:val="1"/>
    <w:qFormat/>
    <w:uiPriority w:val="0"/>
    <w:pPr>
      <w:spacing w:after="120"/>
      <w:ind w:left="1440" w:leftChars="700" w:right="1440" w:rightChars="700"/>
    </w:pPr>
    <w:rPr>
      <w:rFonts w:ascii="Times New Roman" w:hAnsi="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szCs w:val="24"/>
    </w:rPr>
  </w:style>
  <w:style w:type="paragraph" w:styleId="25">
    <w:name w:val="Plain Text"/>
    <w:basedOn w:val="1"/>
    <w:link w:val="85"/>
    <w:qFormat/>
    <w:uiPriority w:val="0"/>
    <w:rPr>
      <w:rFonts w:ascii="宋体" w:hAnsi="Courier New"/>
      <w:szCs w:val="21"/>
      <w:lang w:val="zh-CN"/>
    </w:rPr>
  </w:style>
  <w:style w:type="paragraph" w:styleId="26">
    <w:name w:val="List Bullet 5"/>
    <w:basedOn w:val="1"/>
    <w:qFormat/>
    <w:uiPriority w:val="0"/>
    <w:pPr>
      <w:tabs>
        <w:tab w:val="left" w:pos="2040"/>
      </w:tabs>
      <w:ind w:left="2040" w:leftChars="800" w:hanging="360" w:hangingChars="200"/>
    </w:pPr>
    <w:rPr>
      <w:rFonts w:ascii="Times New Roman" w:hAnsi="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szCs w:val="21"/>
    </w:rPr>
  </w:style>
  <w:style w:type="paragraph" w:styleId="28">
    <w:name w:val="Date"/>
    <w:basedOn w:val="1"/>
    <w:next w:val="1"/>
    <w:link w:val="82"/>
    <w:qFormat/>
    <w:uiPriority w:val="0"/>
    <w:pPr>
      <w:ind w:left="100" w:leftChars="2500"/>
    </w:pPr>
    <w:rPr>
      <w:rFonts w:ascii="楷体_GB2312" w:hAnsi="Times New Roman" w:eastAsia="楷体_GB2312"/>
      <w:sz w:val="28"/>
      <w:szCs w:val="24"/>
      <w:lang w:val="zh-CN"/>
    </w:rPr>
  </w:style>
  <w:style w:type="paragraph" w:styleId="29">
    <w:name w:val="Body Text Indent 2"/>
    <w:basedOn w:val="1"/>
    <w:link w:val="99"/>
    <w:qFormat/>
    <w:uiPriority w:val="0"/>
    <w:pPr>
      <w:adjustRightInd w:val="0"/>
      <w:spacing w:line="360" w:lineRule="auto"/>
      <w:ind w:firstLine="540"/>
      <w:textAlignment w:val="baseline"/>
    </w:pPr>
    <w:rPr>
      <w:rFonts w:ascii="仿宋_GB2312" w:hAnsi="Times New Roman" w:eastAsia="仿宋_GB2312"/>
      <w:kern w:val="0"/>
      <w:sz w:val="24"/>
      <w:szCs w:val="20"/>
    </w:rPr>
  </w:style>
  <w:style w:type="paragraph" w:styleId="30">
    <w:name w:val="Balloon Text"/>
    <w:basedOn w:val="1"/>
    <w:link w:val="64"/>
    <w:unhideWhenUsed/>
    <w:qFormat/>
    <w:uiPriority w:val="0"/>
    <w:rPr>
      <w:sz w:val="18"/>
      <w:szCs w:val="18"/>
    </w:rPr>
  </w:style>
  <w:style w:type="paragraph" w:styleId="31">
    <w:name w:val="footer"/>
    <w:basedOn w:val="1"/>
    <w:link w:val="60"/>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cs="Arial"/>
      <w:szCs w:val="21"/>
    </w:rPr>
  </w:style>
  <w:style w:type="paragraph" w:styleId="33">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sz w:val="44"/>
      <w:szCs w:val="44"/>
    </w:rPr>
  </w:style>
  <w:style w:type="paragraph" w:styleId="35">
    <w:name w:val="Subtitle"/>
    <w:basedOn w:val="1"/>
    <w:next w:val="1"/>
    <w:link w:val="122"/>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szCs w:val="21"/>
    </w:rPr>
  </w:style>
  <w:style w:type="paragraph" w:styleId="37">
    <w:name w:val="List"/>
    <w:basedOn w:val="1"/>
    <w:qFormat/>
    <w:uiPriority w:val="0"/>
    <w:pPr>
      <w:ind w:left="200" w:hanging="200" w:hangingChars="200"/>
    </w:pPr>
    <w:rPr>
      <w:rFonts w:ascii="Times New Roman" w:hAnsi="Times New Roman"/>
      <w:szCs w:val="21"/>
    </w:rPr>
  </w:style>
  <w:style w:type="paragraph" w:styleId="38">
    <w:name w:val="footnote text"/>
    <w:basedOn w:val="1"/>
    <w:link w:val="93"/>
    <w:qFormat/>
    <w:uiPriority w:val="0"/>
    <w:pPr>
      <w:snapToGrid w:val="0"/>
      <w:jc w:val="left"/>
    </w:pPr>
    <w:rPr>
      <w:rFonts w:ascii="Times New Roman" w:hAnsi="Times New Roman"/>
      <w:sz w:val="18"/>
      <w:szCs w:val="18"/>
      <w:lang w:val="zh-CN"/>
    </w:rPr>
  </w:style>
  <w:style w:type="paragraph" w:styleId="39">
    <w:name w:val="Body Text Indent 3"/>
    <w:basedOn w:val="1"/>
    <w:link w:val="102"/>
    <w:qFormat/>
    <w:uiPriority w:val="0"/>
    <w:pPr>
      <w:spacing w:line="180" w:lineRule="atLeast"/>
      <w:ind w:firstLine="538" w:firstLineChars="192"/>
    </w:pPr>
    <w:rPr>
      <w:rFonts w:ascii="楷体_GB2312" w:hAnsi="Times New Roman" w:eastAsia="楷体_GB2312"/>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szCs w:val="24"/>
    </w:rPr>
  </w:style>
  <w:style w:type="paragraph" w:styleId="41">
    <w:name w:val="Body Text 2"/>
    <w:basedOn w:val="1"/>
    <w:link w:val="103"/>
    <w:qFormat/>
    <w:uiPriority w:val="0"/>
    <w:pPr>
      <w:tabs>
        <w:tab w:val="left" w:pos="9000"/>
      </w:tabs>
      <w:spacing w:before="100" w:after="20" w:line="440" w:lineRule="exact"/>
      <w:ind w:right="-176"/>
    </w:pPr>
    <w:rPr>
      <w:rFonts w:ascii="楷体_GB2312" w:hAnsi="Times New Roman" w:eastAsia="楷体_GB2312"/>
      <w:sz w:val="28"/>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Title"/>
    <w:basedOn w:val="1"/>
    <w:link w:val="79"/>
    <w:qFormat/>
    <w:uiPriority w:val="0"/>
    <w:pPr>
      <w:spacing w:before="240" w:after="60"/>
      <w:jc w:val="center"/>
      <w:outlineLvl w:val="0"/>
    </w:pPr>
    <w:rPr>
      <w:rFonts w:ascii="Arial" w:hAnsi="Arial" w:cs="Arial" w:eastAsiaTheme="minorEastAsia"/>
      <w:b/>
      <w:bCs/>
      <w:sz w:val="32"/>
      <w:szCs w:val="32"/>
    </w:rPr>
  </w:style>
  <w:style w:type="paragraph" w:styleId="44">
    <w:name w:val="annotation subject"/>
    <w:basedOn w:val="15"/>
    <w:next w:val="15"/>
    <w:link w:val="63"/>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qFormat/>
    <w:uiPriority w:val="0"/>
    <w:rPr>
      <w:rFonts w:eastAsia="宋体"/>
      <w:kern w:val="2"/>
      <w:sz w:val="24"/>
      <w:szCs w:val="24"/>
      <w:lang w:val="en-US" w:eastAsia="zh-CN" w:bidi="ar-SA"/>
    </w:rPr>
  </w:style>
  <w:style w:type="character" w:styleId="50">
    <w:name w:val="FollowedHyperlink"/>
    <w:qFormat/>
    <w:uiPriority w:val="0"/>
    <w:rPr>
      <w:rFonts w:eastAsia="宋体"/>
      <w:color w:val="800080"/>
      <w:kern w:val="2"/>
      <w:sz w:val="24"/>
      <w:szCs w:val="24"/>
      <w:u w:val="single"/>
      <w:lang w:val="en-US" w:eastAsia="zh-CN" w:bidi="ar-SA"/>
    </w:rPr>
  </w:style>
  <w:style w:type="character" w:styleId="51">
    <w:name w:val="Emphasis"/>
    <w:basedOn w:val="47"/>
    <w:qFormat/>
    <w:uiPriority w:val="20"/>
    <w:rPr>
      <w:i/>
      <w:iCs/>
    </w:rPr>
  </w:style>
  <w:style w:type="character" w:styleId="52">
    <w:name w:val="Hyperlink"/>
    <w:qFormat/>
    <w:uiPriority w:val="0"/>
    <w:rPr>
      <w:rFonts w:eastAsia="宋体"/>
      <w:color w:val="0000FF"/>
      <w:kern w:val="2"/>
      <w:sz w:val="24"/>
      <w:szCs w:val="24"/>
      <w:u w:val="single"/>
      <w:lang w:val="en-US" w:eastAsia="zh-CN" w:bidi="ar-SA"/>
    </w:rPr>
  </w:style>
  <w:style w:type="character" w:styleId="53">
    <w:name w:val="annotation reference"/>
    <w:basedOn w:val="47"/>
    <w:unhideWhenUsed/>
    <w:qFormat/>
    <w:uiPriority w:val="99"/>
    <w:rPr>
      <w:sz w:val="21"/>
      <w:szCs w:val="21"/>
    </w:rPr>
  </w:style>
  <w:style w:type="character" w:styleId="54">
    <w:name w:val="footnote reference"/>
    <w:qFormat/>
    <w:uiPriority w:val="0"/>
    <w:rPr>
      <w:rFonts w:eastAsia="宋体"/>
      <w:kern w:val="2"/>
      <w:sz w:val="24"/>
      <w:szCs w:val="24"/>
      <w:vertAlign w:val="superscript"/>
      <w:lang w:val="en-US" w:eastAsia="zh-CN" w:bidi="ar-SA"/>
    </w:rPr>
  </w:style>
  <w:style w:type="character" w:customStyle="1" w:styleId="55">
    <w:name w:val="标题 1 Char"/>
    <w:basedOn w:val="47"/>
    <w:link w:val="2"/>
    <w:qFormat/>
    <w:uiPriority w:val="0"/>
    <w:rPr>
      <w:rFonts w:ascii="Calibri" w:hAnsi="Calibri" w:eastAsia="宋体" w:cs="Times New Roman"/>
      <w:b/>
      <w:bCs/>
      <w:kern w:val="44"/>
      <w:sz w:val="44"/>
      <w:szCs w:val="44"/>
      <w:lang w:val="zh-CN" w:eastAsia="zh-CN"/>
    </w:rPr>
  </w:style>
  <w:style w:type="character" w:customStyle="1" w:styleId="56">
    <w:name w:val="标题 2 Char"/>
    <w:basedOn w:val="47"/>
    <w:link w:val="3"/>
    <w:qFormat/>
    <w:uiPriority w:val="0"/>
    <w:rPr>
      <w:rFonts w:asciiTheme="majorHAnsi" w:hAnsiTheme="majorHAnsi" w:eastAsiaTheme="majorEastAsia" w:cstheme="majorBidi"/>
      <w:b/>
      <w:bCs/>
      <w:sz w:val="32"/>
      <w:szCs w:val="32"/>
    </w:rPr>
  </w:style>
  <w:style w:type="character" w:customStyle="1" w:styleId="57">
    <w:name w:val="标题 3 Char1"/>
    <w:link w:val="4"/>
    <w:qFormat/>
    <w:uiPriority w:val="0"/>
    <w:rPr>
      <w:rFonts w:ascii="Times New Roman" w:hAnsi="Times New Roman" w:eastAsia="宋体" w:cs="Times New Roman"/>
      <w:b/>
      <w:bCs/>
      <w:sz w:val="32"/>
      <w:szCs w:val="32"/>
      <w:lang w:val="zh-CN" w:eastAsia="zh-CN"/>
    </w:rPr>
  </w:style>
  <w:style w:type="character" w:customStyle="1" w:styleId="58">
    <w:name w:val="标题 4 Char"/>
    <w:basedOn w:val="47"/>
    <w:link w:val="5"/>
    <w:qFormat/>
    <w:uiPriority w:val="0"/>
    <w:rPr>
      <w:rFonts w:ascii="Arial" w:hAnsi="Arial" w:eastAsia="黑体" w:cs="Times New Roman"/>
      <w:b/>
      <w:bCs/>
      <w:sz w:val="22"/>
      <w:szCs w:val="28"/>
      <w:lang w:val="zh-CN" w:eastAsia="zh-CN"/>
    </w:rPr>
  </w:style>
  <w:style w:type="character" w:customStyle="1" w:styleId="59">
    <w:name w:val="页眉 Char"/>
    <w:basedOn w:val="47"/>
    <w:link w:val="33"/>
    <w:qFormat/>
    <w:uiPriority w:val="0"/>
    <w:rPr>
      <w:sz w:val="18"/>
      <w:szCs w:val="18"/>
    </w:rPr>
  </w:style>
  <w:style w:type="character" w:customStyle="1" w:styleId="60">
    <w:name w:val="页脚 Char"/>
    <w:basedOn w:val="47"/>
    <w:link w:val="31"/>
    <w:qFormat/>
    <w:uiPriority w:val="99"/>
    <w:rPr>
      <w:sz w:val="18"/>
      <w:szCs w:val="18"/>
    </w:rPr>
  </w:style>
  <w:style w:type="paragraph" w:customStyle="1" w:styleId="61">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character" w:customStyle="1" w:styleId="62">
    <w:name w:val="批注文字 Char"/>
    <w:basedOn w:val="47"/>
    <w:link w:val="15"/>
    <w:qFormat/>
    <w:uiPriority w:val="0"/>
    <w:rPr>
      <w:rFonts w:ascii="Calibri" w:hAnsi="Calibri" w:eastAsia="宋体" w:cs="Times New Roman"/>
    </w:rPr>
  </w:style>
  <w:style w:type="character" w:customStyle="1" w:styleId="63">
    <w:name w:val="批注主题 Char"/>
    <w:basedOn w:val="62"/>
    <w:link w:val="44"/>
    <w:qFormat/>
    <w:uiPriority w:val="0"/>
    <w:rPr>
      <w:rFonts w:ascii="Calibri" w:hAnsi="Calibri" w:eastAsia="宋体" w:cs="Times New Roman"/>
      <w:b/>
      <w:bCs/>
    </w:rPr>
  </w:style>
  <w:style w:type="character" w:customStyle="1" w:styleId="64">
    <w:name w:val="批注框文本 Char"/>
    <w:basedOn w:val="47"/>
    <w:link w:val="30"/>
    <w:qFormat/>
    <w:uiPriority w:val="0"/>
    <w:rPr>
      <w:rFonts w:ascii="Calibri" w:hAnsi="Calibri" w:eastAsia="宋体" w:cs="Times New Roman"/>
      <w:sz w:val="18"/>
      <w:szCs w:val="18"/>
    </w:rPr>
  </w:style>
  <w:style w:type="table" w:customStyle="1" w:styleId="65">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标题 3 Char"/>
    <w:basedOn w:val="47"/>
    <w:qFormat/>
    <w:uiPriority w:val="0"/>
    <w:rPr>
      <w:rFonts w:ascii="Calibri" w:hAnsi="Calibri" w:eastAsia="宋体" w:cs="Times New Roman"/>
      <w:b/>
      <w:bCs/>
      <w:sz w:val="32"/>
      <w:szCs w:val="32"/>
    </w:rPr>
  </w:style>
  <w:style w:type="paragraph" w:styleId="67">
    <w:name w:val="List Paragraph"/>
    <w:basedOn w:val="1"/>
    <w:qFormat/>
    <w:uiPriority w:val="34"/>
    <w:pPr>
      <w:ind w:firstLine="420" w:firstLineChars="200"/>
    </w:pPr>
  </w:style>
  <w:style w:type="paragraph" w:styleId="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修订1"/>
    <w:hidden/>
    <w:qFormat/>
    <w:uiPriority w:val="99"/>
    <w:rPr>
      <w:rFonts w:ascii="Calibri" w:hAnsi="Calibri" w:eastAsia="宋体" w:cs="Times New Roman"/>
      <w:kern w:val="2"/>
      <w:sz w:val="21"/>
      <w:szCs w:val="22"/>
      <w:lang w:val="en-US" w:eastAsia="zh-CN" w:bidi="ar-SA"/>
    </w:rPr>
  </w:style>
  <w:style w:type="table" w:customStyle="1" w:styleId="70">
    <w:name w:val="无格式表格 21"/>
    <w:basedOn w:val="45"/>
    <w:qFormat/>
    <w:uiPriority w:val="42"/>
    <w:rPr>
      <w:rFonts w:ascii="Calibri" w:hAnsi="Calibri"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1">
    <w:name w:val="无格式表格 31"/>
    <w:basedOn w:val="45"/>
    <w:qFormat/>
    <w:uiPriority w:val="43"/>
    <w:rPr>
      <w:rFonts w:ascii="Calibri" w:hAnsi="Calibri" w:eastAsia="宋体" w:cs="Times New Roman"/>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2">
    <w:name w:val="TableGrid"/>
    <w:qFormat/>
    <w:uiPriority w:val="0"/>
    <w:rPr>
      <w:rFonts w:ascii="Calibri" w:hAnsi="Calibri" w:eastAsia="宋体" w:cs="Times New Roman"/>
    </w:rPr>
    <w:tblPr>
      <w:tblCellMar>
        <w:top w:w="0" w:type="dxa"/>
        <w:left w:w="0" w:type="dxa"/>
        <w:bottom w:w="0" w:type="dxa"/>
        <w:right w:w="0" w:type="dxa"/>
      </w:tblCellMar>
    </w:tblPr>
  </w:style>
  <w:style w:type="paragraph" w:customStyle="1" w:styleId="7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74">
    <w:name w:val="Char Char Char Char Char Char Char"/>
    <w:basedOn w:val="1"/>
    <w:qFormat/>
    <w:uiPriority w:val="0"/>
    <w:pPr>
      <w:tabs>
        <w:tab w:val="left" w:pos="360"/>
      </w:tabs>
      <w:ind w:left="360" w:hanging="360"/>
    </w:pPr>
    <w:rPr>
      <w:rFonts w:ascii="Times New Roman" w:hAnsi="Times New Roman"/>
      <w:sz w:val="24"/>
      <w:szCs w:val="24"/>
    </w:rPr>
  </w:style>
  <w:style w:type="character" w:customStyle="1" w:styleId="75">
    <w:name w:val="cap"/>
    <w:qFormat/>
    <w:uiPriority w:val="0"/>
    <w:rPr>
      <w:rFonts w:eastAsia="宋体"/>
      <w:kern w:val="2"/>
      <w:sz w:val="24"/>
      <w:szCs w:val="24"/>
      <w:lang w:val="en-US" w:eastAsia="zh-CN" w:bidi="ar-SA"/>
    </w:rPr>
  </w:style>
  <w:style w:type="character" w:customStyle="1" w:styleId="76">
    <w:name w:val="notnullcss1"/>
    <w:qFormat/>
    <w:uiPriority w:val="0"/>
    <w:rPr>
      <w:rFonts w:eastAsia="宋体"/>
      <w:color w:val="FF0000"/>
      <w:kern w:val="2"/>
      <w:sz w:val="24"/>
      <w:szCs w:val="24"/>
      <w:lang w:val="en-US" w:eastAsia="zh-CN" w:bidi="ar-SA"/>
    </w:rPr>
  </w:style>
  <w:style w:type="paragraph" w:customStyle="1" w:styleId="77">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8">
    <w:name w:val="称呼 Char"/>
    <w:basedOn w:val="47"/>
    <w:link w:val="16"/>
    <w:qFormat/>
    <w:uiPriority w:val="0"/>
    <w:rPr>
      <w:rFonts w:ascii="Times New Roman" w:hAnsi="Times New Roman" w:eastAsia="宋体" w:cs="Times New Roman"/>
      <w:szCs w:val="21"/>
      <w:lang w:val="zh-CN" w:eastAsia="zh-CN"/>
    </w:rPr>
  </w:style>
  <w:style w:type="character" w:customStyle="1" w:styleId="79">
    <w:name w:val="标题 Char"/>
    <w:link w:val="43"/>
    <w:qFormat/>
    <w:locked/>
    <w:uiPriority w:val="0"/>
    <w:rPr>
      <w:rFonts w:ascii="Arial" w:hAnsi="Arial" w:cs="Arial"/>
      <w:b/>
      <w:bCs/>
      <w:sz w:val="32"/>
      <w:szCs w:val="32"/>
    </w:rPr>
  </w:style>
  <w:style w:type="character" w:customStyle="1" w:styleId="80">
    <w:name w:val="标题 Char1"/>
    <w:basedOn w:val="47"/>
    <w:qFormat/>
    <w:uiPriority w:val="0"/>
    <w:rPr>
      <w:rFonts w:eastAsia="宋体" w:asciiTheme="majorHAnsi" w:hAnsiTheme="majorHAnsi" w:cstheme="majorBidi"/>
      <w:b/>
      <w:bCs/>
      <w:sz w:val="32"/>
      <w:szCs w:val="32"/>
    </w:rPr>
  </w:style>
  <w:style w:type="character" w:customStyle="1" w:styleId="81">
    <w:name w:val="注释标题 Char"/>
    <w:basedOn w:val="47"/>
    <w:link w:val="8"/>
    <w:qFormat/>
    <w:uiPriority w:val="0"/>
    <w:rPr>
      <w:rFonts w:ascii="Times New Roman" w:hAnsi="Times New Roman" w:eastAsia="宋体" w:cs="Times New Roman"/>
      <w:szCs w:val="21"/>
      <w:lang w:val="zh-CN" w:eastAsia="zh-CN"/>
    </w:rPr>
  </w:style>
  <w:style w:type="character" w:customStyle="1" w:styleId="82">
    <w:name w:val="日期 Char"/>
    <w:basedOn w:val="47"/>
    <w:link w:val="28"/>
    <w:qFormat/>
    <w:uiPriority w:val="0"/>
    <w:rPr>
      <w:rFonts w:ascii="楷体_GB2312" w:hAnsi="Times New Roman" w:eastAsia="楷体_GB2312" w:cs="Times New Roman"/>
      <w:sz w:val="28"/>
      <w:szCs w:val="24"/>
      <w:lang w:val="zh-CN" w:eastAsia="zh-CN"/>
    </w:rPr>
  </w:style>
  <w:style w:type="paragraph" w:customStyle="1" w:styleId="83">
    <w:name w:val="Char Char Char Char Char Char Char Char Char"/>
    <w:basedOn w:val="1"/>
    <w:qFormat/>
    <w:uiPriority w:val="0"/>
    <w:pPr>
      <w:tabs>
        <w:tab w:val="left" w:pos="360"/>
      </w:tabs>
      <w:ind w:left="360" w:hanging="360"/>
    </w:pPr>
    <w:rPr>
      <w:rFonts w:ascii="Times New Roman" w:hAnsi="Times New Roman"/>
      <w:sz w:val="24"/>
      <w:szCs w:val="24"/>
    </w:rPr>
  </w:style>
  <w:style w:type="paragraph" w:customStyle="1" w:styleId="84">
    <w:name w:val="xl61"/>
    <w:basedOn w:val="1"/>
    <w:qFormat/>
    <w:uiPriority w:val="0"/>
    <w:pPr>
      <w:widowControl/>
      <w:spacing w:before="100" w:after="100"/>
      <w:jc w:val="right"/>
    </w:pPr>
    <w:rPr>
      <w:rFonts w:ascii="Arial Unicode MS" w:hAnsi="Times New Roman" w:eastAsia="Arial Unicode MS"/>
      <w:kern w:val="0"/>
      <w:sz w:val="18"/>
      <w:szCs w:val="18"/>
    </w:rPr>
  </w:style>
  <w:style w:type="character" w:customStyle="1" w:styleId="85">
    <w:name w:val="纯文本 Char"/>
    <w:basedOn w:val="47"/>
    <w:link w:val="25"/>
    <w:qFormat/>
    <w:uiPriority w:val="0"/>
    <w:rPr>
      <w:rFonts w:ascii="宋体" w:hAnsi="Courier New" w:eastAsia="宋体" w:cs="Times New Roman"/>
      <w:szCs w:val="21"/>
      <w:lang w:val="zh-CN" w:eastAsia="zh-CN"/>
    </w:rPr>
  </w:style>
  <w:style w:type="character" w:customStyle="1" w:styleId="86">
    <w:name w:val="正文文本 Char"/>
    <w:basedOn w:val="47"/>
    <w:link w:val="19"/>
    <w:qFormat/>
    <w:uiPriority w:val="0"/>
    <w:rPr>
      <w:rFonts w:ascii="Times New Roman" w:hAnsi="Times New Roman" w:eastAsia="宋体" w:cs="Times New Roman"/>
      <w:szCs w:val="21"/>
      <w:lang w:val="zh-CN" w:eastAsia="zh-CN"/>
    </w:rPr>
  </w:style>
  <w:style w:type="paragraph" w:customStyle="1" w:styleId="87">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88">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89">
    <w:name w:val="span_"/>
    <w:qFormat/>
    <w:uiPriority w:val="0"/>
    <w:rPr>
      <w:rFonts w:eastAsia="宋体"/>
      <w:kern w:val="2"/>
      <w:sz w:val="24"/>
      <w:szCs w:val="24"/>
      <w:lang w:val="en-US" w:eastAsia="zh-CN" w:bidi="ar-SA"/>
    </w:rPr>
  </w:style>
  <w:style w:type="paragraph" w:customStyle="1" w:styleId="90">
    <w:name w:val="Char"/>
    <w:basedOn w:val="1"/>
    <w:qFormat/>
    <w:uiPriority w:val="0"/>
    <w:pPr>
      <w:ind w:left="765" w:hanging="360"/>
    </w:pPr>
    <w:rPr>
      <w:rFonts w:ascii="Times New Roman" w:hAnsi="Times New Roman"/>
      <w:sz w:val="24"/>
      <w:szCs w:val="24"/>
    </w:rPr>
  </w:style>
  <w:style w:type="character" w:customStyle="1" w:styleId="91">
    <w:name w:val="文档结构图 Char"/>
    <w:basedOn w:val="47"/>
    <w:link w:val="13"/>
    <w:qFormat/>
    <w:uiPriority w:val="0"/>
    <w:rPr>
      <w:rFonts w:ascii="宋体" w:hAnsi="Times New Roman" w:eastAsia="宋体" w:cs="Times New Roman"/>
      <w:sz w:val="18"/>
      <w:szCs w:val="18"/>
      <w:lang w:val="zh-CN" w:eastAsia="zh-CN"/>
    </w:rPr>
  </w:style>
  <w:style w:type="paragraph" w:customStyle="1" w:styleId="9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3">
    <w:name w:val="脚注文本 Char"/>
    <w:basedOn w:val="47"/>
    <w:link w:val="38"/>
    <w:qFormat/>
    <w:uiPriority w:val="0"/>
    <w:rPr>
      <w:rFonts w:ascii="Times New Roman" w:hAnsi="Times New Roman" w:eastAsia="宋体" w:cs="Times New Roman"/>
      <w:sz w:val="18"/>
      <w:szCs w:val="18"/>
      <w:lang w:val="zh-CN" w:eastAsia="zh-CN"/>
    </w:rPr>
  </w:style>
  <w:style w:type="character" w:customStyle="1" w:styleId="94">
    <w:name w:val="标题 3 Char Char"/>
    <w:qFormat/>
    <w:uiPriority w:val="0"/>
    <w:rPr>
      <w:b/>
      <w:bCs/>
      <w:kern w:val="2"/>
      <w:sz w:val="32"/>
      <w:szCs w:val="32"/>
    </w:rPr>
  </w:style>
  <w:style w:type="paragraph" w:customStyle="1" w:styleId="95">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96">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character" w:customStyle="1" w:styleId="99">
    <w:name w:val="正文文本缩进 2 Char"/>
    <w:basedOn w:val="47"/>
    <w:link w:val="29"/>
    <w:qFormat/>
    <w:uiPriority w:val="0"/>
    <w:rPr>
      <w:rFonts w:ascii="仿宋_GB2312" w:hAnsi="Times New Roman" w:eastAsia="仿宋_GB2312" w:cs="Times New Roman"/>
      <w:kern w:val="0"/>
      <w:sz w:val="24"/>
      <w:szCs w:val="20"/>
    </w:rPr>
  </w:style>
  <w:style w:type="character" w:customStyle="1" w:styleId="100">
    <w:name w:val="正文文本缩进 Char"/>
    <w:basedOn w:val="47"/>
    <w:link w:val="20"/>
    <w:qFormat/>
    <w:uiPriority w:val="0"/>
    <w:rPr>
      <w:rFonts w:ascii="仿宋_GB2312" w:hAnsi="MS Sans Serif" w:eastAsia="仿宋_GB2312" w:cs="Times New Roman"/>
      <w:kern w:val="0"/>
      <w:sz w:val="28"/>
      <w:szCs w:val="20"/>
    </w:rPr>
  </w:style>
  <w:style w:type="paragraph" w:customStyle="1" w:styleId="101">
    <w:name w:val="标准"/>
    <w:basedOn w:val="1"/>
    <w:qFormat/>
    <w:uiPriority w:val="0"/>
    <w:pPr>
      <w:adjustRightInd w:val="0"/>
      <w:spacing w:line="360" w:lineRule="auto"/>
      <w:jc w:val="center"/>
      <w:textAlignment w:val="baseline"/>
    </w:pPr>
    <w:rPr>
      <w:rFonts w:ascii="Times New Roman" w:hAnsi="Times New Roman"/>
      <w:spacing w:val="28"/>
      <w:kern w:val="0"/>
      <w:sz w:val="72"/>
      <w:szCs w:val="20"/>
    </w:rPr>
  </w:style>
  <w:style w:type="character" w:customStyle="1" w:styleId="102">
    <w:name w:val="正文文本缩进 3 Char"/>
    <w:basedOn w:val="47"/>
    <w:link w:val="39"/>
    <w:qFormat/>
    <w:uiPriority w:val="0"/>
    <w:rPr>
      <w:rFonts w:ascii="楷体_GB2312" w:hAnsi="Times New Roman" w:eastAsia="楷体_GB2312" w:cs="Times New Roman"/>
      <w:sz w:val="28"/>
      <w:szCs w:val="20"/>
    </w:rPr>
  </w:style>
  <w:style w:type="character" w:customStyle="1" w:styleId="103">
    <w:name w:val="正文文本 2 Char"/>
    <w:basedOn w:val="47"/>
    <w:link w:val="41"/>
    <w:qFormat/>
    <w:uiPriority w:val="0"/>
    <w:rPr>
      <w:rFonts w:ascii="楷体_GB2312" w:hAnsi="Times New Roman" w:eastAsia="楷体_GB2312" w:cs="Times New Roman"/>
      <w:sz w:val="28"/>
      <w:szCs w:val="20"/>
    </w:rPr>
  </w:style>
  <w:style w:type="character" w:customStyle="1" w:styleId="104">
    <w:name w:val="正文文本 3 Char"/>
    <w:basedOn w:val="47"/>
    <w:link w:val="17"/>
    <w:qFormat/>
    <w:uiPriority w:val="0"/>
    <w:rPr>
      <w:rFonts w:ascii="楷体_GB2312" w:hAnsi="Times New Roman" w:eastAsia="楷体_GB2312" w:cs="Times New Roman"/>
      <w:color w:val="000000"/>
      <w:sz w:val="24"/>
    </w:rPr>
  </w:style>
  <w:style w:type="character" w:customStyle="1" w:styleId="105">
    <w:name w:val="font14 line-height"/>
    <w:basedOn w:val="47"/>
    <w:qFormat/>
    <w:uiPriority w:val="0"/>
  </w:style>
  <w:style w:type="character" w:customStyle="1" w:styleId="106">
    <w:name w:val="msoins"/>
    <w:basedOn w:val="47"/>
    <w:qFormat/>
    <w:uiPriority w:val="0"/>
  </w:style>
  <w:style w:type="paragraph" w:customStyle="1" w:styleId="107">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09">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11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1">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2">
    <w:name w:val="Char Char4"/>
    <w:qFormat/>
    <w:uiPriority w:val="0"/>
    <w:rPr>
      <w:b/>
      <w:bCs/>
      <w:sz w:val="32"/>
      <w:szCs w:val="32"/>
    </w:rPr>
  </w:style>
  <w:style w:type="paragraph" w:customStyle="1" w:styleId="113">
    <w:name w:val="默认段落字体 Para Char Char Char Char Char Char Char"/>
    <w:basedOn w:val="1"/>
    <w:qFormat/>
    <w:uiPriority w:val="0"/>
    <w:rPr>
      <w:rFonts w:ascii="Tahoma" w:hAnsi="Tahoma"/>
      <w:sz w:val="24"/>
      <w:szCs w:val="20"/>
    </w:rPr>
  </w:style>
  <w:style w:type="character" w:customStyle="1" w:styleId="114">
    <w:name w:val="Body Text Char"/>
    <w:link w:val="115"/>
    <w:qFormat/>
    <w:uiPriority w:val="0"/>
    <w:rPr>
      <w:rFonts w:ascii="Georgia"/>
    </w:rPr>
  </w:style>
  <w:style w:type="paragraph" w:customStyle="1" w:styleId="115">
    <w:name w:val="Body Text1"/>
    <w:basedOn w:val="1"/>
    <w:link w:val="114"/>
    <w:qFormat/>
    <w:uiPriority w:val="0"/>
    <w:rPr>
      <w:rFonts w:ascii="Georgia" w:hAnsiTheme="minorHAnsi" w:eastAsiaTheme="minorEastAsia" w:cstheme="minorBidi"/>
    </w:rPr>
  </w:style>
  <w:style w:type="paragraph" w:customStyle="1" w:styleId="116">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7">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8">
    <w:name w:val="Char Char42"/>
    <w:qFormat/>
    <w:uiPriority w:val="0"/>
    <w:rPr>
      <w:b/>
      <w:bCs/>
      <w:sz w:val="32"/>
      <w:szCs w:val="32"/>
    </w:rPr>
  </w:style>
  <w:style w:type="paragraph" w:customStyle="1" w:styleId="119">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20">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21">
    <w:name w:val="Char Char41"/>
    <w:qFormat/>
    <w:uiPriority w:val="0"/>
    <w:rPr>
      <w:b/>
      <w:bCs/>
      <w:sz w:val="32"/>
      <w:szCs w:val="32"/>
    </w:rPr>
  </w:style>
  <w:style w:type="character" w:customStyle="1" w:styleId="122">
    <w:name w:val="副标题 Char"/>
    <w:basedOn w:val="47"/>
    <w:link w:val="35"/>
    <w:qFormat/>
    <w:uiPriority w:val="11"/>
    <w:rPr>
      <w:rFonts w:eastAsia="宋体" w:asciiTheme="majorHAnsi" w:hAnsiTheme="majorHAnsi" w:cstheme="majorBidi"/>
      <w:b/>
      <w:bCs/>
      <w:kern w:val="28"/>
      <w:sz w:val="32"/>
      <w:szCs w:val="32"/>
    </w:rPr>
  </w:style>
  <w:style w:type="table" w:customStyle="1" w:styleId="123">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0">
    <w:name w:val="fontstyle01"/>
    <w:basedOn w:val="47"/>
    <w:qFormat/>
    <w:uiPriority w:val="0"/>
    <w:rPr>
      <w:rFonts w:hint="default" w:ascii="CIDFont+F4" w:hAnsi="CIDFont+F4"/>
      <w:color w:val="000000"/>
      <w:sz w:val="28"/>
      <w:szCs w:val="28"/>
    </w:rPr>
  </w:style>
  <w:style w:type="character" w:customStyle="1" w:styleId="141">
    <w:name w:val="fontstyle21"/>
    <w:basedOn w:val="47"/>
    <w:qFormat/>
    <w:uiPriority w:val="0"/>
    <w:rPr>
      <w:rFonts w:hint="default" w:ascii="CIDFont+F1" w:hAnsi="CIDFont+F1"/>
      <w:color w:val="000000"/>
      <w:sz w:val="28"/>
      <w:szCs w:val="28"/>
    </w:rPr>
  </w:style>
  <w:style w:type="table" w:customStyle="1" w:styleId="142">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1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1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9">
    <w:name w:val="标题 5 Char"/>
    <w:basedOn w:val="47"/>
    <w:link w:val="6"/>
    <w:semiHidden/>
    <w:qFormat/>
    <w:uiPriority w:val="9"/>
    <w:rPr>
      <w:rFonts w:ascii="Calibri" w:hAnsi="Calibri" w:eastAsia="宋体" w:cs="Times New Roman"/>
      <w:b/>
      <w:bCs/>
      <w:sz w:val="28"/>
      <w:szCs w:val="28"/>
    </w:rPr>
  </w:style>
  <w:style w:type="paragraph" w:customStyle="1" w:styleId="150">
    <w:name w:val="Revision"/>
    <w:hidden/>
    <w:semiHidden/>
    <w:qFormat/>
    <w:uiPriority w:val="99"/>
    <w:rPr>
      <w:rFonts w:ascii="Calibri" w:hAnsi="Calibri" w:eastAsia="宋体" w:cs="Times New Roman"/>
      <w:kern w:val="2"/>
      <w:sz w:val="21"/>
      <w:szCs w:val="22"/>
      <w:lang w:val="en-US" w:eastAsia="zh-CN" w:bidi="ar-SA"/>
    </w:rPr>
  </w:style>
  <w:style w:type="table" w:customStyle="1" w:styleId="151">
    <w:name w:val="网格型10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34"/>
    <w:basedOn w:val="45"/>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24"/>
    <w:basedOn w:val="45"/>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18274</Words>
  <Characters>18700</Characters>
  <Lines>170</Lines>
  <Paragraphs>48</Paragraphs>
  <TotalTime>11592</TotalTime>
  <ScaleCrop>false</ScaleCrop>
  <LinksUpToDate>false</LinksUpToDate>
  <CharactersWithSpaces>19635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2018-06-26T19:13:00Z</dcterms:created>
  <dc:creator>   </dc:creator>
  <cp:lastModifiedBy>zhengtl</cp:lastModifiedBy>
  <cp:lastPrinted>2022-05-27T15:17:00Z</cp:lastPrinted>
  <dcterms:modified xsi:type="dcterms:W3CDTF">2022-06-27T17:33:30Z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