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84" w:rightChars="40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北证公告〔2022〕16号附件</w:t>
      </w:r>
    </w:p>
    <w:p>
      <w:pPr>
        <w:spacing w:line="600" w:lineRule="exact"/>
        <w:ind w:right="84" w:rightChars="4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大标宋简体" w:cs="Times New Roman"/>
          <w:color w:val="000000"/>
          <w:sz w:val="44"/>
          <w:szCs w:val="42"/>
        </w:rPr>
      </w:pPr>
      <w:r>
        <w:rPr>
          <w:rFonts w:ascii="Times New Roman" w:hAnsi="Times New Roman" w:eastAsia="方正大标宋简体" w:cs="Times New Roman"/>
          <w:color w:val="000000"/>
          <w:sz w:val="44"/>
          <w:szCs w:val="42"/>
        </w:rPr>
        <w:t>2022</w:t>
      </w:r>
      <w:r>
        <w:rPr>
          <w:rFonts w:hint="eastAsia" w:ascii="Times New Roman" w:hAnsi="Times New Roman" w:eastAsia="方正大标宋简体" w:cs="Times New Roman"/>
          <w:color w:val="000000"/>
          <w:sz w:val="44"/>
          <w:szCs w:val="42"/>
        </w:rPr>
        <w:t>年第一季度证券公司</w:t>
      </w:r>
      <w:r>
        <w:rPr>
          <w:rFonts w:ascii="Times New Roman" w:hAnsi="Times New Roman" w:eastAsia="方正大标宋简体" w:cs="Times New Roman"/>
          <w:color w:val="000000"/>
          <w:sz w:val="44"/>
          <w:szCs w:val="42"/>
        </w:rPr>
        <w:t>执业质量评价结果</w:t>
      </w:r>
    </w:p>
    <w:p>
      <w:pPr>
        <w:spacing w:line="600" w:lineRule="exact"/>
        <w:jc w:val="center"/>
        <w:rPr>
          <w:rFonts w:ascii="Times New Roman" w:hAnsi="Times New Roman" w:eastAsia="方正大标宋简体" w:cs="Times New Roman"/>
          <w:color w:val="000000"/>
          <w:sz w:val="44"/>
          <w:szCs w:val="42"/>
        </w:rPr>
      </w:pPr>
    </w:p>
    <w:tbl>
      <w:tblPr>
        <w:tblStyle w:val="5"/>
        <w:tblW w:w="5088" w:type="pct"/>
        <w:jc w:val="center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494"/>
        <w:gridCol w:w="1225"/>
        <w:gridCol w:w="576"/>
        <w:gridCol w:w="700"/>
        <w:gridCol w:w="662"/>
        <w:gridCol w:w="769"/>
        <w:gridCol w:w="662"/>
        <w:gridCol w:w="662"/>
        <w:gridCol w:w="810"/>
        <w:gridCol w:w="744"/>
        <w:gridCol w:w="662"/>
        <w:gridCol w:w="779"/>
        <w:gridCol w:w="662"/>
        <w:gridCol w:w="665"/>
        <w:gridCol w:w="662"/>
        <w:gridCol w:w="735"/>
        <w:gridCol w:w="713"/>
        <w:gridCol w:w="716"/>
        <w:gridCol w:w="713"/>
        <w:gridCol w:w="716"/>
        <w:gridCol w:w="725"/>
        <w:gridCol w:w="710"/>
      </w:tblGrid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70" w:hRule="atLeast"/>
          <w:tblHeader/>
          <w:jc w:val="center"/>
        </w:trPr>
        <w:tc>
          <w:tcPr>
            <w:tcW w:w="1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券商简称</w:t>
            </w:r>
          </w:p>
        </w:tc>
        <w:tc>
          <w:tcPr>
            <w:tcW w:w="1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基础分值</w:t>
            </w:r>
          </w:p>
        </w:tc>
        <w:tc>
          <w:tcPr>
            <w:tcW w:w="204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专业质量得分</w:t>
            </w:r>
          </w:p>
        </w:tc>
        <w:tc>
          <w:tcPr>
            <w:tcW w:w="20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合规质量扣分</w:t>
            </w:r>
          </w:p>
        </w:tc>
        <w:tc>
          <w:tcPr>
            <w:tcW w:w="2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合计分值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795" w:hRule="atLeast"/>
          <w:tblHeader/>
          <w:jc w:val="center"/>
        </w:trPr>
        <w:tc>
          <w:tcPr>
            <w:tcW w:w="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北交所业务</w:t>
            </w:r>
          </w:p>
        </w:tc>
        <w:tc>
          <w:tcPr>
            <w:tcW w:w="9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全国股转系统业务</w:t>
            </w:r>
          </w:p>
        </w:tc>
        <w:tc>
          <w:tcPr>
            <w:tcW w:w="4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北交所、全国股转系统经纪及综合业务</w:t>
            </w:r>
          </w:p>
        </w:tc>
        <w:tc>
          <w:tcPr>
            <w:tcW w:w="24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专业质量得分合计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北交所业务</w:t>
            </w:r>
          </w:p>
        </w:tc>
        <w:tc>
          <w:tcPr>
            <w:tcW w:w="8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全国股转系统业务</w:t>
            </w:r>
          </w:p>
        </w:tc>
        <w:tc>
          <w:tcPr>
            <w:tcW w:w="4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北交所、全国股转系统经纪及综合业务</w:t>
            </w:r>
          </w:p>
        </w:tc>
        <w:tc>
          <w:tcPr>
            <w:tcW w:w="23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合规质量扣分合计</w:t>
            </w:r>
          </w:p>
        </w:tc>
        <w:tc>
          <w:tcPr>
            <w:tcW w:w="2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55" w:hRule="atLeast"/>
          <w:tblHeader/>
          <w:jc w:val="center"/>
        </w:trPr>
        <w:tc>
          <w:tcPr>
            <w:tcW w:w="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保荐业务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发行并购业务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推荐挂牌业务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发行并购业务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持续督导业务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做市</w:t>
            </w:r>
          </w:p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业务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经纪</w:t>
            </w:r>
          </w:p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业务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综合业务</w:t>
            </w:r>
          </w:p>
        </w:tc>
        <w:tc>
          <w:tcPr>
            <w:tcW w:w="2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保荐业务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发行并购业务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推荐挂牌业务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发行并购业务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持续督导业务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做市业务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经纪业务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  <w:t>综合业务</w:t>
            </w:r>
          </w:p>
        </w:tc>
        <w:tc>
          <w:tcPr>
            <w:tcW w:w="2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安信证券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1.88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3.63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6.69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10.05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3.15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53.40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2.50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2.50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150.90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东吴证券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12.00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5.43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13.33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3.81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7.14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3.01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1.90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0.36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46.98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144.98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申万宏源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3.76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6.67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3.36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9.56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7.58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4.84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2.86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47.62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141.62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中泰证券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15.56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9.80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3.48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3.34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39.48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139.48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东北证券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2.05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6.38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8.86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1.35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38.87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138.87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开源证券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17.78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3.92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9.87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9.63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41.51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129.91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兴业证券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11.11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1.71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6.25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2.57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1.88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6.58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30.10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126.10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浙商证券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8.89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3.38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5.80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3.55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1.54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2.85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26.01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126.01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国元证券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13.33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2.46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5.53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2.91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0.98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1.26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26.48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124.88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华创证券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15.56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0.59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5.30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0.94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22.72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121.92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天风证券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5.92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5.29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0.52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21.39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121.39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长江证券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6.67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3.13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6.84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4.89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2.65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24.57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3.20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3.20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121.37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西南证券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2.16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4.44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1.86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6.15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2.60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0.33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21.27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121.27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国联证券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8.89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0.90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5.73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1.65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0.78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2.50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20.44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120.44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国泰君安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5.55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4.67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4.62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3.48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19.34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119.34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平安证券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3.46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5.28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2.23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7.38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18.35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118.35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广发证券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5.10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6.37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6.39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0.49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18.35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116.75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华泰证券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5.17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2.53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8.46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16.16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116.16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山西证券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11.11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5.67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2.15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0.54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20.59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4.80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115.79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银河证券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1.06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5.07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3.71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5.63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15.48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115.48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东方财富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5.08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15.08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115.08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南京证券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6.67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0.57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5.35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2.33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0.71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16.23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114.63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华金证券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8.89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4.90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14.63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114.63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财通证券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2.30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6.17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4.32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1.44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14.22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114.22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国信证券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0.26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5.57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3.25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4.62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13.71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113.71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中信证券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4.92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6.47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0.92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15.31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113.71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九州证券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0.26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5.14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7.97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13.71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113.71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东莞证券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1.96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5.94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2.01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1.70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1.34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12.95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112.95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招商证券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5.16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0.36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7.69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0.34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13.57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112.77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民生证券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4.44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5.38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2.94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0.54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14.16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112.56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海通证券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5.62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4.93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5.13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0.40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16.50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112.50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国金证券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5.49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2.58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2.12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11.86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111.86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方正证券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5.73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2.22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2.90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11.78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111.78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上海证券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4.97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5.88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11.70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111.70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中信建投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2.10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5.77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2.83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4.14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0.52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15.36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111.36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渤海证券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3.84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5.16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2.45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14.86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110.86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光大证券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1.29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5.98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3.04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10.46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110.46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万和证券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5.03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4.03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0.19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10.25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110.25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联储证券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5.06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5.01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10.23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110.23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40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太平洋证券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5.57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2.44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0.28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9.95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109.95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首创证券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0.55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5.76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4.75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11.47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109.87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粤开证券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5.14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3.33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0.65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9.53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109.53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财达证券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5.45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3.29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0.75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9.49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109.49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东方证券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5.05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2.33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1.99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9.37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109.37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华福证券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5.25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2.20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1.37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0.81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10.62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109.02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金元证券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5.30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2.54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8.63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108.63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国盛证券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4.91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2.23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0.76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8.57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108.57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西部证券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6.02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2.56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10.09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108.49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长城证券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5.19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1.58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1.32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0.40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8.49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108.49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财信证券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5.11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3.52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9.55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107.95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大通证券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4.94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2.63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0.20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7.78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107.78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德邦证券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4.99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1.51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0.14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1.07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7.71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107.71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中原证券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5.30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1.36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0.84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7.49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107.49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第一创业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5.17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1.75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7.47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107.47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国海证券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0.59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5.32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2.50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9.04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107.44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中金财富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5.01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2.41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7.43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107.43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中天国富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5.17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7.19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107.19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红塔证券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5.06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3.14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8.72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107.12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信达证券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5.08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0.87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6.95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106.95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华林证券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4.52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0.48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6.62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106.62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中航证券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6.50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106.50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东海证券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5.22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2.48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0.59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8.45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106.45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中信华南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5.02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0.40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6.39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106.39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爱建证券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4.58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1.43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0.22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6.38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106.38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英大证券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5.07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0.23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6.29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106.29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川财证券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5.08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6.20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106.20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华西证券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1.43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5.35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1.10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1.51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9.40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3.20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3.20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106.20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中银证券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5.21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6.07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106.07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国融证券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2.87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7.08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10.06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106.06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湘财证券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5.29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1.52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0.70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7.50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105.90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华鑫证券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4.78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5.89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105.89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银泰证券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5.01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0.10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5.85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105.85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世纪证券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0.52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5.07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5.84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105.84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万联证券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5.29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5.80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105.80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2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新时代证券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5.33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5.62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105.62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华融证券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5.22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5.53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105.53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申港证券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0.26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5.09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5.43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105.43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东亚前海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0.91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4.48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5.39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105.39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华安证券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5.39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0.88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0.71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9.37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105.37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甬兴证券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5.02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5.31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105.31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五矿证券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5.21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5.30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105.30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宏信证券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5.01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0.19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5.20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105.20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长城国瑞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5.06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5.17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105.17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中邮证券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5.04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0.10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5.14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105.14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东兴证券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0.70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5.56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1.03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7.53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2.40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2.40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105.13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网信证券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5.04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105.06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国开证券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5.04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105.04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星展证券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5.01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105.01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国都证券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5.04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1.88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7.22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2.40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2.40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104.82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大同证券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5.26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5.51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0.80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104.71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江海证券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5.36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2.60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0.40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8.66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104.66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金圆统一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5.02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5.02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103.42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中山证券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4.51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5.31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0.27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10.09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103.09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华兴证券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2.50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2.50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102.50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恒泰证券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1.10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5.93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1.70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0.78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9.51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101.91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中天证券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0.14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1.07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101.07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中金公司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4.63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1.52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6.23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5.60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5.60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100.63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华宝证券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100.39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瑞银证券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100.01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大和证券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100.00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5" w:hRule="atLeast"/>
          <w:jc w:val="center"/>
        </w:trPr>
        <w:tc>
          <w:tcPr>
            <w:tcW w:w="1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华龙证券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1.24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5.32</w:t>
            </w:r>
          </w:p>
        </w:tc>
        <w:tc>
          <w:tcPr>
            <w:tcW w:w="2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1.12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0.28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7.97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8.00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8.00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Cs w:val="21"/>
              </w:rPr>
              <w:t>99.97</w:t>
            </w:r>
          </w:p>
        </w:tc>
      </w:tr>
    </w:tbl>
    <w:p>
      <w:pPr>
        <w:ind w:firstLine="420" w:firstLineChars="200"/>
        <w:rPr>
          <w:rFonts w:ascii="Times New Roman" w:hAnsi="Times New Roman" w:eastAsia="仿宋"/>
          <w:szCs w:val="21"/>
        </w:rPr>
      </w:pPr>
      <w:r>
        <w:rPr>
          <w:rFonts w:hint="eastAsia" w:ascii="Times New Roman" w:hAnsi="Times New Roman" w:eastAsia="仿宋"/>
          <w:szCs w:val="21"/>
        </w:rPr>
        <w:t xml:space="preserve">    </w:t>
      </w:r>
      <w:r>
        <w:rPr>
          <w:rFonts w:hint="eastAsia" w:ascii="Times New Roman" w:hAnsi="Times New Roman" w:eastAsia="方正仿宋简体" w:cs="Times New Roman"/>
          <w:sz w:val="28"/>
        </w:rPr>
        <w:t>注：</w:t>
      </w:r>
      <w:r>
        <w:rPr>
          <w:rFonts w:ascii="Times New Roman" w:hAnsi="Times New Roman" w:eastAsia="方正仿宋简体" w:cs="Times New Roman"/>
          <w:sz w:val="28"/>
        </w:rPr>
        <w:t>112</w:t>
      </w:r>
      <w:r>
        <w:rPr>
          <w:rFonts w:hint="eastAsia" w:ascii="Times New Roman" w:hAnsi="Times New Roman" w:eastAsia="方正仿宋简体" w:cs="Times New Roman"/>
          <w:sz w:val="28"/>
        </w:rPr>
        <w:t>家证券公司中，</w:t>
      </w:r>
      <w:r>
        <w:rPr>
          <w:rFonts w:ascii="Times New Roman" w:hAnsi="Times New Roman" w:eastAsia="方正仿宋简体" w:cs="Times New Roman"/>
          <w:sz w:val="28"/>
        </w:rPr>
        <w:t>11</w:t>
      </w:r>
      <w:r>
        <w:rPr>
          <w:rFonts w:hint="eastAsia" w:ascii="Times New Roman" w:hAnsi="Times New Roman" w:eastAsia="方正仿宋简体" w:cs="Times New Roman"/>
          <w:sz w:val="28"/>
        </w:rPr>
        <w:t>家证券公司子公司纳入其母公司合并评价。其中，中信证券（山东）与母公司中信证券、东方证券承销保荐与母公司东方证券、方正证券承销保荐与母公司方正证券、华英证券与母公司国联证券、申万宏源承销保荐和申万宏源西部证券与母公司申万宏源证券、华泰联合证券与母公司华泰证券、第一创业承销保荐与第一创业证券、恒泰长财证券与恒泰证券、长江证券承销保荐</w:t>
      </w:r>
      <w:r>
        <w:rPr>
          <w:rFonts w:ascii="Times New Roman" w:hAnsi="Times New Roman" w:eastAsia="方正仿宋简体" w:cs="Times New Roman"/>
          <w:sz w:val="28"/>
        </w:rPr>
        <w:t>与母公司长江证券</w:t>
      </w:r>
      <w:r>
        <w:rPr>
          <w:rFonts w:hint="eastAsia" w:ascii="Times New Roman" w:hAnsi="Times New Roman" w:eastAsia="方正仿宋简体" w:cs="Times New Roman"/>
          <w:sz w:val="28"/>
        </w:rPr>
        <w:t>、</w:t>
      </w:r>
      <w:r>
        <w:rPr>
          <w:rFonts w:ascii="Times New Roman" w:hAnsi="Times New Roman" w:eastAsia="方正仿宋简体" w:cs="Times New Roman"/>
          <w:sz w:val="28"/>
        </w:rPr>
        <w:t>中德证券与母公司山西证券</w:t>
      </w:r>
      <w:r>
        <w:rPr>
          <w:rFonts w:hint="eastAsia" w:ascii="Times New Roman" w:hAnsi="Times New Roman" w:eastAsia="方正仿宋简体" w:cs="Times New Roman"/>
          <w:sz w:val="28"/>
        </w:rPr>
        <w:t>合并评价。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895072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80"/>
    <w:rsid w:val="0001002A"/>
    <w:rsid w:val="00020EE4"/>
    <w:rsid w:val="000429E9"/>
    <w:rsid w:val="0005072F"/>
    <w:rsid w:val="000523C4"/>
    <w:rsid w:val="00065C73"/>
    <w:rsid w:val="00072C90"/>
    <w:rsid w:val="000847D2"/>
    <w:rsid w:val="000C43C9"/>
    <w:rsid w:val="000D13A7"/>
    <w:rsid w:val="000E760D"/>
    <w:rsid w:val="000F37FB"/>
    <w:rsid w:val="00141CB5"/>
    <w:rsid w:val="00144E5A"/>
    <w:rsid w:val="00155BE0"/>
    <w:rsid w:val="00186B69"/>
    <w:rsid w:val="001A45E8"/>
    <w:rsid w:val="001E774F"/>
    <w:rsid w:val="001F3C03"/>
    <w:rsid w:val="00221B9B"/>
    <w:rsid w:val="002673E5"/>
    <w:rsid w:val="002946AF"/>
    <w:rsid w:val="00296655"/>
    <w:rsid w:val="002A6A45"/>
    <w:rsid w:val="002A7EF6"/>
    <w:rsid w:val="002B62FF"/>
    <w:rsid w:val="002B6A41"/>
    <w:rsid w:val="002C12E4"/>
    <w:rsid w:val="002C4CD0"/>
    <w:rsid w:val="002F4497"/>
    <w:rsid w:val="00363A01"/>
    <w:rsid w:val="00373124"/>
    <w:rsid w:val="003947EF"/>
    <w:rsid w:val="003F274F"/>
    <w:rsid w:val="003F38FF"/>
    <w:rsid w:val="003F49A7"/>
    <w:rsid w:val="00402BB5"/>
    <w:rsid w:val="00423053"/>
    <w:rsid w:val="00423C8B"/>
    <w:rsid w:val="00452897"/>
    <w:rsid w:val="004604E1"/>
    <w:rsid w:val="00487969"/>
    <w:rsid w:val="004B7C53"/>
    <w:rsid w:val="004C56F1"/>
    <w:rsid w:val="004C5BAF"/>
    <w:rsid w:val="004D3B55"/>
    <w:rsid w:val="004E0DB1"/>
    <w:rsid w:val="004E27AC"/>
    <w:rsid w:val="004E567A"/>
    <w:rsid w:val="004E7DDA"/>
    <w:rsid w:val="00533727"/>
    <w:rsid w:val="00543792"/>
    <w:rsid w:val="0055489A"/>
    <w:rsid w:val="005B1215"/>
    <w:rsid w:val="005C179F"/>
    <w:rsid w:val="006013F2"/>
    <w:rsid w:val="00616A9F"/>
    <w:rsid w:val="00636212"/>
    <w:rsid w:val="00653F1C"/>
    <w:rsid w:val="00663771"/>
    <w:rsid w:val="00664680"/>
    <w:rsid w:val="00664A24"/>
    <w:rsid w:val="00677FAE"/>
    <w:rsid w:val="006A3CC0"/>
    <w:rsid w:val="006B7627"/>
    <w:rsid w:val="006D4843"/>
    <w:rsid w:val="006E78A6"/>
    <w:rsid w:val="006F0707"/>
    <w:rsid w:val="00706FB9"/>
    <w:rsid w:val="007153AE"/>
    <w:rsid w:val="007160EC"/>
    <w:rsid w:val="00720297"/>
    <w:rsid w:val="007225B5"/>
    <w:rsid w:val="007578BD"/>
    <w:rsid w:val="0076028C"/>
    <w:rsid w:val="00772878"/>
    <w:rsid w:val="0079703A"/>
    <w:rsid w:val="007A57CE"/>
    <w:rsid w:val="007E6601"/>
    <w:rsid w:val="007F0A5B"/>
    <w:rsid w:val="00800AB7"/>
    <w:rsid w:val="008364CD"/>
    <w:rsid w:val="008475C0"/>
    <w:rsid w:val="008B058C"/>
    <w:rsid w:val="008C1FD7"/>
    <w:rsid w:val="008D4C26"/>
    <w:rsid w:val="008E0E4B"/>
    <w:rsid w:val="008E360C"/>
    <w:rsid w:val="008E49D6"/>
    <w:rsid w:val="0092771B"/>
    <w:rsid w:val="009612CD"/>
    <w:rsid w:val="00977E93"/>
    <w:rsid w:val="009E32FF"/>
    <w:rsid w:val="00A246CA"/>
    <w:rsid w:val="00A325DC"/>
    <w:rsid w:val="00A4234A"/>
    <w:rsid w:val="00A52B70"/>
    <w:rsid w:val="00AA3C1E"/>
    <w:rsid w:val="00AD632C"/>
    <w:rsid w:val="00B17FF4"/>
    <w:rsid w:val="00B258F5"/>
    <w:rsid w:val="00BB6529"/>
    <w:rsid w:val="00BD1207"/>
    <w:rsid w:val="00BD251F"/>
    <w:rsid w:val="00BF108C"/>
    <w:rsid w:val="00BF15AE"/>
    <w:rsid w:val="00BF6A44"/>
    <w:rsid w:val="00C20FF2"/>
    <w:rsid w:val="00C25D0E"/>
    <w:rsid w:val="00C27D1B"/>
    <w:rsid w:val="00C45D75"/>
    <w:rsid w:val="00C70A37"/>
    <w:rsid w:val="00C92627"/>
    <w:rsid w:val="00CA1AD9"/>
    <w:rsid w:val="00CA264C"/>
    <w:rsid w:val="00CB52DC"/>
    <w:rsid w:val="00CC2D4B"/>
    <w:rsid w:val="00D16A7B"/>
    <w:rsid w:val="00D31388"/>
    <w:rsid w:val="00D367F8"/>
    <w:rsid w:val="00D436C8"/>
    <w:rsid w:val="00D47EDD"/>
    <w:rsid w:val="00D70D40"/>
    <w:rsid w:val="00DC6C8C"/>
    <w:rsid w:val="00DF3263"/>
    <w:rsid w:val="00E176B5"/>
    <w:rsid w:val="00E70B53"/>
    <w:rsid w:val="00E74DC7"/>
    <w:rsid w:val="00E83222"/>
    <w:rsid w:val="00E9690D"/>
    <w:rsid w:val="00EB5CE4"/>
    <w:rsid w:val="00EE22BE"/>
    <w:rsid w:val="00EF263C"/>
    <w:rsid w:val="00F14550"/>
    <w:rsid w:val="00F15F5E"/>
    <w:rsid w:val="00F37704"/>
    <w:rsid w:val="00F565F9"/>
    <w:rsid w:val="00F603D3"/>
    <w:rsid w:val="00F667F2"/>
    <w:rsid w:val="00F90336"/>
    <w:rsid w:val="00FA463A"/>
    <w:rsid w:val="00FD0A23"/>
    <w:rsid w:val="00FE31AA"/>
    <w:rsid w:val="5DA1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 w:val="22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b/>
      <w:bCs/>
      <w:color w:val="000000"/>
      <w:kern w:val="0"/>
      <w:sz w:val="22"/>
    </w:rPr>
  </w:style>
  <w:style w:type="paragraph" w:customStyle="1" w:styleId="1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1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0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2940</Words>
  <Characters>9261</Characters>
  <Lines>82</Lines>
  <Paragraphs>23</Paragraphs>
  <TotalTime>71</TotalTime>
  <ScaleCrop>false</ScaleCrop>
  <LinksUpToDate>false</LinksUpToDate>
  <CharactersWithSpaces>9265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2021-04-16T10:45:00Z</dcterms:created>
  <dc:creator>chensl</dc:creator>
  <cp:lastModifiedBy>chensl</cp:lastModifiedBy>
  <cp:lastPrinted>2020-04-17T16:40:00Z</cp:lastPrinted>
  <dcterms:modified xsi:type="dcterms:W3CDTF">2022-04-22T14:56:50Z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