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" w:rightChars="40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color w:val="000000"/>
          <w:sz w:val="44"/>
          <w:szCs w:val="42"/>
        </w:rPr>
      </w:pPr>
      <w:r>
        <w:rPr>
          <w:rFonts w:ascii="Times New Roman" w:hAnsi="Times New Roman" w:eastAsia="方正大标宋简体" w:cs="Times New Roman"/>
          <w:color w:val="000000"/>
          <w:sz w:val="44"/>
          <w:szCs w:val="42"/>
        </w:rPr>
        <w:t>2021</w:t>
      </w:r>
      <w:r>
        <w:rPr>
          <w:rFonts w:hint="eastAsia" w:ascii="Times New Roman" w:hAnsi="Times New Roman" w:eastAsia="方正大标宋简体" w:cs="Times New Roman"/>
          <w:color w:val="000000"/>
          <w:sz w:val="44"/>
          <w:szCs w:val="42"/>
        </w:rPr>
        <w:t>年</w:t>
      </w:r>
      <w:r>
        <w:rPr>
          <w:rFonts w:ascii="Times New Roman" w:hAnsi="Times New Roman" w:eastAsia="方正大标宋简体" w:cs="Times New Roman"/>
          <w:color w:val="000000"/>
          <w:sz w:val="44"/>
          <w:szCs w:val="42"/>
        </w:rPr>
        <w:t>度</w:t>
      </w:r>
      <w:r>
        <w:rPr>
          <w:rFonts w:hint="eastAsia" w:ascii="Times New Roman" w:hAnsi="Times New Roman" w:eastAsia="方正大标宋简体" w:cs="Times New Roman"/>
          <w:color w:val="000000"/>
          <w:sz w:val="44"/>
          <w:szCs w:val="42"/>
        </w:rPr>
        <w:t>证券公司</w:t>
      </w:r>
      <w:r>
        <w:rPr>
          <w:rFonts w:ascii="Times New Roman" w:hAnsi="Times New Roman" w:eastAsia="方正大标宋简体" w:cs="Times New Roman"/>
          <w:color w:val="000000"/>
          <w:sz w:val="44"/>
          <w:szCs w:val="42"/>
        </w:rPr>
        <w:t>执业质量评价结果</w:t>
      </w:r>
    </w:p>
    <w:p>
      <w:pPr>
        <w:spacing w:line="600" w:lineRule="exact"/>
        <w:jc w:val="center"/>
        <w:rPr>
          <w:rFonts w:ascii="楷体" w:hAnsi="楷体" w:eastAsia="楷体" w:cs="Times New Roman"/>
          <w:color w:val="000000"/>
          <w:sz w:val="30"/>
          <w:szCs w:val="30"/>
        </w:rPr>
      </w:pPr>
      <w:r>
        <w:rPr>
          <w:rFonts w:hint="eastAsia" w:ascii="楷体" w:hAnsi="楷体" w:eastAsia="楷体" w:cs="Times New Roman"/>
          <w:color w:val="000000"/>
          <w:sz w:val="30"/>
          <w:szCs w:val="30"/>
        </w:rPr>
        <w:t>（</w:t>
      </w:r>
      <w:r>
        <w:rPr>
          <w:rFonts w:ascii="楷体" w:hAnsi="楷体" w:eastAsia="楷体" w:cs="Times New Roman"/>
          <w:color w:val="000000"/>
          <w:sz w:val="30"/>
          <w:szCs w:val="30"/>
        </w:rPr>
        <w:t>按</w:t>
      </w:r>
      <w:r>
        <w:rPr>
          <w:rFonts w:hint="eastAsia" w:ascii="楷体" w:hAnsi="楷体" w:eastAsia="楷体" w:cs="Times New Roman"/>
          <w:color w:val="000000"/>
          <w:sz w:val="30"/>
          <w:szCs w:val="30"/>
        </w:rPr>
        <w:t>证券公司</w:t>
      </w:r>
      <w:r>
        <w:rPr>
          <w:rFonts w:ascii="楷体" w:hAnsi="楷体" w:eastAsia="楷体" w:cs="Times New Roman"/>
          <w:color w:val="000000"/>
          <w:sz w:val="30"/>
          <w:szCs w:val="30"/>
        </w:rPr>
        <w:t>首字</w:t>
      </w:r>
      <w:r>
        <w:rPr>
          <w:rFonts w:hint="eastAsia" w:ascii="楷体" w:hAnsi="楷体" w:eastAsia="楷体" w:cs="Times New Roman"/>
          <w:color w:val="000000"/>
          <w:sz w:val="30"/>
          <w:szCs w:val="30"/>
        </w:rPr>
        <w:t>母</w:t>
      </w:r>
      <w:r>
        <w:rPr>
          <w:rFonts w:ascii="楷体" w:hAnsi="楷体" w:eastAsia="楷体" w:cs="Times New Roman"/>
          <w:color w:val="000000"/>
          <w:sz w:val="30"/>
          <w:szCs w:val="30"/>
        </w:rPr>
        <w:t>拼音排序）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color w:val="000000"/>
          <w:sz w:val="44"/>
          <w:szCs w:val="42"/>
        </w:rPr>
      </w:pPr>
    </w:p>
    <w:tbl>
      <w:tblPr>
        <w:tblStyle w:val="6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31"/>
        <w:gridCol w:w="811"/>
        <w:gridCol w:w="885"/>
        <w:gridCol w:w="888"/>
        <w:gridCol w:w="888"/>
        <w:gridCol w:w="816"/>
        <w:gridCol w:w="722"/>
        <w:gridCol w:w="719"/>
        <w:gridCol w:w="859"/>
        <w:gridCol w:w="719"/>
        <w:gridCol w:w="863"/>
        <w:gridCol w:w="859"/>
        <w:gridCol w:w="719"/>
        <w:gridCol w:w="719"/>
        <w:gridCol w:w="719"/>
        <w:gridCol w:w="736"/>
        <w:gridCol w:w="863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45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序号</w:t>
            </w:r>
          </w:p>
        </w:tc>
        <w:tc>
          <w:tcPr>
            <w:tcW w:w="427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券商简称</w:t>
            </w:r>
          </w:p>
        </w:tc>
        <w:tc>
          <w:tcPr>
            <w:tcW w:w="260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基础分值</w:t>
            </w:r>
          </w:p>
        </w:tc>
        <w:tc>
          <w:tcPr>
            <w:tcW w:w="1855" w:type="pct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专业质量得分</w:t>
            </w:r>
          </w:p>
        </w:tc>
        <w:tc>
          <w:tcPr>
            <w:tcW w:w="1713" w:type="pct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合规质量扣分</w:t>
            </w:r>
          </w:p>
        </w:tc>
        <w:tc>
          <w:tcPr>
            <w:tcW w:w="277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合计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分值</w:t>
            </w:r>
          </w:p>
        </w:tc>
        <w:tc>
          <w:tcPr>
            <w:tcW w:w="223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分档结果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推荐挂牌业务</w:t>
            </w:r>
          </w:p>
        </w:tc>
        <w:tc>
          <w:tcPr>
            <w:tcW w:w="2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发行并购业务</w:t>
            </w:r>
          </w:p>
        </w:tc>
        <w:tc>
          <w:tcPr>
            <w:tcW w:w="2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持续督导业务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做市业务</w:t>
            </w:r>
          </w:p>
        </w:tc>
        <w:tc>
          <w:tcPr>
            <w:tcW w:w="232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经纪业务</w:t>
            </w:r>
          </w:p>
        </w:tc>
        <w:tc>
          <w:tcPr>
            <w:tcW w:w="23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综合业务</w:t>
            </w:r>
          </w:p>
        </w:tc>
        <w:tc>
          <w:tcPr>
            <w:tcW w:w="2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专业质量得分合计</w:t>
            </w:r>
          </w:p>
        </w:tc>
        <w:tc>
          <w:tcPr>
            <w:tcW w:w="23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推荐挂牌业务</w:t>
            </w:r>
          </w:p>
        </w:tc>
        <w:tc>
          <w:tcPr>
            <w:tcW w:w="27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发行并购业务</w:t>
            </w:r>
          </w:p>
        </w:tc>
        <w:tc>
          <w:tcPr>
            <w:tcW w:w="2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持续督导业务</w:t>
            </w:r>
          </w:p>
        </w:tc>
        <w:tc>
          <w:tcPr>
            <w:tcW w:w="23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做市业务</w:t>
            </w:r>
          </w:p>
        </w:tc>
        <w:tc>
          <w:tcPr>
            <w:tcW w:w="23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经纪业务</w:t>
            </w:r>
          </w:p>
        </w:tc>
        <w:tc>
          <w:tcPr>
            <w:tcW w:w="23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综合业务</w:t>
            </w:r>
          </w:p>
        </w:tc>
        <w:tc>
          <w:tcPr>
            <w:tcW w:w="23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合规质量扣分合计</w:t>
            </w:r>
          </w:p>
        </w:tc>
        <w:tc>
          <w:tcPr>
            <w:tcW w:w="2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爱建证券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9.12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1.60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13.59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111.59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安信证券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7.69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13.84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12.43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52.85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141.52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渤海证券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15.13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111.79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财达证券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1.29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10.59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20.93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6.62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114.30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财通证券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5.90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11.83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5.90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1.74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2.28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27.65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127.21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财信证券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3.61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22.67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120.22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川财证券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8.72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2.26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11.07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110.63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大和证券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102.00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大通证券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8.59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3.24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14.08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114.08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大同证券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9.48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13.19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111.19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德邦证券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9.77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2.55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4.75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17.79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115.37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第一创业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3.51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18.26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110.93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东北证券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12.36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9.60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1.74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33.68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5.11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128.57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东方财富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9.23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6.18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116.78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东方证券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9.09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4.50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114.15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东莞证券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3.74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11.67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4.11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4.62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26.34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121.90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东海证券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9.35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15.03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114.36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东吴证券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6.98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14.32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3.71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32.98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126.98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东兴证券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10.91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17.71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117.26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东亚前海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5.95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7.95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1.11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106.83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方正证券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10.80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3.69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21.65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121.21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光大证券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11.79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3.25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24.51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121.84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广发证券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10.19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9.48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8.72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32.95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132.08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国都证券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15.26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114.82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国海证券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1.89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3.94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18.81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4.22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114.59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国金证券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1.28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10.77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3.47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11.29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108.93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国开证券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8.81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110.89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国联证券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3.22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10.96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21.80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121.40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国融证券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6.15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6.16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13.75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28.97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122.53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国盛证券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9.29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15.53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115.31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国泰君安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10.89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7.08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7.07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5.74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32.55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128.10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11.03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5.73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24.51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1.11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123.40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国元证券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11.27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3.72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2.52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24.71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1.56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123.16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海通证券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11.25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6.57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7.28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34.28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115.95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恒泰证券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11.34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2.71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21.71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119.71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红塔证券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3.12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17.29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114.89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宏信证券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112.60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华安证券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10.17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1.28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20.71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119.84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华宝证券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102.32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华创证券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2.20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18.24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115.58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华福证券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3.15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3.96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19.60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115.60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华金证券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9.71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13.88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5.17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108.71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华林证券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8.29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13.98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111.98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华龙证券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9.87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1.68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15.70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113.26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华融证券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16.10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4.22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111.88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华泰证券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4.10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7.71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23.73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123.73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华西证券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1.73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17.01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117.01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华鑫证券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9.37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0.92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13.97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108.97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华兴证券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102.00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江海证券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10.46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3.57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17.42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116.09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金元证券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10.42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3.56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18.04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113.60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金圆统一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5.93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8.19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108.19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九州证券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1.96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9.44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12.54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2.24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27.81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127.61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开源证券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12.93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18.63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12.22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4.84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68.92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16.07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152.85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联储证券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9.33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6.11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117.38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民生证券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1.91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10.21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4.12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2.11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21.15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119.08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南京证券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3.29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17.41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1.56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115.86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平安证券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10.30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5.57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24.29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124.29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瑞银证券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100.00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山西证券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4.84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10.87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2.95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25.40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120.74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上海证券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8.74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23.53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116.20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申港证券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9.89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111.80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申万宏源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12.98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19.36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11.52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6.25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59.60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11.11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148.49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世纪证券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12.57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112.57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首创证券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11.67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7.33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2.05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24.21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1.29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122.92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太平洋证券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10.47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18.77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118.33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天风证券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5.76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11.68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8.91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31.13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4.58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126.55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万和证券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2.85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15.29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1.89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113.40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万联证券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10.29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13.59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113.59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网信证券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8.73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10.76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108.76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五矿证券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9.78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16.02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116.02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西部证券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3.73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11.43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24.42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122.42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西南证券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1.54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11.54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3.58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2.45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23.12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122.26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湘财证券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10.11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115.89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新时代证券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10.50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113.11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信达证券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7.76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11.45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111.45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星展证券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5.96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7.96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107.96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兴业证券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12.17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5.86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27.51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2.20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125.31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银河证券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10.18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6.53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6.42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2.05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29.72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1.78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7.24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122.47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银泰证券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5.75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2.83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12.74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112.74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英大证券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1.47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13.34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113.34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甬兴证券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6.02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109.55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粤开证券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9.75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5.10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20.16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1.93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118.23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长城国瑞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8.91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110.78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长城证券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10.11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1.42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3.12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17.04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116.37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长江证券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3.85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13.51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6.66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2.59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33.44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130.11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招商证券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10.24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0.91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6.27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3.41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25.46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123.01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浙商证券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2.70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11.21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4.81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4.56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24.87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1.53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123.34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中航证券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0.77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0.65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1.81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0.61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2.96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16.29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114.29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中金财富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9.94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15.33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4.22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111.11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中金公司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8.28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2.13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13.95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109.51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92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中山证券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9.11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8.06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0.39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4.40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22.23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122.23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93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中泰证券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2.31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4.52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14.13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10.20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3.92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39.17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136.50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94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中天国富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0.97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9.52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12.52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112.52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95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中天证券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1.06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3.31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100.71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96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中信华南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7.23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0.53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3.09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10.85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108.85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97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中信建投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8.46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6.20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12.12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3.70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5.27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3.41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39.15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6.89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132.26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98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中信证券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3.08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4.23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9.75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4.68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8.32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2.94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32.98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1.33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0.89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4.89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128.10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99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中银证券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0.26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9.19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1.16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12.62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112.17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三档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中邮证券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7.72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0.12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9.84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2.67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107.17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四档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101</w:t>
            </w:r>
          </w:p>
        </w:tc>
        <w:tc>
          <w:tcPr>
            <w:tcW w:w="42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中原证券</w:t>
            </w:r>
          </w:p>
        </w:tc>
        <w:tc>
          <w:tcPr>
            <w:tcW w:w="260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100</w:t>
            </w:r>
          </w:p>
        </w:tc>
        <w:tc>
          <w:tcPr>
            <w:tcW w:w="284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0.59</w:t>
            </w:r>
          </w:p>
        </w:tc>
        <w:tc>
          <w:tcPr>
            <w:tcW w:w="285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10.05</w:t>
            </w:r>
          </w:p>
        </w:tc>
        <w:tc>
          <w:tcPr>
            <w:tcW w:w="26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2.39</w:t>
            </w:r>
          </w:p>
        </w:tc>
        <w:tc>
          <w:tcPr>
            <w:tcW w:w="232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0.97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2.00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16.00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7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1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0.00</w:t>
            </w:r>
          </w:p>
        </w:tc>
        <w:tc>
          <w:tcPr>
            <w:tcW w:w="236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0.44</w:t>
            </w:r>
          </w:p>
        </w:tc>
        <w:tc>
          <w:tcPr>
            <w:tcW w:w="277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115.55</w:t>
            </w:r>
          </w:p>
        </w:tc>
        <w:tc>
          <w:tcPr>
            <w:tcW w:w="223" w:type="pct"/>
            <w:noWrap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二档</w:t>
            </w: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 w:ascii="Times New Roman" w:hAnsi="Times New Roman" w:eastAsia="仿宋"/>
          <w:szCs w:val="21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</w:rPr>
        <w:t>注：</w:t>
      </w:r>
      <w:r>
        <w:rPr>
          <w:rFonts w:ascii="Times New Roman" w:hAnsi="Times New Roman" w:eastAsia="方正仿宋简体" w:cs="Times New Roman"/>
          <w:sz w:val="28"/>
        </w:rPr>
        <w:t>112</w:t>
      </w:r>
      <w:r>
        <w:rPr>
          <w:rFonts w:hint="eastAsia" w:ascii="Times New Roman" w:hAnsi="Times New Roman" w:eastAsia="方正仿宋简体" w:cs="Times New Roman"/>
          <w:sz w:val="28"/>
        </w:rPr>
        <w:t>家证券公司中，</w:t>
      </w:r>
      <w:r>
        <w:rPr>
          <w:rFonts w:ascii="Times New Roman" w:hAnsi="Times New Roman" w:eastAsia="方正仿宋简体" w:cs="Times New Roman"/>
          <w:sz w:val="28"/>
        </w:rPr>
        <w:t>11</w:t>
      </w:r>
      <w:r>
        <w:rPr>
          <w:rFonts w:hint="eastAsia" w:ascii="Times New Roman" w:hAnsi="Times New Roman" w:eastAsia="方正仿宋简体" w:cs="Times New Roman"/>
          <w:sz w:val="28"/>
        </w:rPr>
        <w:t>家证券公司子公司纳入其母公司合并评价。其中，中信证券（山东）与母公司中信证券、东方证券承销保荐与母公司东方证券、方正证券承销保荐与母公司方正证券、华英证券与母公司国联证券、申万宏源承销保荐和申万宏源西部证券与母公司申万宏源证券、华泰联合证券与母公司华泰证券、第一创业承销保荐与第一创业证券、恒泰长财证券与恒泰证券、长江证券承销保荐</w:t>
      </w:r>
      <w:r>
        <w:rPr>
          <w:rFonts w:ascii="Times New Roman" w:hAnsi="Times New Roman" w:eastAsia="方正仿宋简体" w:cs="Times New Roman"/>
          <w:sz w:val="28"/>
        </w:rPr>
        <w:t>与母公司长江证券</w:t>
      </w:r>
      <w:r>
        <w:rPr>
          <w:rFonts w:hint="eastAsia" w:ascii="Times New Roman" w:hAnsi="Times New Roman" w:eastAsia="方正仿宋简体" w:cs="Times New Roman"/>
          <w:sz w:val="28"/>
        </w:rPr>
        <w:t>、</w:t>
      </w:r>
      <w:r>
        <w:rPr>
          <w:rFonts w:ascii="Times New Roman" w:hAnsi="Times New Roman" w:eastAsia="方正仿宋简体" w:cs="Times New Roman"/>
          <w:sz w:val="28"/>
        </w:rPr>
        <w:t>中德证券与母公司山西证券</w:t>
      </w:r>
      <w:r>
        <w:rPr>
          <w:rFonts w:hint="eastAsia" w:ascii="Times New Roman" w:hAnsi="Times New Roman" w:eastAsia="方正仿宋简体" w:cs="Times New Roman"/>
          <w:sz w:val="28"/>
        </w:rPr>
        <w:t>合并评价。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9507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0"/>
    <w:rsid w:val="0001002A"/>
    <w:rsid w:val="00020EE4"/>
    <w:rsid w:val="000429E9"/>
    <w:rsid w:val="0005072F"/>
    <w:rsid w:val="000523C4"/>
    <w:rsid w:val="00065C73"/>
    <w:rsid w:val="00072C90"/>
    <w:rsid w:val="000847D2"/>
    <w:rsid w:val="00085C71"/>
    <w:rsid w:val="000C43C9"/>
    <w:rsid w:val="000D13A7"/>
    <w:rsid w:val="000E760D"/>
    <w:rsid w:val="000F37FB"/>
    <w:rsid w:val="00141CB5"/>
    <w:rsid w:val="00144E5A"/>
    <w:rsid w:val="00155BE0"/>
    <w:rsid w:val="001A45E8"/>
    <w:rsid w:val="001F3C03"/>
    <w:rsid w:val="00221B9B"/>
    <w:rsid w:val="00234632"/>
    <w:rsid w:val="002673E5"/>
    <w:rsid w:val="002946AF"/>
    <w:rsid w:val="00296655"/>
    <w:rsid w:val="002A7EF6"/>
    <w:rsid w:val="002B62FF"/>
    <w:rsid w:val="002B6A41"/>
    <w:rsid w:val="002C12E4"/>
    <w:rsid w:val="002D2794"/>
    <w:rsid w:val="002F4497"/>
    <w:rsid w:val="00363A01"/>
    <w:rsid w:val="00373124"/>
    <w:rsid w:val="003832C7"/>
    <w:rsid w:val="00391A9D"/>
    <w:rsid w:val="003947EF"/>
    <w:rsid w:val="003F274F"/>
    <w:rsid w:val="003F38FF"/>
    <w:rsid w:val="00402BB5"/>
    <w:rsid w:val="00423053"/>
    <w:rsid w:val="00452897"/>
    <w:rsid w:val="004604E1"/>
    <w:rsid w:val="00487969"/>
    <w:rsid w:val="004B7C53"/>
    <w:rsid w:val="004C56F1"/>
    <w:rsid w:val="004C5BAF"/>
    <w:rsid w:val="004D3B55"/>
    <w:rsid w:val="004E0DB1"/>
    <w:rsid w:val="004E27AC"/>
    <w:rsid w:val="004E567A"/>
    <w:rsid w:val="004E7DDA"/>
    <w:rsid w:val="00533727"/>
    <w:rsid w:val="00543792"/>
    <w:rsid w:val="005B1215"/>
    <w:rsid w:val="005B2D0A"/>
    <w:rsid w:val="005C179F"/>
    <w:rsid w:val="006013F2"/>
    <w:rsid w:val="00616A9F"/>
    <w:rsid w:val="00636212"/>
    <w:rsid w:val="00663771"/>
    <w:rsid w:val="00664680"/>
    <w:rsid w:val="00664A24"/>
    <w:rsid w:val="00677FAE"/>
    <w:rsid w:val="006A3CC0"/>
    <w:rsid w:val="006B7627"/>
    <w:rsid w:val="006D4843"/>
    <w:rsid w:val="006F0707"/>
    <w:rsid w:val="00706FB9"/>
    <w:rsid w:val="007160EC"/>
    <w:rsid w:val="00720297"/>
    <w:rsid w:val="007225B5"/>
    <w:rsid w:val="007578BD"/>
    <w:rsid w:val="0076028C"/>
    <w:rsid w:val="00772878"/>
    <w:rsid w:val="007A57CE"/>
    <w:rsid w:val="007E6601"/>
    <w:rsid w:val="00800AB7"/>
    <w:rsid w:val="008364CD"/>
    <w:rsid w:val="008475C0"/>
    <w:rsid w:val="008B058C"/>
    <w:rsid w:val="008C1FD7"/>
    <w:rsid w:val="008D4C26"/>
    <w:rsid w:val="008E0E4B"/>
    <w:rsid w:val="008E360C"/>
    <w:rsid w:val="008E49D6"/>
    <w:rsid w:val="009612CD"/>
    <w:rsid w:val="00977E93"/>
    <w:rsid w:val="00995B32"/>
    <w:rsid w:val="009B1A38"/>
    <w:rsid w:val="00A246CA"/>
    <w:rsid w:val="00A325DC"/>
    <w:rsid w:val="00A4234A"/>
    <w:rsid w:val="00A52B70"/>
    <w:rsid w:val="00A565CE"/>
    <w:rsid w:val="00AA3C1E"/>
    <w:rsid w:val="00AD632C"/>
    <w:rsid w:val="00B17FF4"/>
    <w:rsid w:val="00B258F5"/>
    <w:rsid w:val="00BB6529"/>
    <w:rsid w:val="00BD1207"/>
    <w:rsid w:val="00BD251F"/>
    <w:rsid w:val="00BF108C"/>
    <w:rsid w:val="00BF6A44"/>
    <w:rsid w:val="00C06CFD"/>
    <w:rsid w:val="00C20FF2"/>
    <w:rsid w:val="00C25D0E"/>
    <w:rsid w:val="00C27D1B"/>
    <w:rsid w:val="00C43FD0"/>
    <w:rsid w:val="00C45D75"/>
    <w:rsid w:val="00C70A37"/>
    <w:rsid w:val="00C8273E"/>
    <w:rsid w:val="00C97C0A"/>
    <w:rsid w:val="00CA1AD9"/>
    <w:rsid w:val="00CA264C"/>
    <w:rsid w:val="00CB52DC"/>
    <w:rsid w:val="00CC2D4B"/>
    <w:rsid w:val="00D31388"/>
    <w:rsid w:val="00D367F8"/>
    <w:rsid w:val="00D436C8"/>
    <w:rsid w:val="00D47EDD"/>
    <w:rsid w:val="00D70D40"/>
    <w:rsid w:val="00DC6C8C"/>
    <w:rsid w:val="00E176B5"/>
    <w:rsid w:val="00E70B53"/>
    <w:rsid w:val="00E74DC7"/>
    <w:rsid w:val="00EB5CE4"/>
    <w:rsid w:val="00EE22BE"/>
    <w:rsid w:val="00EF263C"/>
    <w:rsid w:val="00F14550"/>
    <w:rsid w:val="00F15F5E"/>
    <w:rsid w:val="00F37704"/>
    <w:rsid w:val="00F565F9"/>
    <w:rsid w:val="00F603D3"/>
    <w:rsid w:val="00F667F2"/>
    <w:rsid w:val="00F90336"/>
    <w:rsid w:val="00FA463A"/>
    <w:rsid w:val="00FD0A23"/>
    <w:rsid w:val="0F928065"/>
    <w:rsid w:val="197F1607"/>
    <w:rsid w:val="A9CFA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b/>
      <w:bCs/>
      <w:color w:val="000000"/>
      <w:kern w:val="0"/>
      <w:sz w:val="22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2665</Words>
  <Characters>7867</Characters>
  <Lines>70</Lines>
  <Paragraphs>19</Paragraphs>
  <TotalTime>38</TotalTime>
  <ScaleCrop>false</ScaleCrop>
  <LinksUpToDate>false</LinksUpToDate>
  <CharactersWithSpaces>7871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2021-01-26T09:17:00Z</dcterms:created>
  <dc:creator>chensl</dc:creator>
  <cp:lastModifiedBy>chensl</cp:lastModifiedBy>
  <cp:lastPrinted>2020-04-18T08:40:00Z</cp:lastPrinted>
  <dcterms:modified xsi:type="dcterms:W3CDTF">2022-01-28T08:47:15Z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