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附件１</w:t>
      </w:r>
    </w:p>
    <w:p>
      <w:pPr>
        <w:spacing w:line="600" w:lineRule="exact"/>
        <w:jc w:val="center"/>
        <w:rPr>
          <w:rFonts w:ascii="Times New Roman" w:hAnsi="Times New Roman" w:eastAsia="方正大标宋简体" w:cs="Times New Roman"/>
          <w:sz w:val="44"/>
          <w:szCs w:val="44"/>
        </w:rPr>
      </w:pPr>
    </w:p>
    <w:p>
      <w:pPr>
        <w:spacing w:line="600" w:lineRule="exact"/>
        <w:jc w:val="center"/>
        <w:rPr>
          <w:rFonts w:hint="eastAsia" w:ascii="方正大标宋简体" w:hAnsi="Times New Roman" w:eastAsia="方正大标宋简体" w:cs="Times New Roman"/>
          <w:sz w:val="44"/>
          <w:szCs w:val="44"/>
        </w:rPr>
      </w:pPr>
      <w:r>
        <w:rPr>
          <w:rFonts w:hint="eastAsia" w:ascii="方正大标宋简体" w:hAnsi="Times New Roman" w:eastAsia="方正大标宋简体" w:cs="Times New Roman"/>
          <w:sz w:val="44"/>
          <w:szCs w:val="44"/>
        </w:rPr>
        <w:t>交易支持平台市场参与者</w:t>
      </w:r>
    </w:p>
    <w:p>
      <w:pPr>
        <w:spacing w:line="600" w:lineRule="exact"/>
        <w:jc w:val="center"/>
        <w:rPr>
          <w:rFonts w:hint="eastAsia" w:ascii="方正大标宋简体" w:hAnsi="Times New Roman" w:eastAsia="方正大标宋简体" w:cs="Times New Roman"/>
          <w:sz w:val="44"/>
          <w:szCs w:val="44"/>
        </w:rPr>
      </w:pPr>
      <w:r>
        <w:rPr>
          <w:rFonts w:hint="eastAsia" w:ascii="方正大标宋简体" w:hAnsi="Times New Roman" w:eastAsia="方正大标宋简体" w:cs="Times New Roman"/>
          <w:sz w:val="44"/>
          <w:szCs w:val="44"/>
        </w:rPr>
        <w:t>技术系统开发指南</w:t>
      </w:r>
    </w:p>
    <w:p>
      <w:pPr>
        <w:spacing w:line="600" w:lineRule="exact"/>
        <w:jc w:val="center"/>
        <w:rPr>
          <w:rFonts w:ascii="Times New Roman" w:hAnsi="Times New Roman" w:eastAsia="仿宋" w:cs="Times New Roman"/>
          <w:sz w:val="32"/>
          <w:szCs w:val="32"/>
        </w:rPr>
      </w:pPr>
    </w:p>
    <w:p>
      <w:pPr>
        <w:spacing w:line="600" w:lineRule="exact"/>
        <w:jc w:val="left"/>
        <w:rPr>
          <w:rFonts w:ascii="黑体" w:hAnsi="黑体" w:eastAsia="黑体" w:cs="Times New Roman"/>
          <w:sz w:val="32"/>
          <w:szCs w:val="32"/>
        </w:rPr>
      </w:pPr>
      <w:r>
        <w:rPr>
          <w:rFonts w:ascii="黑体" w:hAnsi="黑体" w:eastAsia="黑体" w:cs="Times New Roman"/>
          <w:sz w:val="32"/>
          <w:szCs w:val="32"/>
        </w:rPr>
        <w:t>一、编制说明</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为使各市场参与者顺利开展各项业务，现编制和发布本指南。</w:t>
      </w:r>
    </w:p>
    <w:p>
      <w:pPr>
        <w:spacing w:line="60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全国中小企业股份转让系统（以下简称“全国股转系统”）和北京证券交易所将共用现有交易支持平台、通信系统和数据接口规范等开展相关业务。</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本指南所提及的周边技术系统系指投资者使用的客户端，包括但不限于证券公司提供的通过周边接口接入柜台系统的PC端和移动端、信息商提供的直接访问行情的PC端和移动端等。</w:t>
      </w:r>
    </w:p>
    <w:p>
      <w:pPr>
        <w:spacing w:line="600" w:lineRule="exact"/>
        <w:jc w:val="left"/>
        <w:rPr>
          <w:rFonts w:ascii="黑体" w:hAnsi="黑体" w:eastAsia="黑体" w:cs="Times New Roman"/>
          <w:sz w:val="32"/>
          <w:szCs w:val="32"/>
        </w:rPr>
      </w:pPr>
      <w:r>
        <w:rPr>
          <w:rFonts w:ascii="黑体" w:hAnsi="黑体" w:eastAsia="黑体" w:cs="Times New Roman"/>
          <w:sz w:val="32"/>
          <w:szCs w:val="32"/>
        </w:rPr>
        <w:t>二、参考文档</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《全国中小企业股份转让系统交易支持平台数据接口规范（V1.46）》</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《全国中小企业股份转让系统市场参与者技术系统变更指南之发行业务（V1.2）》</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《全国中小企业股份转让系统市场参与者技术系统变更指南之交易业务（V1.3）》</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《全国中小企业股份转让系统市场参与者技术系统变更指南之适当性差异化管理（V1.2）》</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《全国中小企业股份转让系统周边技术系统开发者指南（V1.6）》</w:t>
      </w:r>
    </w:p>
    <w:p>
      <w:pPr>
        <w:spacing w:line="600" w:lineRule="exact"/>
        <w:jc w:val="left"/>
        <w:rPr>
          <w:rFonts w:ascii="黑体" w:hAnsi="黑体" w:eastAsia="黑体" w:cs="Times New Roman"/>
          <w:sz w:val="32"/>
          <w:szCs w:val="32"/>
        </w:rPr>
      </w:pPr>
      <w:r>
        <w:rPr>
          <w:rFonts w:ascii="黑体" w:hAnsi="黑体" w:eastAsia="黑体" w:cs="Times New Roman"/>
          <w:sz w:val="32"/>
          <w:szCs w:val="32"/>
        </w:rPr>
        <w:t>三、改造内容</w:t>
      </w: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（一）周边技术系统</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应当提供便于投资者开展北京证券交易所交易的通用交易界面、快捷入口及专用入口，须与沪深市场同级别。</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应当设立独立板块用于揭示北京证券交易所行情内容，须与沪深市场同级别。</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应当使用“BJ/北证/京市”或北京证券交易所的官方简称作为北京证券交易所的简称及市场标识。</w:t>
      </w:r>
    </w:p>
    <w:p>
      <w:pPr>
        <w:spacing w:line="60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（二）投资者适当性管理</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全国股转系统及北京证券交易所投资者适当性管理应当支持如下配置化功能：</w:t>
      </w:r>
    </w:p>
    <w:p>
      <w:pPr>
        <w:pStyle w:val="14"/>
        <w:numPr>
          <w:ilvl w:val="0"/>
          <w:numId w:val="1"/>
        </w:numPr>
        <w:spacing w:line="600" w:lineRule="exact"/>
        <w:ind w:firstLineChars="0"/>
        <w:jc w:val="left"/>
        <w:rPr>
          <w:rFonts w:ascii="Times New Roman" w:hAnsi="Times New Roman" w:eastAsia="仿宋" w:cs="Times New Roman"/>
          <w:sz w:val="32"/>
          <w:szCs w:val="32"/>
        </w:rPr>
      </w:pPr>
      <w:r>
        <w:rPr>
          <w:rFonts w:ascii="Times New Roman" w:hAnsi="Times New Roman" w:eastAsia="仿宋" w:cs="Times New Roman"/>
          <w:sz w:val="32"/>
          <w:szCs w:val="32"/>
        </w:rPr>
        <w:t>新增、修改、删除合格投资者类别。</w:t>
      </w:r>
    </w:p>
    <w:p>
      <w:pPr>
        <w:pStyle w:val="14"/>
        <w:numPr>
          <w:ilvl w:val="0"/>
          <w:numId w:val="1"/>
        </w:numPr>
        <w:spacing w:line="600" w:lineRule="exact"/>
        <w:ind w:firstLineChars="0"/>
        <w:jc w:val="left"/>
        <w:rPr>
          <w:rFonts w:ascii="Times New Roman" w:hAnsi="Times New Roman" w:eastAsia="仿宋" w:cs="Times New Roman"/>
          <w:sz w:val="32"/>
          <w:szCs w:val="32"/>
        </w:rPr>
      </w:pPr>
      <w:r>
        <w:rPr>
          <w:rFonts w:ascii="Times New Roman" w:hAnsi="Times New Roman" w:eastAsia="仿宋" w:cs="Times New Roman"/>
          <w:sz w:val="32"/>
          <w:szCs w:val="32"/>
        </w:rPr>
        <w:t>批量变更合格投资者类别。</w:t>
      </w:r>
    </w:p>
    <w:p>
      <w:pPr>
        <w:pStyle w:val="14"/>
        <w:numPr>
          <w:ilvl w:val="0"/>
          <w:numId w:val="1"/>
        </w:numPr>
        <w:spacing w:line="600" w:lineRule="exact"/>
        <w:ind w:firstLineChars="0"/>
        <w:jc w:val="left"/>
        <w:rPr>
          <w:rFonts w:ascii="Times New Roman" w:hAnsi="Times New Roman" w:eastAsia="仿宋" w:cs="Times New Roman"/>
          <w:sz w:val="32"/>
          <w:szCs w:val="32"/>
        </w:rPr>
      </w:pPr>
      <w:r>
        <w:rPr>
          <w:rFonts w:ascii="Times New Roman" w:hAnsi="Times New Roman" w:eastAsia="仿宋" w:cs="Times New Roman"/>
          <w:sz w:val="32"/>
          <w:szCs w:val="32"/>
        </w:rPr>
        <w:t>各类别合格投资者交易权限的调整。</w:t>
      </w:r>
      <w:bookmarkStart w:id="0" w:name="_GoBack"/>
      <w:bookmarkEnd w:id="0"/>
    </w:p>
    <w:p>
      <w:pPr>
        <w:spacing w:line="60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（三）行情发布频率</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全国股转系统及北京证券交易所各业务行情揭示频率为3秒。</w:t>
      </w:r>
    </w:p>
    <w:p>
      <w:pPr>
        <w:spacing w:line="600" w:lineRule="exact"/>
        <w:jc w:val="left"/>
        <w:rPr>
          <w:rFonts w:ascii="黑体" w:hAnsi="黑体" w:eastAsia="黑体" w:cs="Times New Roman"/>
          <w:sz w:val="32"/>
          <w:szCs w:val="32"/>
        </w:rPr>
      </w:pPr>
      <w:r>
        <w:rPr>
          <w:rFonts w:ascii="黑体" w:hAnsi="黑体" w:eastAsia="黑体" w:cs="Times New Roman"/>
          <w:sz w:val="32"/>
          <w:szCs w:val="32"/>
        </w:rPr>
        <w:t>四、注意事项</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1.开展经纪业务的证券公司至少应提供两种交易终端（其中至少一种为非现场）和两种行情终端（其中至少一种为非现场）。</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2.全国股转系统和北京证券交易所共用合同序号、约定号、流水号等要素，各市场参与者须保证其唯一性。</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3.本指南未涉及内容请参考全国股转系统现有业务规则和技术文档。</w:t>
      </w:r>
    </w:p>
    <w:p>
      <w:pPr>
        <w:spacing w:line="600" w:lineRule="exact"/>
        <w:jc w:val="left"/>
        <w:rPr>
          <w:rFonts w:ascii="黑体" w:hAnsi="黑体" w:eastAsia="黑体" w:cs="Times New Roman"/>
          <w:sz w:val="32"/>
          <w:szCs w:val="32"/>
        </w:rPr>
      </w:pPr>
      <w:r>
        <w:rPr>
          <w:rFonts w:ascii="黑体" w:hAnsi="黑体" w:eastAsia="黑体" w:cs="Times New Roman"/>
          <w:sz w:val="32"/>
          <w:szCs w:val="32"/>
        </w:rPr>
        <w:t>五、联系方式</w:t>
      </w:r>
    </w:p>
    <w:p>
      <w:pPr>
        <w:keepNext w:val="0"/>
        <w:keepLines w:val="0"/>
        <w:pageBreakBefore w:val="0"/>
        <w:widowControl w:val="0"/>
        <w:kinsoku/>
        <w:wordWrap/>
        <w:overflowPunct/>
        <w:topLinePunct w:val="0"/>
        <w:autoSpaceDE/>
        <w:autoSpaceDN/>
        <w:bidi w:val="0"/>
        <w:adjustRightInd/>
        <w:snapToGrid/>
        <w:spacing w:line="100" w:lineRule="exact"/>
        <w:jc w:val="left"/>
        <w:textAlignment w:val="auto"/>
        <w:outlineLvl w:val="9"/>
        <w:rPr>
          <w:rFonts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100" w:lineRule="exact"/>
        <w:jc w:val="left"/>
        <w:textAlignment w:val="auto"/>
        <w:outlineLvl w:val="9"/>
        <w:rPr>
          <w:rFonts w:ascii="黑体" w:hAnsi="黑体" w:eastAsia="黑体" w:cs="Times New Roman"/>
          <w:sz w:val="32"/>
          <w:szCs w:val="32"/>
        </w:rPr>
      </w:pP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9"/>
        <w:gridCol w:w="5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9" w:type="dxa"/>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rPr>
              <w:t>联系单位/部门</w:t>
            </w:r>
          </w:p>
        </w:tc>
        <w:tc>
          <w:tcPr>
            <w:tcW w:w="5007" w:type="dxa"/>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289" w:type="dxa"/>
          </w:tcPr>
          <w:p>
            <w:pPr>
              <w:jc w:val="left"/>
              <w:rPr>
                <w:rFonts w:ascii="Times New Roman" w:hAnsi="Times New Roman" w:eastAsia="仿宋" w:cs="Times New Roman"/>
                <w:sz w:val="28"/>
                <w:szCs w:val="28"/>
              </w:rPr>
            </w:pPr>
            <w:r>
              <w:rPr>
                <w:rFonts w:ascii="Times New Roman" w:hAnsi="Times New Roman" w:eastAsia="仿宋" w:cs="Times New Roman"/>
                <w:sz w:val="28"/>
                <w:szCs w:val="28"/>
              </w:rPr>
              <w:t>北京证券交易所</w:t>
            </w:r>
          </w:p>
        </w:tc>
        <w:tc>
          <w:tcPr>
            <w:tcW w:w="5007" w:type="dxa"/>
          </w:tcPr>
          <w:p>
            <w:pPr>
              <w:jc w:val="left"/>
              <w:rPr>
                <w:rFonts w:ascii="Times New Roman" w:hAnsi="Times New Roman" w:eastAsia="仿宋" w:cs="Times New Roman"/>
                <w:sz w:val="28"/>
                <w:szCs w:val="28"/>
              </w:rPr>
            </w:pPr>
            <w:r>
              <w:rPr>
                <w:rFonts w:ascii="Times New Roman" w:hAnsi="Times New Roman" w:eastAsia="仿宋" w:cs="Times New Roman"/>
                <w:sz w:val="28"/>
                <w:szCs w:val="28"/>
              </w:rPr>
              <w:t>400-626-3333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9" w:type="dxa"/>
          </w:tcPr>
          <w:p>
            <w:pPr>
              <w:jc w:val="left"/>
              <w:rPr>
                <w:rFonts w:ascii="Times New Roman" w:hAnsi="Times New Roman" w:eastAsia="仿宋" w:cs="Times New Roman"/>
                <w:sz w:val="28"/>
                <w:szCs w:val="28"/>
              </w:rPr>
            </w:pPr>
            <w:r>
              <w:rPr>
                <w:rFonts w:ascii="Times New Roman" w:hAnsi="Times New Roman" w:eastAsia="仿宋" w:cs="Times New Roman"/>
                <w:sz w:val="28"/>
                <w:szCs w:val="28"/>
              </w:rPr>
              <w:t>全国股转公司</w:t>
            </w:r>
          </w:p>
        </w:tc>
        <w:tc>
          <w:tcPr>
            <w:tcW w:w="5007" w:type="dxa"/>
          </w:tcPr>
          <w:p>
            <w:pPr>
              <w:jc w:val="left"/>
              <w:rPr>
                <w:rFonts w:ascii="Times New Roman" w:hAnsi="Times New Roman" w:eastAsia="仿宋" w:cs="Times New Roman"/>
                <w:sz w:val="28"/>
                <w:szCs w:val="28"/>
              </w:rPr>
            </w:pPr>
            <w:r>
              <w:rPr>
                <w:rFonts w:ascii="Times New Roman" w:hAnsi="Times New Roman" w:eastAsia="仿宋" w:cs="Times New Roman"/>
                <w:sz w:val="28"/>
                <w:szCs w:val="28"/>
              </w:rPr>
              <w:t>400-626-3333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9" w:type="dxa"/>
          </w:tcPr>
          <w:p>
            <w:pPr>
              <w:jc w:val="left"/>
              <w:rPr>
                <w:rFonts w:ascii="Times New Roman" w:hAnsi="Times New Roman" w:eastAsia="仿宋" w:cs="Times New Roman"/>
                <w:sz w:val="28"/>
                <w:szCs w:val="28"/>
              </w:rPr>
            </w:pPr>
            <w:r>
              <w:rPr>
                <w:rFonts w:ascii="Times New Roman" w:hAnsi="Times New Roman" w:eastAsia="仿宋" w:cs="Times New Roman"/>
                <w:sz w:val="28"/>
                <w:szCs w:val="28"/>
              </w:rPr>
              <w:t>QQ群</w:t>
            </w:r>
          </w:p>
        </w:tc>
        <w:tc>
          <w:tcPr>
            <w:tcW w:w="5007" w:type="dxa"/>
          </w:tcPr>
          <w:p>
            <w:pPr>
              <w:jc w:val="left"/>
              <w:rPr>
                <w:rFonts w:ascii="Times New Roman" w:hAnsi="Times New Roman" w:eastAsia="仿宋" w:cs="Times New Roman"/>
                <w:sz w:val="28"/>
                <w:szCs w:val="28"/>
              </w:rPr>
            </w:pPr>
            <w:r>
              <w:rPr>
                <w:rFonts w:ascii="Times New Roman" w:hAnsi="Times New Roman" w:eastAsia="仿宋" w:cs="Times New Roman"/>
                <w:sz w:val="28"/>
                <w:szCs w:val="28"/>
              </w:rPr>
              <w:t>338167838</w:t>
            </w:r>
          </w:p>
        </w:tc>
      </w:tr>
    </w:tbl>
    <w:p>
      <w:pPr>
        <w:ind w:firstLine="640" w:firstLineChars="200"/>
        <w:jc w:val="left"/>
        <w:rPr>
          <w:rFonts w:ascii="Times New Roman" w:hAnsi="Times New Roman" w:eastAsia="仿宋"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204413203"/>
                            <w:docPartObj>
                              <w:docPartGallery w:val="autotext"/>
                            </w:docPartObj>
                          </w:sdtPr>
                          <w:sdtEndPr>
                            <w:rPr>
                              <w:rFonts w:ascii="Times New Roman" w:hAnsi="Times New Roman" w:cs="Times New Roman"/>
                              <w:sz w:val="32"/>
                              <w:szCs w:val="32"/>
                            </w:rPr>
                          </w:sdtEndPr>
                          <w:sdtContent>
                            <w:p>
                              <w:pPr>
                                <w:pStyle w:val="5"/>
                                <w:jc w:val="left"/>
                                <w:rPr>
                                  <w:rFonts w:ascii="Times New Roman" w:hAnsi="Times New Roman" w:cs="Times New Roman"/>
                                  <w:sz w:val="32"/>
                                  <w:szCs w:val="32"/>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fldChar w:fldCharType="end"/>
                              </w:r>
                            </w:p>
                          </w:sdtContent>
                        </w:sdt>
                        <w:p>
                          <w:pPr>
                            <w:rPr>
                              <w:rFonts w:ascii="Times New Roman" w:hAnsi="Times New Roman" w:cs="Times New Roman"/>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id w:val="-204413203"/>
                      <w:docPartObj>
                        <w:docPartGallery w:val="autotext"/>
                      </w:docPartObj>
                    </w:sdtPr>
                    <w:sdtEndPr>
                      <w:rPr>
                        <w:rFonts w:ascii="Times New Roman" w:hAnsi="Times New Roman" w:cs="Times New Roman"/>
                        <w:sz w:val="32"/>
                        <w:szCs w:val="32"/>
                      </w:rPr>
                    </w:sdtEndPr>
                    <w:sdtContent>
                      <w:p>
                        <w:pPr>
                          <w:pStyle w:val="5"/>
                          <w:jc w:val="left"/>
                          <w:rPr>
                            <w:rFonts w:ascii="Times New Roman" w:hAnsi="Times New Roman" w:cs="Times New Roman"/>
                            <w:sz w:val="32"/>
                            <w:szCs w:val="32"/>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fldChar w:fldCharType="end"/>
                        </w:r>
                      </w:p>
                    </w:sdtContent>
                  </w:sdt>
                  <w:p>
                    <w:pPr>
                      <w:rPr>
                        <w:rFonts w:ascii="Times New Roman" w:hAnsi="Times New Roman" w:cs="Times New Roman"/>
                        <w:sz w:val="32"/>
                        <w:szCs w:val="3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43C2C"/>
    <w:multiLevelType w:val="multilevel"/>
    <w:tmpl w:val="62743C2C"/>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58"/>
    <w:rsid w:val="00000F1E"/>
    <w:rsid w:val="00001A6F"/>
    <w:rsid w:val="00013267"/>
    <w:rsid w:val="000314EA"/>
    <w:rsid w:val="0003541D"/>
    <w:rsid w:val="00036C6C"/>
    <w:rsid w:val="0005621D"/>
    <w:rsid w:val="00066393"/>
    <w:rsid w:val="0007358E"/>
    <w:rsid w:val="00081571"/>
    <w:rsid w:val="000824E3"/>
    <w:rsid w:val="000842A2"/>
    <w:rsid w:val="00086F02"/>
    <w:rsid w:val="00097DEC"/>
    <w:rsid w:val="000A0B35"/>
    <w:rsid w:val="000B1ACB"/>
    <w:rsid w:val="000B5BDA"/>
    <w:rsid w:val="000D26DE"/>
    <w:rsid w:val="000E55C7"/>
    <w:rsid w:val="000F3FD3"/>
    <w:rsid w:val="00104B0C"/>
    <w:rsid w:val="00106F3C"/>
    <w:rsid w:val="00107A0F"/>
    <w:rsid w:val="0013731A"/>
    <w:rsid w:val="00143B96"/>
    <w:rsid w:val="0014434C"/>
    <w:rsid w:val="001542B6"/>
    <w:rsid w:val="00156375"/>
    <w:rsid w:val="001849A6"/>
    <w:rsid w:val="0019422A"/>
    <w:rsid w:val="001A544E"/>
    <w:rsid w:val="001A6045"/>
    <w:rsid w:val="001C2E1A"/>
    <w:rsid w:val="001C4C13"/>
    <w:rsid w:val="001D68C6"/>
    <w:rsid w:val="001D70DC"/>
    <w:rsid w:val="001D7A92"/>
    <w:rsid w:val="001E3A37"/>
    <w:rsid w:val="002055CD"/>
    <w:rsid w:val="00213FB7"/>
    <w:rsid w:val="00251032"/>
    <w:rsid w:val="002700DA"/>
    <w:rsid w:val="00280F80"/>
    <w:rsid w:val="002860A5"/>
    <w:rsid w:val="002961F7"/>
    <w:rsid w:val="00296E4F"/>
    <w:rsid w:val="002C18E4"/>
    <w:rsid w:val="002D0695"/>
    <w:rsid w:val="002D5351"/>
    <w:rsid w:val="002E3DA5"/>
    <w:rsid w:val="002F5B3C"/>
    <w:rsid w:val="002F7F69"/>
    <w:rsid w:val="003035B1"/>
    <w:rsid w:val="003045C4"/>
    <w:rsid w:val="003176E5"/>
    <w:rsid w:val="00345C53"/>
    <w:rsid w:val="00371BF9"/>
    <w:rsid w:val="00373284"/>
    <w:rsid w:val="00376B5E"/>
    <w:rsid w:val="00380E71"/>
    <w:rsid w:val="00385C73"/>
    <w:rsid w:val="00387029"/>
    <w:rsid w:val="003910C4"/>
    <w:rsid w:val="00393ED4"/>
    <w:rsid w:val="003961D3"/>
    <w:rsid w:val="003A080F"/>
    <w:rsid w:val="003A29F2"/>
    <w:rsid w:val="003C189A"/>
    <w:rsid w:val="003D06C6"/>
    <w:rsid w:val="003D6A56"/>
    <w:rsid w:val="003E14FB"/>
    <w:rsid w:val="003E26EB"/>
    <w:rsid w:val="003E58C7"/>
    <w:rsid w:val="003F2707"/>
    <w:rsid w:val="003F43EA"/>
    <w:rsid w:val="0042719E"/>
    <w:rsid w:val="004349A8"/>
    <w:rsid w:val="0043643F"/>
    <w:rsid w:val="00437532"/>
    <w:rsid w:val="004516D3"/>
    <w:rsid w:val="0046135F"/>
    <w:rsid w:val="00466868"/>
    <w:rsid w:val="004672C7"/>
    <w:rsid w:val="0047276F"/>
    <w:rsid w:val="00482C64"/>
    <w:rsid w:val="00483E52"/>
    <w:rsid w:val="00494EA8"/>
    <w:rsid w:val="004B17EE"/>
    <w:rsid w:val="004B43EC"/>
    <w:rsid w:val="004B440D"/>
    <w:rsid w:val="004C5BDF"/>
    <w:rsid w:val="004D1F39"/>
    <w:rsid w:val="004F341C"/>
    <w:rsid w:val="004F570F"/>
    <w:rsid w:val="004F5A49"/>
    <w:rsid w:val="004F6588"/>
    <w:rsid w:val="005052D0"/>
    <w:rsid w:val="00520A05"/>
    <w:rsid w:val="00527A6F"/>
    <w:rsid w:val="005310BC"/>
    <w:rsid w:val="00534EF9"/>
    <w:rsid w:val="005361CA"/>
    <w:rsid w:val="00557DAE"/>
    <w:rsid w:val="00560A78"/>
    <w:rsid w:val="00576EDB"/>
    <w:rsid w:val="00586252"/>
    <w:rsid w:val="005A3B28"/>
    <w:rsid w:val="005C02E1"/>
    <w:rsid w:val="005C1234"/>
    <w:rsid w:val="005C590C"/>
    <w:rsid w:val="005E0687"/>
    <w:rsid w:val="005F0B6F"/>
    <w:rsid w:val="005F1513"/>
    <w:rsid w:val="00600CF6"/>
    <w:rsid w:val="0060145E"/>
    <w:rsid w:val="00604F49"/>
    <w:rsid w:val="00621E6C"/>
    <w:rsid w:val="006265BD"/>
    <w:rsid w:val="00663A60"/>
    <w:rsid w:val="00674098"/>
    <w:rsid w:val="00691CD7"/>
    <w:rsid w:val="00696B55"/>
    <w:rsid w:val="006A0EE7"/>
    <w:rsid w:val="006B1DA3"/>
    <w:rsid w:val="006B7A05"/>
    <w:rsid w:val="006C3071"/>
    <w:rsid w:val="006C3734"/>
    <w:rsid w:val="006F45DC"/>
    <w:rsid w:val="00715D93"/>
    <w:rsid w:val="00735A43"/>
    <w:rsid w:val="00752F13"/>
    <w:rsid w:val="007A48DC"/>
    <w:rsid w:val="007A691E"/>
    <w:rsid w:val="007B67E1"/>
    <w:rsid w:val="007C129B"/>
    <w:rsid w:val="007C234F"/>
    <w:rsid w:val="007C352F"/>
    <w:rsid w:val="007E3371"/>
    <w:rsid w:val="007E71BD"/>
    <w:rsid w:val="007F438B"/>
    <w:rsid w:val="00810D45"/>
    <w:rsid w:val="00816F70"/>
    <w:rsid w:val="00823030"/>
    <w:rsid w:val="00834F5A"/>
    <w:rsid w:val="00835239"/>
    <w:rsid w:val="00857CF6"/>
    <w:rsid w:val="00866B65"/>
    <w:rsid w:val="0087204B"/>
    <w:rsid w:val="0087661A"/>
    <w:rsid w:val="0088732F"/>
    <w:rsid w:val="00892ED2"/>
    <w:rsid w:val="008A74EC"/>
    <w:rsid w:val="008B31F8"/>
    <w:rsid w:val="008C5595"/>
    <w:rsid w:val="008D0B64"/>
    <w:rsid w:val="00907DCC"/>
    <w:rsid w:val="00912A2D"/>
    <w:rsid w:val="009263EB"/>
    <w:rsid w:val="0093386F"/>
    <w:rsid w:val="00940F86"/>
    <w:rsid w:val="00942102"/>
    <w:rsid w:val="0095681B"/>
    <w:rsid w:val="00961DA6"/>
    <w:rsid w:val="00970BA2"/>
    <w:rsid w:val="009843B9"/>
    <w:rsid w:val="009B25C0"/>
    <w:rsid w:val="009C7339"/>
    <w:rsid w:val="009D2A58"/>
    <w:rsid w:val="00A2160A"/>
    <w:rsid w:val="00A27574"/>
    <w:rsid w:val="00A345A1"/>
    <w:rsid w:val="00A36889"/>
    <w:rsid w:val="00A40795"/>
    <w:rsid w:val="00A448B5"/>
    <w:rsid w:val="00A713A2"/>
    <w:rsid w:val="00A71758"/>
    <w:rsid w:val="00A90E0A"/>
    <w:rsid w:val="00A963F3"/>
    <w:rsid w:val="00A9703D"/>
    <w:rsid w:val="00AB16E1"/>
    <w:rsid w:val="00AC22EC"/>
    <w:rsid w:val="00AC7B22"/>
    <w:rsid w:val="00AE05C1"/>
    <w:rsid w:val="00AE1AE7"/>
    <w:rsid w:val="00AF6641"/>
    <w:rsid w:val="00B027D6"/>
    <w:rsid w:val="00B152AC"/>
    <w:rsid w:val="00B20E8E"/>
    <w:rsid w:val="00B24218"/>
    <w:rsid w:val="00B45B35"/>
    <w:rsid w:val="00B724EA"/>
    <w:rsid w:val="00B76D38"/>
    <w:rsid w:val="00BA3C3C"/>
    <w:rsid w:val="00BC718E"/>
    <w:rsid w:val="00BD3678"/>
    <w:rsid w:val="00BD617E"/>
    <w:rsid w:val="00BD6CD6"/>
    <w:rsid w:val="00BE6FFD"/>
    <w:rsid w:val="00BE7499"/>
    <w:rsid w:val="00BF123A"/>
    <w:rsid w:val="00C0164E"/>
    <w:rsid w:val="00C019D0"/>
    <w:rsid w:val="00C25220"/>
    <w:rsid w:val="00C274FB"/>
    <w:rsid w:val="00C316C0"/>
    <w:rsid w:val="00C33799"/>
    <w:rsid w:val="00C35DF5"/>
    <w:rsid w:val="00C571EE"/>
    <w:rsid w:val="00C573CF"/>
    <w:rsid w:val="00C64C25"/>
    <w:rsid w:val="00C9587F"/>
    <w:rsid w:val="00CA363E"/>
    <w:rsid w:val="00CB75AD"/>
    <w:rsid w:val="00CC01E3"/>
    <w:rsid w:val="00CC11A4"/>
    <w:rsid w:val="00CC5577"/>
    <w:rsid w:val="00CE55DA"/>
    <w:rsid w:val="00D21843"/>
    <w:rsid w:val="00D253A7"/>
    <w:rsid w:val="00D454DB"/>
    <w:rsid w:val="00D467A1"/>
    <w:rsid w:val="00D63CC9"/>
    <w:rsid w:val="00D716A4"/>
    <w:rsid w:val="00D85600"/>
    <w:rsid w:val="00DA3DEB"/>
    <w:rsid w:val="00DA47B2"/>
    <w:rsid w:val="00DB419C"/>
    <w:rsid w:val="00DB427C"/>
    <w:rsid w:val="00DB67DC"/>
    <w:rsid w:val="00DC30EC"/>
    <w:rsid w:val="00DE2541"/>
    <w:rsid w:val="00DF6963"/>
    <w:rsid w:val="00E00510"/>
    <w:rsid w:val="00E03407"/>
    <w:rsid w:val="00E03CB4"/>
    <w:rsid w:val="00E06934"/>
    <w:rsid w:val="00E111CA"/>
    <w:rsid w:val="00E13741"/>
    <w:rsid w:val="00E16DA8"/>
    <w:rsid w:val="00E171FD"/>
    <w:rsid w:val="00E2031E"/>
    <w:rsid w:val="00E3249C"/>
    <w:rsid w:val="00E40425"/>
    <w:rsid w:val="00E41D44"/>
    <w:rsid w:val="00E525F0"/>
    <w:rsid w:val="00E54597"/>
    <w:rsid w:val="00E63AD7"/>
    <w:rsid w:val="00E73A48"/>
    <w:rsid w:val="00E9147D"/>
    <w:rsid w:val="00EA7EE8"/>
    <w:rsid w:val="00EB422B"/>
    <w:rsid w:val="00EB6701"/>
    <w:rsid w:val="00ED16A6"/>
    <w:rsid w:val="00EF4C5C"/>
    <w:rsid w:val="00F06359"/>
    <w:rsid w:val="00F16BCC"/>
    <w:rsid w:val="00F20134"/>
    <w:rsid w:val="00F253EC"/>
    <w:rsid w:val="00F32C7E"/>
    <w:rsid w:val="00F401BA"/>
    <w:rsid w:val="00F42451"/>
    <w:rsid w:val="00F51D6E"/>
    <w:rsid w:val="00F64CF2"/>
    <w:rsid w:val="00F956A3"/>
    <w:rsid w:val="00F962AC"/>
    <w:rsid w:val="00FA07B3"/>
    <w:rsid w:val="00FA19B8"/>
    <w:rsid w:val="00FA2878"/>
    <w:rsid w:val="00FF7D0D"/>
    <w:rsid w:val="41A22756"/>
    <w:rsid w:val="513D50BA"/>
    <w:rsid w:val="7CE9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2"/>
    <w:semiHidden/>
    <w:unhideWhenUsed/>
    <w:uiPriority w:val="99"/>
    <w:rPr>
      <w:b/>
      <w:bCs/>
    </w:rPr>
  </w:style>
  <w:style w:type="paragraph" w:styleId="3">
    <w:name w:val="annotation text"/>
    <w:basedOn w:val="1"/>
    <w:link w:val="11"/>
    <w:semiHidden/>
    <w:unhideWhenUsed/>
    <w:uiPriority w:val="99"/>
    <w:pPr>
      <w:jc w:val="left"/>
    </w:pPr>
  </w:style>
  <w:style w:type="paragraph" w:styleId="4">
    <w:name w:val="Balloon Text"/>
    <w:basedOn w:val="1"/>
    <w:link w:val="13"/>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文字 Char"/>
    <w:basedOn w:val="7"/>
    <w:link w:val="3"/>
    <w:semiHidden/>
    <w:uiPriority w:val="99"/>
  </w:style>
  <w:style w:type="character" w:customStyle="1" w:styleId="12">
    <w:name w:val="批注主题 Char"/>
    <w:basedOn w:val="11"/>
    <w:link w:val="2"/>
    <w:semiHidden/>
    <w:uiPriority w:val="99"/>
    <w:rPr>
      <w:b/>
      <w:bCs/>
    </w:rPr>
  </w:style>
  <w:style w:type="character" w:customStyle="1" w:styleId="13">
    <w:name w:val="批注框文本 Char"/>
    <w:basedOn w:val="7"/>
    <w:link w:val="4"/>
    <w:semiHidden/>
    <w:uiPriority w:val="99"/>
    <w:rPr>
      <w:sz w:val="18"/>
      <w:szCs w:val="18"/>
    </w:rPr>
  </w:style>
  <w:style w:type="paragraph" w:styleId="14">
    <w:name w:val="List Paragraph"/>
    <w:basedOn w:val="1"/>
    <w:qFormat/>
    <w:uiPriority w:val="34"/>
    <w:pPr>
      <w:ind w:firstLine="420" w:firstLineChars="200"/>
    </w:pPr>
  </w:style>
  <w:style w:type="character" w:customStyle="1" w:styleId="15">
    <w:name w:val="页眉 Char"/>
    <w:basedOn w:val="7"/>
    <w:link w:val="6"/>
    <w:qFormat/>
    <w:uiPriority w:val="99"/>
    <w:rPr>
      <w:sz w:val="18"/>
      <w:szCs w:val="18"/>
    </w:rPr>
  </w:style>
  <w:style w:type="character" w:customStyle="1" w:styleId="16">
    <w:name w:val="页脚 Char"/>
    <w:basedOn w:val="7"/>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Words>
  <Characters>773</Characters>
  <Lines>6</Lines>
  <Paragraphs>1</Paragraphs>
  <TotalTime>1</TotalTime>
  <ScaleCrop>false</ScaleCrop>
  <LinksUpToDate>false</LinksUpToDate>
  <CharactersWithSpaces>907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2021-08-26T01:50:00Z</dcterms:created>
  <dc:creator>lenovo</dc:creator>
  <cp:lastModifiedBy>全国中小企业股份转让系统有限责任公司</cp:lastModifiedBy>
  <cp:lastPrinted>2021-09-03T10:41:10Z</cp:lastPrinted>
  <dcterms:modified xsi:type="dcterms:W3CDTF">2021-09-03T10:56:58Z</dcterms:modified>
  <dc:title>附件１</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