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19" w:rsidRDefault="00BA7019">
      <w:pPr>
        <w:pStyle w:val="1"/>
        <w:spacing w:before="0" w:after="0" w:line="640" w:lineRule="exact"/>
        <w:jc w:val="center"/>
        <w:rPr>
          <w:rFonts w:eastAsia="方正大标宋简体"/>
          <w:b w:val="0"/>
        </w:rPr>
      </w:pPr>
      <w:r>
        <w:rPr>
          <w:rFonts w:eastAsia="方正大标宋简体"/>
          <w:b w:val="0"/>
        </w:rPr>
        <w:t>第</w:t>
      </w:r>
      <w:r>
        <w:rPr>
          <w:rFonts w:eastAsia="方正大标宋简体"/>
          <w:b w:val="0"/>
        </w:rPr>
        <w:t>83</w:t>
      </w:r>
      <w:r>
        <w:rPr>
          <w:rFonts w:eastAsia="方正大标宋简体"/>
          <w:b w:val="0"/>
        </w:rPr>
        <w:t>号</w:t>
      </w:r>
      <w:r>
        <w:rPr>
          <w:rFonts w:eastAsia="方正大标宋简体"/>
          <w:b w:val="0"/>
        </w:rPr>
        <w:t xml:space="preserve"> </w:t>
      </w:r>
      <w:r>
        <w:rPr>
          <w:rFonts w:eastAsia="方正大标宋简体"/>
          <w:b w:val="0"/>
        </w:rPr>
        <w:t>挂牌公司</w:t>
      </w:r>
      <w:r>
        <w:rPr>
          <w:rFonts w:eastAsia="方正大标宋简体" w:hint="eastAsia"/>
          <w:b w:val="0"/>
        </w:rPr>
        <w:t>股票停牌进展</w:t>
      </w:r>
      <w:r>
        <w:rPr>
          <w:rFonts w:eastAsia="方正大标宋简体"/>
          <w:b w:val="0"/>
        </w:rPr>
        <w:t>公告格式模板</w:t>
      </w:r>
    </w:p>
    <w:p w:rsidR="00BA7019" w:rsidRDefault="00BA7019">
      <w:pPr>
        <w:autoSpaceDE w:val="0"/>
        <w:autoSpaceDN w:val="0"/>
        <w:adjustRightInd w:val="0"/>
        <w:ind w:firstLineChars="247" w:firstLine="744"/>
        <w:jc w:val="center"/>
        <w:rPr>
          <w:rFonts w:ascii="Times New Roman" w:eastAsia="仿宋" w:hAnsi="Times New Roman" w:cs="Times New Roman"/>
          <w:b/>
          <w:bCs/>
          <w:kern w:val="0"/>
          <w:sz w:val="30"/>
          <w:szCs w:val="30"/>
        </w:rPr>
      </w:pPr>
    </w:p>
    <w:p w:rsidR="00BA7019" w:rsidRDefault="00BA7019">
      <w:pPr>
        <w:snapToGrid w:val="0"/>
        <w:spacing w:line="5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公告编号：</w:t>
      </w:r>
    </w:p>
    <w:p w:rsidR="00BA7019" w:rsidRDefault="00BA7019">
      <w:pPr>
        <w:snapToGrid w:val="0"/>
        <w:spacing w:line="560" w:lineRule="exact"/>
        <w:jc w:val="center"/>
        <w:rPr>
          <w:rFonts w:ascii="Times New Roman" w:eastAsia="仿宋" w:hAnsi="Times New Roman" w:cs="Times New Roman"/>
          <w:b/>
          <w:sz w:val="32"/>
          <w:szCs w:val="32"/>
        </w:rPr>
      </w:pPr>
    </w:p>
    <w:p w:rsidR="00BA7019" w:rsidRDefault="00BA7019">
      <w:pPr>
        <w:snapToGrid w:val="0"/>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w:t>
      </w:r>
      <w:r>
        <w:rPr>
          <w:rFonts w:ascii="Times New Roman" w:eastAsia="方正大标宋简体" w:hAnsi="Times New Roman" w:cs="Times New Roman" w:hint="eastAsia"/>
          <w:sz w:val="44"/>
          <w:szCs w:val="44"/>
        </w:rPr>
        <w:t>司股票停牌进展</w:t>
      </w:r>
      <w:r>
        <w:rPr>
          <w:rFonts w:ascii="Times New Roman" w:eastAsia="方正大标宋简体" w:hAnsi="Times New Roman" w:cs="Times New Roman"/>
          <w:sz w:val="44"/>
          <w:szCs w:val="44"/>
        </w:rPr>
        <w:t>公告</w:t>
      </w:r>
    </w:p>
    <w:p w:rsidR="00BA7019" w:rsidRDefault="00BA7019">
      <w:pPr>
        <w:snapToGrid w:val="0"/>
        <w:jc w:val="center"/>
        <w:rPr>
          <w:rFonts w:ascii="Times New Roman" w:eastAsia="仿宋" w:hAnsi="Times New Roman" w:cs="Times New Roman"/>
          <w:b/>
          <w:sz w:val="30"/>
          <w:szCs w:val="30"/>
        </w:rPr>
      </w:pPr>
    </w:p>
    <w:p w:rsidR="00BA7019" w:rsidRDefault="00BA7019">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rsidR="00BA7019" w:rsidRDefault="00BA7019">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hint="eastAsia"/>
          <w:sz w:val="24"/>
        </w:rPr>
        <w:t xml:space="preserve">     </w:t>
      </w:r>
      <w:r>
        <w:rPr>
          <w:rFonts w:ascii="Times New Roman" w:eastAsia="仿宋" w:hAnsi="Times New Roman" w:cs="Times New Roman"/>
          <w:sz w:val="24"/>
        </w:rPr>
        <w:t>（具体和明确的理由）不能保证公告内容真实、准确、完整。</w:t>
      </w:r>
    </w:p>
    <w:p w:rsidR="00BA7019" w:rsidRDefault="00BA7019">
      <w:pPr>
        <w:spacing w:line="560" w:lineRule="exact"/>
        <w:ind w:firstLine="601"/>
        <w:rPr>
          <w:rFonts w:ascii="Times New Roman" w:eastAsia="仿宋" w:hAnsi="Times New Roman" w:cs="Times New Roman"/>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申请公司股票停牌并经同意</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或公司</w:t>
      </w:r>
      <w:r>
        <w:rPr>
          <w:rFonts w:ascii="Times New Roman" w:eastAsia="仿宋" w:hAnsi="Times New Roman" w:cs="Times New Roman"/>
          <w:sz w:val="32"/>
          <w:szCs w:val="32"/>
        </w:rPr>
        <w:t>股票被全国股转公司实施停牌</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，应当</w:t>
      </w:r>
      <w:r>
        <w:rPr>
          <w:rFonts w:ascii="Times New Roman" w:eastAsia="仿宋" w:hAnsi="Times New Roman" w:cs="Times New Roman" w:hint="eastAsia"/>
          <w:sz w:val="32"/>
          <w:szCs w:val="32"/>
        </w:rPr>
        <w:t>于</w:t>
      </w:r>
      <w:r>
        <w:rPr>
          <w:rFonts w:ascii="Times New Roman" w:eastAsia="仿宋" w:hAnsi="Times New Roman" w:cs="Times New Roman"/>
          <w:sz w:val="32"/>
          <w:szCs w:val="32"/>
        </w:rPr>
        <w:t>停牌期间</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股票停牌进展公告。</w:t>
      </w:r>
    </w:p>
    <w:p w:rsidR="00BA7019" w:rsidRDefault="00BA7019">
      <w:pPr>
        <w:spacing w:line="560" w:lineRule="exact"/>
        <w:ind w:firstLine="601"/>
        <w:rPr>
          <w:rFonts w:ascii="Times New Roman" w:eastAsia="仿宋" w:hAnsi="Times New Roman" w:cs="Times New Roman"/>
          <w:sz w:val="32"/>
          <w:szCs w:val="32"/>
        </w:rPr>
      </w:pPr>
      <w:r>
        <w:rPr>
          <w:rFonts w:ascii="Times New Roman" w:eastAsia="仿宋" w:hAnsi="Times New Roman" w:cs="Times New Roman" w:hint="eastAsia"/>
          <w:sz w:val="32"/>
          <w:szCs w:val="32"/>
        </w:rPr>
        <w:t>挂</w:t>
      </w:r>
      <w:r>
        <w:rPr>
          <w:rFonts w:ascii="Times New Roman" w:eastAsia="仿宋" w:hAnsi="Times New Roman" w:cs="Times New Roman"/>
          <w:sz w:val="32"/>
          <w:szCs w:val="32"/>
        </w:rPr>
        <w:t>牌公司股票因重大事项、重大资产重组停牌的，应当每</w:t>
      </w:r>
      <w:r>
        <w:rPr>
          <w:rFonts w:ascii="Times New Roman" w:eastAsia="仿宋" w:hAnsi="Times New Roman" w:cs="Times New Roman"/>
          <w:sz w:val="32"/>
          <w:szCs w:val="32"/>
        </w:rPr>
        <w:t>5</w:t>
      </w:r>
      <w:r>
        <w:rPr>
          <w:rFonts w:ascii="Times New Roman" w:eastAsia="仿宋" w:hAnsi="Times New Roman" w:cs="Times New Roman"/>
          <w:sz w:val="32"/>
          <w:szCs w:val="32"/>
        </w:rPr>
        <w:t>个交易日披露一次停牌进展公告，相关事项取得重要进展或发生重大变化的，应当及时披露，不得以披露</w:t>
      </w:r>
      <w:proofErr w:type="gramStart"/>
      <w:r>
        <w:rPr>
          <w:rFonts w:ascii="Times New Roman" w:eastAsia="仿宋" w:hAnsi="Times New Roman" w:cs="Times New Roman"/>
          <w:sz w:val="32"/>
          <w:szCs w:val="32"/>
        </w:rPr>
        <w:t>频次未</w:t>
      </w:r>
      <w:proofErr w:type="gramEnd"/>
      <w:r>
        <w:rPr>
          <w:rFonts w:ascii="Times New Roman" w:eastAsia="仿宋" w:hAnsi="Times New Roman" w:cs="Times New Roman"/>
          <w:sz w:val="32"/>
          <w:szCs w:val="32"/>
        </w:rPr>
        <w:t>低于相关规定</w:t>
      </w:r>
      <w:proofErr w:type="gramStart"/>
      <w:r>
        <w:rPr>
          <w:rFonts w:ascii="Times New Roman" w:eastAsia="仿宋" w:hAnsi="Times New Roman" w:cs="Times New Roman"/>
          <w:sz w:val="32"/>
          <w:szCs w:val="32"/>
        </w:rPr>
        <w:t>怠</w:t>
      </w:r>
      <w:proofErr w:type="gramEnd"/>
      <w:r>
        <w:rPr>
          <w:rFonts w:ascii="Times New Roman" w:eastAsia="仿宋" w:hAnsi="Times New Roman" w:cs="Times New Roman"/>
          <w:sz w:val="32"/>
          <w:szCs w:val="32"/>
        </w:rPr>
        <w:t>于履行信息披露义务；</w:t>
      </w:r>
      <w:r>
        <w:rPr>
          <w:rFonts w:ascii="Times New Roman" w:eastAsia="仿宋" w:hAnsi="Times New Roman" w:cs="Times New Roman" w:hint="eastAsia"/>
          <w:sz w:val="32"/>
          <w:szCs w:val="32"/>
        </w:rPr>
        <w:t>基础层、创新层采取做市交易方式的股票，做市商不足</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家被</w:t>
      </w:r>
      <w:r>
        <w:rPr>
          <w:rFonts w:ascii="Times New Roman" w:eastAsia="仿宋" w:hAnsi="Times New Roman" w:cs="Times New Roman"/>
          <w:sz w:val="32"/>
          <w:szCs w:val="32"/>
        </w:rPr>
        <w:t>全国股转公司实施停牌的，</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期间，</w:t>
      </w:r>
      <w:r>
        <w:rPr>
          <w:rFonts w:ascii="Times New Roman" w:eastAsia="仿宋" w:hAnsi="Times New Roman" w:cs="Times New Roman" w:hint="eastAsia"/>
          <w:sz w:val="32"/>
          <w:szCs w:val="32"/>
        </w:rPr>
        <w:t>挂牌公司应当每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个交易日发布一次提示性公告。</w:t>
      </w:r>
      <w:r>
        <w:rPr>
          <w:rFonts w:ascii="Times New Roman" w:eastAsia="仿宋" w:hAnsi="Times New Roman" w:cs="Times New Roman"/>
          <w:sz w:val="32"/>
          <w:szCs w:val="32"/>
        </w:rPr>
        <w:t>因其他情形停牌的，应当在相关事项取得重要进展</w:t>
      </w:r>
      <w:r>
        <w:rPr>
          <w:rFonts w:ascii="Times New Roman" w:eastAsia="仿宋" w:hAnsi="Times New Roman" w:cs="Times New Roman"/>
          <w:sz w:val="32"/>
          <w:szCs w:val="32"/>
        </w:rPr>
        <w:lastRenderedPageBreak/>
        <w:t>或者发生重大变化时披露停牌进展公告。</w:t>
      </w:r>
    </w:p>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停牌情况</w:t>
      </w:r>
      <w:r>
        <w:rPr>
          <w:rFonts w:ascii="Times New Roman" w:eastAsia="黑体" w:hAnsi="Times New Roman" w:cs="Times New Roman"/>
          <w:sz w:val="32"/>
          <w:szCs w:val="32"/>
        </w:rPr>
        <w:t>概述</w:t>
      </w:r>
    </w:p>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说明公司</w:t>
      </w:r>
      <w:r>
        <w:rPr>
          <w:rFonts w:ascii="Times New Roman" w:eastAsia="仿宋" w:hAnsi="Times New Roman" w:cs="Times New Roman"/>
          <w:sz w:val="32"/>
          <w:szCs w:val="32"/>
        </w:rPr>
        <w:t>股票当前的</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事项类别或强制停牌事项类别、停牌</w:t>
      </w:r>
      <w:r>
        <w:rPr>
          <w:rFonts w:ascii="Times New Roman" w:eastAsia="仿宋" w:hAnsi="Times New Roman" w:cs="Times New Roman"/>
          <w:sz w:val="32"/>
          <w:szCs w:val="32"/>
        </w:rPr>
        <w:t>事项具体内容</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起始日期</w:t>
      </w:r>
      <w:r>
        <w:rPr>
          <w:rFonts w:ascii="Times New Roman" w:eastAsia="仿宋" w:hAnsi="Times New Roman" w:cs="Times New Roman" w:hint="eastAsia"/>
          <w:sz w:val="32"/>
          <w:szCs w:val="32"/>
        </w:rPr>
        <w:t>等，事项</w:t>
      </w:r>
      <w:r>
        <w:rPr>
          <w:rFonts w:ascii="Times New Roman" w:eastAsia="仿宋" w:hAnsi="Times New Roman" w:cs="Times New Roman"/>
          <w:sz w:val="32"/>
          <w:szCs w:val="32"/>
        </w:rPr>
        <w:t>内容</w:t>
      </w:r>
      <w:r>
        <w:rPr>
          <w:rFonts w:ascii="Times New Roman" w:eastAsia="仿宋" w:hAnsi="Times New Roman" w:cs="Times New Roman" w:hint="eastAsia"/>
          <w:sz w:val="32"/>
          <w:szCs w:val="32"/>
        </w:rPr>
        <w:t>须与停牌公告或强制停牌公告内容一致。</w:t>
      </w:r>
    </w:p>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进展</w:t>
      </w:r>
    </w:p>
    <w:p w:rsidR="00BA7019" w:rsidRDefault="00BA7019">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说明停牌事项的进展。</w:t>
      </w:r>
      <w:r>
        <w:rPr>
          <w:rFonts w:ascii="Times New Roman" w:eastAsia="仿宋" w:hAnsi="Times New Roman" w:cs="Times New Roman"/>
          <w:sz w:val="32"/>
          <w:szCs w:val="32"/>
        </w:rPr>
        <w:t>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w:t>
      </w:r>
      <w:r>
        <w:rPr>
          <w:rFonts w:ascii="Times New Roman" w:eastAsia="仿宋" w:hAnsi="Times New Roman" w:cs="Times New Roman"/>
          <w:sz w:val="32"/>
          <w:szCs w:val="32"/>
        </w:rPr>
        <w:t>停牌进展情况，</w:t>
      </w: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拟复牌</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拟继续停牌</w:t>
      </w:r>
      <w:r>
        <w:rPr>
          <w:rFonts w:ascii="Times New Roman" w:eastAsia="仿宋" w:hAnsi="Times New Roman" w:cs="Times New Roman" w:hint="eastAsia"/>
          <w:sz w:val="32"/>
          <w:szCs w:val="32"/>
        </w:rPr>
        <w:t>及</w:t>
      </w:r>
      <w:r>
        <w:rPr>
          <w:rFonts w:ascii="Times New Roman" w:eastAsia="仿宋" w:hAnsi="Times New Roman" w:cs="Times New Roman"/>
          <w:sz w:val="32"/>
          <w:szCs w:val="32"/>
        </w:rPr>
        <w:t>后续安排</w:t>
      </w:r>
      <w:r>
        <w:rPr>
          <w:rFonts w:ascii="Times New Roman" w:eastAsia="仿宋" w:hAnsi="Times New Roman" w:cs="Times New Roman" w:hint="eastAsia"/>
          <w:sz w:val="32"/>
          <w:szCs w:val="32"/>
        </w:rPr>
        <w:t>。</w:t>
      </w:r>
    </w:p>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、备查文件目录</w:t>
      </w:r>
    </w:p>
    <w:p w:rsidR="00BA7019" w:rsidRDefault="00BA7019" w:rsidP="00BA7019">
      <w:pPr>
        <w:pStyle w:val="a3"/>
        <w:numPr>
          <w:ilvl w:val="0"/>
          <w:numId w:val="1"/>
        </w:numPr>
        <w:adjustRightInd w:val="0"/>
        <w:snapToGrid w:val="0"/>
        <w:spacing w:line="600" w:lineRule="exact"/>
        <w:ind w:firstLineChars="0"/>
        <w:rPr>
          <w:rFonts w:asciiTheme="minorHAnsi" w:eastAsia="仿宋" w:hAnsiTheme="minorHAnsi" w:cstheme="minorBidi"/>
          <w:sz w:val="32"/>
          <w:szCs w:val="32"/>
        </w:rPr>
      </w:pPr>
      <w:r>
        <w:rPr>
          <w:rFonts w:eastAsia="仿宋" w:hint="eastAsia"/>
          <w:sz w:val="32"/>
          <w:szCs w:val="32"/>
        </w:rPr>
        <w:t>其他文件（如有）。</w:t>
      </w:r>
    </w:p>
    <w:p w:rsidR="00BA7019" w:rsidRDefault="00BA7019">
      <w:pPr>
        <w:adjustRightInd w:val="0"/>
        <w:snapToGrid w:val="0"/>
        <w:spacing w:line="560" w:lineRule="exact"/>
        <w:ind w:left="567"/>
        <w:rPr>
          <w:rFonts w:ascii="Times New Roman" w:eastAsia="仿宋" w:hAnsi="Times New Roman" w:cs="Times New Roman"/>
          <w:sz w:val="32"/>
          <w:szCs w:val="32"/>
        </w:rPr>
      </w:pPr>
    </w:p>
    <w:p w:rsidR="00BA7019" w:rsidRDefault="00BA7019">
      <w:pPr>
        <w:spacing w:line="560" w:lineRule="exact"/>
        <w:ind w:firstLineChars="200" w:firstLine="640"/>
        <w:rPr>
          <w:rFonts w:ascii="Times New Roman" w:eastAsia="仿宋" w:hAnsi="Times New Roman" w:cs="Times New Roman"/>
          <w:sz w:val="32"/>
          <w:szCs w:val="32"/>
        </w:rPr>
      </w:pPr>
    </w:p>
    <w:p w:rsidR="00BA7019" w:rsidRDefault="00BA7019">
      <w:pPr>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XXXX</w:t>
      </w:r>
      <w:r>
        <w:rPr>
          <w:rFonts w:ascii="Times New Roman" w:eastAsia="仿宋" w:hAnsi="Times New Roman" w:cs="Times New Roman"/>
          <w:sz w:val="32"/>
          <w:szCs w:val="32"/>
        </w:rPr>
        <w:t>公司董事会</w:t>
      </w:r>
    </w:p>
    <w:p w:rsidR="00BA7019" w:rsidRDefault="00BA7019">
      <w:pPr>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XXXX</w:t>
      </w:r>
      <w:r>
        <w:rPr>
          <w:rFonts w:ascii="Times New Roman" w:eastAsia="仿宋" w:hAnsi="Times New Roman" w:cs="Times New Roman"/>
          <w:sz w:val="32"/>
          <w:szCs w:val="32"/>
        </w:rPr>
        <w:t>年</w:t>
      </w:r>
      <w:r>
        <w:rPr>
          <w:rFonts w:ascii="Times New Roman" w:eastAsia="仿宋" w:hAnsi="Times New Roman" w:cs="Times New Roman"/>
          <w:sz w:val="32"/>
          <w:szCs w:val="32"/>
        </w:rPr>
        <w:t>XX</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p w:rsidR="00BA7019" w:rsidRDefault="00BA7019">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BA7019" w:rsidRDefault="00BA7019">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rsidR="00BA7019" w:rsidRDefault="00BA7019">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rsidR="00BA7019" w:rsidRDefault="00BA7019">
      <w:pPr>
        <w:widowControl/>
        <w:rPr>
          <w:rFonts w:ascii="Times New Roman" w:hAnsi="Times New Roman" w:cs="Times New Roman"/>
          <w:color w:val="000000"/>
          <w:kern w:val="0"/>
          <w:szCs w:val="21"/>
        </w:rPr>
      </w:pPr>
    </w:p>
    <w:p w:rsidR="00BA7019" w:rsidRDefault="00BA7019">
      <w:pPr>
        <w:snapToGrid w:val="0"/>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股票停牌进展</w:t>
      </w:r>
      <w:r>
        <w:rPr>
          <w:rFonts w:ascii="Times New Roman" w:eastAsia="方正大标宋简体" w:hAnsi="Times New Roman" w:cs="Times New Roman"/>
          <w:sz w:val="44"/>
          <w:szCs w:val="44"/>
        </w:rPr>
        <w:t>公告</w:t>
      </w:r>
    </w:p>
    <w:p w:rsidR="00BA7019" w:rsidRDefault="00BA7019">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shd w:val="clear" w:color="auto" w:fill="auto"/>
          </w:tcPr>
          <w:p w:rsidR="00BA7019" w:rsidRDefault="00BA7019">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rsidR="00BA7019" w:rsidRDefault="00BA7019">
            <w:pPr>
              <w:spacing w:line="560" w:lineRule="exact"/>
              <w:ind w:firstLineChars="200" w:firstLine="480"/>
              <w:rPr>
                <w:rFonts w:ascii="Times New Roman" w:hAnsi="Times New Roman" w:cs="Times New Roman"/>
              </w:rPr>
            </w:pPr>
            <w:r>
              <w:rPr>
                <w:rFonts w:ascii="Times New Roman" w:eastAsia="仿宋" w:hAnsi="Times New Roman" w:cs="Times New Roman"/>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color w:val="FF0000"/>
                <w:sz w:val="24"/>
              </w:rPr>
              <w:t>（如适用）。</w:t>
            </w:r>
          </w:p>
        </w:tc>
      </w:tr>
    </w:tbl>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停牌情况</w:t>
      </w:r>
      <w:r>
        <w:rPr>
          <w:rFonts w:ascii="Times New Roman" w:eastAsia="黑体" w:hAnsi="Times New Roman" w:cs="Times New Roman"/>
          <w:sz w:val="32"/>
          <w:szCs w:val="32"/>
        </w:rPr>
        <w:t>概述</w:t>
      </w:r>
    </w:p>
    <w:p w:rsidR="00BA7019" w:rsidRDefault="00BA7019">
      <w:pPr>
        <w:adjustRightInd w:val="0"/>
        <w:snapToGrid w:val="0"/>
        <w:spacing w:line="600" w:lineRule="exact"/>
        <w:ind w:firstLineChars="200" w:firstLine="640"/>
        <w:rPr>
          <w:rFonts w:ascii="仿宋" w:eastAsia="仿宋" w:hAnsi="仿宋" w:cs="仿宋"/>
          <w:color w:val="FF0000"/>
          <w:sz w:val="32"/>
          <w:szCs w:val="32"/>
        </w:rPr>
      </w:pPr>
      <w:r>
        <w:rPr>
          <w:rFonts w:ascii="Times New Roman" w:eastAsia="仿宋" w:hAnsi="Times New Roman" w:cs="Times New Roman" w:hint="eastAsia"/>
          <w:sz w:val="32"/>
          <w:szCs w:val="32"/>
        </w:rPr>
        <w:t>当前</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rsidR="00BA7019" w:rsidRDefault="00BA7019">
      <w:pPr>
        <w:adjustRightInd w:val="0"/>
        <w:snapToGrid w:val="0"/>
        <w:spacing w:line="600" w:lineRule="exact"/>
        <w:ind w:firstLineChars="200" w:firstLine="640"/>
        <w:rPr>
          <w:rFonts w:ascii="仿宋" w:eastAsia="仿宋" w:hAnsi="仿宋" w:cs="仿宋"/>
          <w:color w:val="FF0000"/>
          <w:sz w:val="32"/>
          <w:szCs w:val="32"/>
        </w:rPr>
      </w:pPr>
      <w:r>
        <w:rPr>
          <w:rFonts w:eastAsia="仿宋" w:hint="eastAsia"/>
          <w:sz w:val="32"/>
          <w:szCs w:val="32"/>
        </w:rPr>
        <w:t>存在强制停牌事项，</w:t>
      </w: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w:t>
      </w:r>
      <w:r>
        <w:rPr>
          <w:rFonts w:ascii="Times New Roman" w:eastAsia="仿宋" w:hAnsi="Times New Roman" w:cs="Times New Roman" w:hint="eastAsia"/>
          <w:color w:val="000000" w:themeColor="text1"/>
          <w:sz w:val="32"/>
          <w:szCs w:val="32"/>
        </w:rPr>
        <w:t>的具</w:t>
      </w:r>
      <w:r w:rsidRPr="00EE0AA5">
        <w:rPr>
          <w:rFonts w:ascii="Times New Roman" w:eastAsia="仿宋" w:hAnsi="Times New Roman" w:cs="Times New Roman" w:hint="eastAsia"/>
          <w:color w:val="000000" w:themeColor="text1"/>
          <w:sz w:val="32"/>
          <w:szCs w:val="32"/>
        </w:rPr>
        <w:t>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rsidR="00BA7019" w:rsidRDefault="00BA7019">
      <w:pPr>
        <w:adjustRightInd w:val="0"/>
        <w:snapToGrid w:val="0"/>
        <w:spacing w:line="60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sz w:val="32"/>
          <w:szCs w:val="32"/>
        </w:rPr>
        <w:t>因</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相关信息披露义务人）（存在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筹划）</w:t>
      </w:r>
      <w:r>
        <w:rPr>
          <w:rFonts w:ascii="Times New Roman" w:eastAsia="仿宋" w:hAnsi="Times New Roman" w:cs="Times New Roman" w:hint="eastAsia"/>
          <w:sz w:val="32"/>
          <w:szCs w:val="32"/>
        </w:rPr>
        <w:t>上述事项，根据《全国中小企业股份转让系统挂牌公司股票停复牌业务实施细则》等相关规定，</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进展</w:t>
      </w:r>
    </w:p>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w:t>
            </w:r>
            <w:r>
              <w:rPr>
                <w:rFonts w:ascii="Times New Roman" w:eastAsia="仿宋" w:hAnsi="Times New Roman" w:cs="Times New Roman"/>
                <w:sz w:val="32"/>
                <w:szCs w:val="32"/>
              </w:rPr>
              <w:t>牌公司股票因重大事项停牌的，应当每</w:t>
            </w:r>
            <w:r>
              <w:rPr>
                <w:rFonts w:ascii="Times New Roman" w:eastAsia="仿宋" w:hAnsi="Times New Roman" w:cs="Times New Roman"/>
                <w:sz w:val="32"/>
                <w:szCs w:val="32"/>
              </w:rPr>
              <w:t>5</w:t>
            </w:r>
            <w:r>
              <w:rPr>
                <w:rFonts w:ascii="Times New Roman" w:eastAsia="仿宋" w:hAnsi="Times New Roman" w:cs="Times New Roman"/>
                <w:sz w:val="32"/>
                <w:szCs w:val="32"/>
              </w:rPr>
              <w:t>个交易日披露一次停牌进展公告，相关事项取得重要进展或发生重大变化的，应当及时披露，不得以披露</w:t>
            </w:r>
            <w:proofErr w:type="gramStart"/>
            <w:r>
              <w:rPr>
                <w:rFonts w:ascii="Times New Roman" w:eastAsia="仿宋" w:hAnsi="Times New Roman" w:cs="Times New Roman"/>
                <w:sz w:val="32"/>
                <w:szCs w:val="32"/>
              </w:rPr>
              <w:t>频次未</w:t>
            </w:r>
            <w:proofErr w:type="gramEnd"/>
            <w:r>
              <w:rPr>
                <w:rFonts w:ascii="Times New Roman" w:eastAsia="仿宋" w:hAnsi="Times New Roman" w:cs="Times New Roman"/>
                <w:sz w:val="32"/>
                <w:szCs w:val="32"/>
              </w:rPr>
              <w:t>低于相关规定</w:t>
            </w:r>
            <w:proofErr w:type="gramStart"/>
            <w:r>
              <w:rPr>
                <w:rFonts w:ascii="Times New Roman" w:eastAsia="仿宋" w:hAnsi="Times New Roman" w:cs="Times New Roman"/>
                <w:sz w:val="32"/>
                <w:szCs w:val="32"/>
              </w:rPr>
              <w:t>怠</w:t>
            </w:r>
            <w:proofErr w:type="gramEnd"/>
            <w:r>
              <w:rPr>
                <w:rFonts w:ascii="Times New Roman" w:eastAsia="仿宋" w:hAnsi="Times New Roman" w:cs="Times New Roman"/>
                <w:sz w:val="32"/>
                <w:szCs w:val="32"/>
              </w:rPr>
              <w:t>于履行信息披露义务</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因持续经营能力</w:t>
            </w:r>
            <w:r>
              <w:rPr>
                <w:rFonts w:ascii="Times New Roman" w:eastAsia="仿宋" w:hAnsi="Times New Roman" w:cs="Times New Roman"/>
                <w:sz w:val="32"/>
                <w:szCs w:val="32"/>
              </w:rPr>
              <w:t>存在重大不确定性申请股票</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，应当至少披露对</w:t>
            </w:r>
            <w:r>
              <w:rPr>
                <w:rFonts w:ascii="Times New Roman" w:eastAsia="仿宋" w:hAnsi="Times New Roman" w:cs="Times New Roman"/>
                <w:sz w:val="32"/>
                <w:szCs w:val="32"/>
              </w:rPr>
              <w:t>公司持续</w:t>
            </w:r>
            <w:r>
              <w:rPr>
                <w:rFonts w:ascii="Times New Roman" w:eastAsia="仿宋" w:hAnsi="Times New Roman" w:cs="Times New Roman" w:hint="eastAsia"/>
                <w:sz w:val="32"/>
                <w:szCs w:val="32"/>
              </w:rPr>
              <w:t>经营</w:t>
            </w:r>
            <w:r>
              <w:rPr>
                <w:rFonts w:ascii="Times New Roman" w:eastAsia="仿宋" w:hAnsi="Times New Roman" w:cs="Times New Roman"/>
                <w:sz w:val="32"/>
                <w:szCs w:val="32"/>
              </w:rPr>
              <w:t>能力</w:t>
            </w:r>
            <w:r>
              <w:rPr>
                <w:rFonts w:ascii="Times New Roman" w:eastAsia="仿宋" w:hAnsi="Times New Roman" w:cs="Times New Roman" w:hint="eastAsia"/>
                <w:sz w:val="32"/>
                <w:szCs w:val="32"/>
              </w:rPr>
              <w:t>产生</w:t>
            </w:r>
            <w:r>
              <w:rPr>
                <w:rFonts w:ascii="Times New Roman" w:eastAsia="仿宋" w:hAnsi="Times New Roman" w:cs="Times New Roman"/>
                <w:sz w:val="32"/>
                <w:szCs w:val="32"/>
              </w:rPr>
              <w:t>影响的重大不确定事项的具体内容、</w:t>
            </w:r>
            <w:r>
              <w:rPr>
                <w:rFonts w:ascii="Times New Roman" w:eastAsia="仿宋" w:hAnsi="Times New Roman" w:cs="Times New Roman" w:hint="eastAsia"/>
                <w:sz w:val="32"/>
                <w:szCs w:val="32"/>
              </w:rPr>
              <w:t>公司目前生产经营状况、相关</w:t>
            </w:r>
            <w:r>
              <w:rPr>
                <w:rFonts w:ascii="Times New Roman" w:eastAsia="仿宋" w:hAnsi="Times New Roman" w:cs="Times New Roman"/>
                <w:sz w:val="32"/>
                <w:szCs w:val="32"/>
              </w:rPr>
              <w:t>风险揭示</w:t>
            </w:r>
            <w:r>
              <w:rPr>
                <w:rFonts w:ascii="Times New Roman" w:eastAsia="仿宋" w:hAnsi="Times New Roman" w:cs="Times New Roman" w:hint="eastAsia"/>
                <w:sz w:val="32"/>
                <w:szCs w:val="32"/>
              </w:rPr>
              <w:t>、</w:t>
            </w:r>
            <w:r>
              <w:rPr>
                <w:rFonts w:ascii="Times New Roman" w:eastAsia="仿宋" w:hAnsi="Times New Roman" w:cs="Times New Roman"/>
                <w:sz w:val="32"/>
                <w:szCs w:val="32"/>
              </w:rPr>
              <w:t>拟采取</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已采取的应对措施</w:t>
            </w:r>
            <w:r>
              <w:rPr>
                <w:rFonts w:ascii="Times New Roman" w:eastAsia="仿宋" w:hAnsi="Times New Roman" w:cs="Times New Roman" w:hint="eastAsia"/>
                <w:sz w:val="32"/>
                <w:szCs w:val="32"/>
              </w:rPr>
              <w:t>等；</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因出现重大风险事件申请股票停牌的，应当至少披露</w:t>
            </w:r>
            <w:r>
              <w:rPr>
                <w:rFonts w:ascii="Times New Roman" w:eastAsia="仿宋" w:hAnsi="Times New Roman" w:cs="Times New Roman" w:hint="eastAsia"/>
                <w:sz w:val="32"/>
                <w:szCs w:val="32"/>
              </w:rPr>
              <w:lastRenderedPageBreak/>
              <w:t>重大风险事件</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具体内容、相关风险揭示、公司拟采取或已采取措施以及当前事件进展情况；</w:t>
            </w:r>
          </w:p>
          <w:p w:rsidR="00BA7019" w:rsidRDefault="00BA7019">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因筹划</w:t>
            </w:r>
            <w:r>
              <w:rPr>
                <w:rFonts w:ascii="Times New Roman" w:eastAsia="仿宋" w:hAnsi="Times New Roman" w:cs="Times New Roman"/>
                <w:sz w:val="32"/>
                <w:szCs w:val="32"/>
              </w:rPr>
              <w:t>控制权变</w:t>
            </w:r>
            <w:proofErr w:type="gramStart"/>
            <w:r>
              <w:rPr>
                <w:rFonts w:ascii="Times New Roman" w:eastAsia="仿宋" w:hAnsi="Times New Roman" w:cs="Times New Roman"/>
                <w:sz w:val="32"/>
                <w:szCs w:val="32"/>
              </w:rPr>
              <w:t>动</w:t>
            </w:r>
            <w:r>
              <w:rPr>
                <w:rFonts w:ascii="Times New Roman" w:eastAsia="仿宋" w:hAnsi="Times New Roman" w:cs="Times New Roman" w:hint="eastAsia"/>
                <w:sz w:val="32"/>
                <w:szCs w:val="32"/>
              </w:rPr>
              <w:t>申请</w:t>
            </w:r>
            <w:proofErr w:type="gramEnd"/>
            <w:r>
              <w:rPr>
                <w:rFonts w:ascii="Times New Roman" w:eastAsia="仿宋" w:hAnsi="Times New Roman" w:cs="Times New Roman" w:hint="eastAsia"/>
                <w:sz w:val="32"/>
                <w:szCs w:val="32"/>
              </w:rPr>
              <w:t>股票停牌的，应当至少</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主要</w:t>
            </w:r>
            <w:r>
              <w:rPr>
                <w:rFonts w:ascii="Times New Roman" w:eastAsia="仿宋" w:hAnsi="Times New Roman" w:cs="Times New Roman"/>
                <w:sz w:val="32"/>
                <w:szCs w:val="32"/>
              </w:rPr>
              <w:t>筹划方名称、</w:t>
            </w:r>
            <w:r>
              <w:rPr>
                <w:rFonts w:ascii="Times New Roman" w:eastAsia="仿宋" w:hAnsi="Times New Roman" w:cs="Times New Roman" w:hint="eastAsia"/>
                <w:sz w:val="32"/>
                <w:szCs w:val="32"/>
              </w:rPr>
              <w:t>收购人名称</w:t>
            </w:r>
            <w:r>
              <w:rPr>
                <w:rFonts w:ascii="Times New Roman" w:eastAsia="仿宋" w:hAnsi="Times New Roman" w:cs="Times New Roman"/>
                <w:sz w:val="32"/>
                <w:szCs w:val="32"/>
              </w:rPr>
              <w:t>、</w:t>
            </w:r>
            <w:r>
              <w:rPr>
                <w:rFonts w:ascii="Times New Roman" w:eastAsia="仿宋" w:hAnsi="Times New Roman" w:cs="Times New Roman" w:hint="eastAsia"/>
                <w:sz w:val="32"/>
                <w:szCs w:val="32"/>
              </w:rPr>
              <w:t>相关</w:t>
            </w:r>
            <w:r>
              <w:rPr>
                <w:rFonts w:ascii="Times New Roman" w:eastAsia="仿宋" w:hAnsi="Times New Roman" w:cs="Times New Roman"/>
                <w:sz w:val="32"/>
                <w:szCs w:val="32"/>
              </w:rPr>
              <w:t>协议签署情况、</w:t>
            </w:r>
            <w:r>
              <w:rPr>
                <w:rFonts w:ascii="Times New Roman" w:eastAsia="仿宋" w:hAnsi="Times New Roman" w:cs="Times New Roman" w:hint="eastAsia"/>
                <w:sz w:val="32"/>
                <w:szCs w:val="32"/>
              </w:rPr>
              <w:t>拟采取</w:t>
            </w:r>
            <w:r>
              <w:rPr>
                <w:rFonts w:ascii="Times New Roman" w:eastAsia="仿宋" w:hAnsi="Times New Roman" w:cs="Times New Roman"/>
                <w:sz w:val="32"/>
                <w:szCs w:val="32"/>
              </w:rPr>
              <w:t>的交易方式</w:t>
            </w:r>
            <w:r>
              <w:rPr>
                <w:rFonts w:ascii="Times New Roman" w:eastAsia="仿宋" w:hAnsi="Times New Roman" w:cs="Times New Roman" w:hint="eastAsia"/>
                <w:sz w:val="32"/>
                <w:szCs w:val="32"/>
              </w:rPr>
              <w:t>等。</w:t>
            </w:r>
          </w:p>
          <w:p w:rsidR="00BA7019" w:rsidRDefault="00BA7019">
            <w:pPr>
              <w:numPr>
                <w:ilvl w:val="255"/>
                <w:numId w:val="0"/>
              </w:numPr>
              <w:adjustRightInd w:val="0"/>
              <w:snapToGrid w:val="0"/>
              <w:spacing w:line="600" w:lineRule="exact"/>
              <w:ind w:firstLineChars="200" w:firstLine="640"/>
              <w:rPr>
                <w:rFonts w:ascii="仿宋" w:eastAsia="仿宋" w:hAnsi="仿宋" w:cs="Times New Roman"/>
                <w:color w:val="000000" w:themeColor="text1"/>
                <w:kern w:val="0"/>
                <w:sz w:val="32"/>
                <w:szCs w:val="32"/>
              </w:rPr>
            </w:pPr>
            <w:r>
              <w:rPr>
                <w:rFonts w:ascii="Times New Roman" w:eastAsia="仿宋" w:hAnsi="Times New Roman" w:cs="Times New Roman" w:hint="eastAsia"/>
                <w:sz w:val="32"/>
                <w:szCs w:val="32"/>
              </w:rPr>
              <w:t>因涉及要约收购申请股票停牌的，应当披露要约</w:t>
            </w:r>
            <w:r>
              <w:rPr>
                <w:rFonts w:ascii="Times New Roman" w:eastAsia="仿宋" w:hAnsi="Times New Roman" w:cs="Times New Roman"/>
                <w:sz w:val="32"/>
                <w:szCs w:val="32"/>
              </w:rPr>
              <w:t>收购</w:t>
            </w:r>
            <w:r>
              <w:rPr>
                <w:rFonts w:ascii="仿宋" w:eastAsia="仿宋" w:hAnsi="仿宋" w:cs="Times New Roman" w:hint="eastAsia"/>
                <w:color w:val="000000" w:themeColor="text1"/>
                <w:kern w:val="0"/>
                <w:sz w:val="32"/>
                <w:szCs w:val="32"/>
              </w:rPr>
              <w:t>结果公告</w:t>
            </w:r>
            <w:r>
              <w:rPr>
                <w:rFonts w:ascii="仿宋" w:eastAsia="仿宋" w:hAnsi="仿宋" w:cs="Times New Roman"/>
                <w:color w:val="000000" w:themeColor="text1"/>
                <w:kern w:val="0"/>
                <w:sz w:val="32"/>
                <w:szCs w:val="32"/>
              </w:rPr>
              <w:t>的</w:t>
            </w:r>
            <w:r>
              <w:rPr>
                <w:rFonts w:ascii="仿宋" w:eastAsia="仿宋" w:hAnsi="仿宋" w:cs="Times New Roman" w:hint="eastAsia"/>
                <w:color w:val="000000" w:themeColor="text1"/>
                <w:kern w:val="0"/>
                <w:sz w:val="32"/>
                <w:szCs w:val="32"/>
              </w:rPr>
              <w:t>披露</w:t>
            </w:r>
            <w:r>
              <w:rPr>
                <w:rFonts w:ascii="仿宋" w:eastAsia="仿宋" w:hAnsi="仿宋" w:cs="Times New Roman"/>
                <w:color w:val="000000" w:themeColor="text1"/>
                <w:kern w:val="0"/>
                <w:sz w:val="32"/>
                <w:szCs w:val="32"/>
              </w:rPr>
              <w:t>情况。</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（重大资产重组适用）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rPr>
          <w:trHeight w:val="1833"/>
        </w:trPr>
        <w:tc>
          <w:tcPr>
            <w:tcW w:w="8296" w:type="dxa"/>
            <w:tcBorders>
              <w:top w:val="single" w:sz="4" w:space="0" w:color="auto"/>
              <w:left w:val="single" w:sz="4" w:space="0" w:color="auto"/>
              <w:bottom w:val="single" w:sz="4" w:space="0" w:color="auto"/>
              <w:right w:val="single" w:sz="4" w:space="0" w:color="auto"/>
            </w:tcBorders>
          </w:tcPr>
          <w:p w:rsidR="00BA7019" w:rsidRDefault="00BA7019" w:rsidP="006E24F1">
            <w:pPr>
              <w:ind w:firstLineChars="200" w:firstLine="640"/>
              <w:rPr>
                <w:rFonts w:ascii="Times New Roman" w:eastAsia="仿宋" w:hAnsi="Times New Roman" w:cs="Times New Roman"/>
                <w:sz w:val="32"/>
                <w:szCs w:val="30"/>
              </w:rPr>
            </w:pPr>
            <w:r>
              <w:rPr>
                <w:rFonts w:ascii="Times New Roman" w:eastAsia="仿宋" w:hAnsi="Times New Roman" w:cs="Times New Roman" w:hint="eastAsia"/>
                <w:sz w:val="32"/>
                <w:szCs w:val="30"/>
              </w:rPr>
              <w:t>挂牌公司因重大资产重组股票停牌后，应当每</w:t>
            </w:r>
            <w:r>
              <w:rPr>
                <w:rFonts w:ascii="Times New Roman" w:eastAsia="仿宋" w:hAnsi="Times New Roman" w:cs="Times New Roman" w:hint="eastAsia"/>
                <w:sz w:val="32"/>
                <w:szCs w:val="30"/>
              </w:rPr>
              <w:t>5</w:t>
            </w:r>
            <w:r>
              <w:rPr>
                <w:rFonts w:ascii="Times New Roman" w:eastAsia="仿宋" w:hAnsi="Times New Roman" w:cs="Times New Roman" w:hint="eastAsia"/>
                <w:sz w:val="32"/>
                <w:szCs w:val="30"/>
              </w:rPr>
              <w:t>个交易日披露一次重组进展公告。重组事项出现重要进展的，应当在重组进展公告中予以披露。</w:t>
            </w:r>
            <w:r>
              <w:rPr>
                <w:rFonts w:ascii="Times New Roman" w:eastAsia="仿宋" w:hAnsi="Times New Roman" w:cs="Times New Roman"/>
                <w:sz w:val="32"/>
                <w:szCs w:val="30"/>
              </w:rPr>
              <w:t>事项进展</w:t>
            </w:r>
            <w:r>
              <w:rPr>
                <w:rFonts w:ascii="Times New Roman" w:eastAsia="仿宋" w:hAnsi="Times New Roman" w:cs="Times New Roman" w:hint="eastAsia"/>
                <w:sz w:val="32"/>
                <w:szCs w:val="30"/>
              </w:rPr>
              <w:t>情况已</w:t>
            </w:r>
            <w:r>
              <w:rPr>
                <w:rFonts w:ascii="Times New Roman" w:eastAsia="仿宋" w:hAnsi="Times New Roman" w:cs="Times New Roman"/>
                <w:sz w:val="32"/>
                <w:szCs w:val="30"/>
              </w:rPr>
              <w:t>通过其他公告披露的，</w:t>
            </w:r>
            <w:r>
              <w:rPr>
                <w:rFonts w:ascii="Times New Roman" w:eastAsia="仿宋" w:hAnsi="Times New Roman" w:cs="Times New Roman" w:hint="eastAsia"/>
                <w:kern w:val="0"/>
                <w:sz w:val="32"/>
                <w:szCs w:val="30"/>
              </w:rPr>
              <w:t>可以说明披露时间、公告名称并索引公告内容</w:t>
            </w:r>
            <w:r>
              <w:rPr>
                <w:rFonts w:ascii="Times New Roman" w:eastAsia="仿宋" w:hAnsi="Times New Roman" w:cs="Times New Roman" w:hint="eastAsia"/>
                <w:sz w:val="32"/>
                <w:szCs w:val="30"/>
              </w:rPr>
              <w:t>。</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前款所称重要进展，包括但不限于以下情形：</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1</w:t>
            </w:r>
            <w:r>
              <w:rPr>
                <w:rFonts w:eastAsia="仿宋" w:hint="eastAsia"/>
                <w:sz w:val="32"/>
                <w:szCs w:val="30"/>
              </w:rPr>
              <w:t>．各方就交易方案进行磋商的相关情况；</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2</w:t>
            </w:r>
            <w:r>
              <w:rPr>
                <w:rFonts w:eastAsia="仿宋" w:hint="eastAsia"/>
                <w:sz w:val="32"/>
                <w:szCs w:val="30"/>
              </w:rPr>
              <w:t>．公司与交易对方签订重组框架或意向协议，对已签订的重组框架或意向协议</w:t>
            </w:r>
            <w:proofErr w:type="gramStart"/>
            <w:r>
              <w:rPr>
                <w:rFonts w:eastAsia="仿宋" w:hint="eastAsia"/>
                <w:sz w:val="32"/>
                <w:szCs w:val="30"/>
              </w:rPr>
              <w:t>作出</w:t>
            </w:r>
            <w:proofErr w:type="gramEnd"/>
            <w:r>
              <w:rPr>
                <w:rFonts w:eastAsia="仿宋" w:hint="eastAsia"/>
                <w:sz w:val="32"/>
                <w:szCs w:val="30"/>
              </w:rPr>
              <w:t>重大修订或变更；</w:t>
            </w:r>
            <w:r>
              <w:rPr>
                <w:rFonts w:eastAsia="仿宋" w:hint="eastAsia"/>
                <w:sz w:val="32"/>
                <w:szCs w:val="30"/>
              </w:rPr>
              <w:t xml:space="preserve"> </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3</w:t>
            </w:r>
            <w:r>
              <w:rPr>
                <w:rFonts w:eastAsia="仿宋" w:hint="eastAsia"/>
                <w:sz w:val="32"/>
                <w:szCs w:val="30"/>
              </w:rPr>
              <w:t>．公司取得有权部门关于重组事项的事前审批意见；</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4</w:t>
            </w:r>
            <w:r>
              <w:rPr>
                <w:rFonts w:eastAsia="仿宋" w:hint="eastAsia"/>
                <w:sz w:val="32"/>
                <w:szCs w:val="30"/>
              </w:rPr>
              <w:t>．公司与聘请的中介机构签订重组服务协议；</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5</w:t>
            </w:r>
            <w:r>
              <w:rPr>
                <w:rFonts w:eastAsia="仿宋" w:hint="eastAsia"/>
                <w:sz w:val="32"/>
                <w:szCs w:val="30"/>
              </w:rPr>
              <w:t>．尽职调查、审计、评估等工作取得阶段性进展；</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6</w:t>
            </w:r>
            <w:r>
              <w:rPr>
                <w:rFonts w:eastAsia="仿宋" w:hint="eastAsia"/>
                <w:sz w:val="32"/>
                <w:szCs w:val="30"/>
              </w:rPr>
              <w:t>．更换财务顾问、审计机构、评估机构等中介机构；</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7</w:t>
            </w:r>
            <w:r>
              <w:rPr>
                <w:rFonts w:eastAsia="仿宋" w:hint="eastAsia"/>
                <w:sz w:val="32"/>
                <w:szCs w:val="30"/>
              </w:rPr>
              <w:t>．已披露重组标的</w:t>
            </w:r>
            <w:proofErr w:type="gramStart"/>
            <w:r>
              <w:rPr>
                <w:rFonts w:eastAsia="仿宋" w:hint="eastAsia"/>
                <w:sz w:val="32"/>
                <w:szCs w:val="30"/>
              </w:rPr>
              <w:t>的</w:t>
            </w:r>
            <w:proofErr w:type="gramEnd"/>
            <w:r>
              <w:rPr>
                <w:rFonts w:eastAsia="仿宋" w:hint="eastAsia"/>
                <w:sz w:val="32"/>
                <w:szCs w:val="30"/>
              </w:rPr>
              <w:t>公司，更换、增加、减少重组标的，公司应当披露拟变更标的</w:t>
            </w:r>
            <w:proofErr w:type="gramStart"/>
            <w:r>
              <w:rPr>
                <w:rFonts w:eastAsia="仿宋" w:hint="eastAsia"/>
                <w:sz w:val="32"/>
                <w:szCs w:val="30"/>
              </w:rPr>
              <w:t>的</w:t>
            </w:r>
            <w:proofErr w:type="gramEnd"/>
            <w:r>
              <w:rPr>
                <w:rFonts w:eastAsia="仿宋" w:hint="eastAsia"/>
                <w:sz w:val="32"/>
                <w:szCs w:val="30"/>
              </w:rPr>
              <w:t>具体情况、变更的原因；</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8</w:t>
            </w:r>
            <w:r>
              <w:rPr>
                <w:rFonts w:eastAsia="仿宋" w:hint="eastAsia"/>
                <w:sz w:val="32"/>
                <w:szCs w:val="30"/>
              </w:rPr>
              <w:t>．因交易双方价格分歧、挂牌公司证券价格波动、税收政策、标的资产</w:t>
            </w:r>
            <w:bookmarkStart w:id="0" w:name="_GoBack"/>
            <w:bookmarkEnd w:id="0"/>
            <w:r>
              <w:rPr>
                <w:rFonts w:eastAsia="仿宋" w:hint="eastAsia"/>
                <w:sz w:val="32"/>
                <w:szCs w:val="30"/>
              </w:rPr>
              <w:t>行业政策发生重大变化等原因，导致重组事项出现终止风险的，公司应当及时提示相关风险并披露后续进展；</w:t>
            </w:r>
          </w:p>
          <w:p w:rsidR="00BA7019" w:rsidRDefault="00BA7019">
            <w:pPr>
              <w:pStyle w:val="a3"/>
              <w:adjustRightInd w:val="0"/>
              <w:snapToGrid w:val="0"/>
              <w:spacing w:line="600" w:lineRule="exact"/>
              <w:ind w:firstLine="640"/>
              <w:rPr>
                <w:rFonts w:eastAsia="仿宋"/>
                <w:sz w:val="32"/>
                <w:szCs w:val="30"/>
              </w:rPr>
            </w:pPr>
            <w:r>
              <w:rPr>
                <w:rFonts w:eastAsia="仿宋" w:hint="eastAsia"/>
                <w:sz w:val="32"/>
                <w:szCs w:val="30"/>
              </w:rPr>
              <w:t>9</w:t>
            </w:r>
            <w:r>
              <w:rPr>
                <w:rFonts w:eastAsia="仿宋" w:hint="eastAsia"/>
                <w:sz w:val="32"/>
                <w:szCs w:val="30"/>
              </w:rPr>
              <w:t>．其他重大进展。</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（向中国证监会或境内证券交易所申请公开发行股票并上市适用）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说明相关事项取得的重大</w:t>
            </w:r>
            <w:r>
              <w:rPr>
                <w:rFonts w:ascii="仿宋" w:eastAsia="仿宋" w:hAnsi="仿宋"/>
                <w:sz w:val="32"/>
                <w:szCs w:val="32"/>
              </w:rPr>
              <w:t>进展</w:t>
            </w:r>
            <w:r>
              <w:rPr>
                <w:rFonts w:ascii="仿宋" w:eastAsia="仿宋" w:hAnsi="仿宋" w:hint="eastAsia"/>
                <w:sz w:val="32"/>
                <w:szCs w:val="32"/>
              </w:rPr>
              <w:t>情况，如</w:t>
            </w:r>
            <w:r>
              <w:rPr>
                <w:rFonts w:ascii="仿宋" w:eastAsia="仿宋" w:hAnsi="仿宋"/>
                <w:sz w:val="32"/>
                <w:szCs w:val="32"/>
              </w:rPr>
              <w:t>进行预披露</w:t>
            </w:r>
            <w:r>
              <w:rPr>
                <w:rFonts w:ascii="仿宋" w:eastAsia="仿宋" w:hAnsi="仿宋" w:hint="eastAsia"/>
                <w:sz w:val="32"/>
                <w:szCs w:val="32"/>
              </w:rPr>
              <w:t>或</w:t>
            </w:r>
            <w:r>
              <w:rPr>
                <w:rFonts w:ascii="仿宋" w:eastAsia="仿宋" w:hAnsi="仿宋"/>
                <w:sz w:val="32"/>
                <w:szCs w:val="32"/>
              </w:rPr>
              <w:t>更新预披露</w:t>
            </w:r>
            <w:r>
              <w:rPr>
                <w:rFonts w:ascii="仿宋" w:eastAsia="仿宋" w:hAnsi="仿宋" w:hint="eastAsia"/>
                <w:sz w:val="32"/>
                <w:szCs w:val="32"/>
              </w:rPr>
              <w:t>、收到证监会</w:t>
            </w:r>
            <w:r>
              <w:rPr>
                <w:rFonts w:ascii="仿宋" w:eastAsia="仿宋" w:hAnsi="仿宋"/>
                <w:sz w:val="32"/>
                <w:szCs w:val="32"/>
              </w:rPr>
              <w:t>反馈意见</w:t>
            </w:r>
            <w:r>
              <w:rPr>
                <w:rFonts w:ascii="仿宋" w:eastAsia="仿宋" w:hAnsi="仿宋" w:hint="eastAsia"/>
                <w:sz w:val="32"/>
                <w:szCs w:val="32"/>
              </w:rPr>
              <w:t>或交易所</w:t>
            </w:r>
            <w:r>
              <w:rPr>
                <w:rFonts w:ascii="仿宋" w:eastAsia="仿宋" w:hAnsi="仿宋"/>
                <w:sz w:val="32"/>
                <w:szCs w:val="32"/>
              </w:rPr>
              <w:t>问询意见</w:t>
            </w:r>
            <w:r>
              <w:rPr>
                <w:rFonts w:ascii="仿宋" w:eastAsia="仿宋" w:hAnsi="仿宋" w:hint="eastAsia"/>
                <w:sz w:val="32"/>
                <w:szCs w:val="32"/>
              </w:rPr>
              <w:t>，中止审查、</w:t>
            </w:r>
            <w:r>
              <w:rPr>
                <w:rFonts w:ascii="仿宋" w:eastAsia="仿宋" w:hAnsi="仿宋"/>
                <w:sz w:val="32"/>
                <w:szCs w:val="32"/>
              </w:rPr>
              <w:t>恢复审查</w:t>
            </w:r>
            <w:r>
              <w:rPr>
                <w:rFonts w:ascii="仿宋" w:eastAsia="仿宋" w:hAnsi="仿宋" w:hint="eastAsia"/>
                <w:sz w:val="32"/>
                <w:szCs w:val="32"/>
              </w:rPr>
              <w:t>或</w:t>
            </w:r>
            <w:r>
              <w:rPr>
                <w:rFonts w:ascii="仿宋" w:eastAsia="仿宋" w:hAnsi="仿宋"/>
                <w:sz w:val="32"/>
                <w:szCs w:val="32"/>
              </w:rPr>
              <w:t>终止审查</w:t>
            </w:r>
            <w:r>
              <w:rPr>
                <w:rFonts w:ascii="仿宋" w:eastAsia="仿宋" w:hAnsi="仿宋" w:hint="eastAsia"/>
                <w:sz w:val="32"/>
                <w:szCs w:val="32"/>
              </w:rPr>
              <w:t>，发审会公布审核结果,交易所上市委审核</w:t>
            </w:r>
            <w:r>
              <w:rPr>
                <w:rFonts w:ascii="仿宋" w:eastAsia="仿宋" w:hAnsi="仿宋"/>
                <w:sz w:val="32"/>
                <w:szCs w:val="32"/>
              </w:rPr>
              <w:t>结果，</w:t>
            </w:r>
            <w:r>
              <w:rPr>
                <w:rFonts w:ascii="仿宋" w:eastAsia="仿宋" w:hAnsi="仿宋" w:hint="eastAsia"/>
                <w:sz w:val="32"/>
                <w:szCs w:val="32"/>
              </w:rPr>
              <w:t>证监会或交易所</w:t>
            </w:r>
            <w:proofErr w:type="gramStart"/>
            <w:r>
              <w:rPr>
                <w:rFonts w:ascii="仿宋" w:eastAsia="仿宋" w:hAnsi="仿宋" w:hint="eastAsia"/>
                <w:sz w:val="32"/>
                <w:szCs w:val="32"/>
              </w:rPr>
              <w:t>作出</w:t>
            </w:r>
            <w:proofErr w:type="gramEnd"/>
            <w:r>
              <w:rPr>
                <w:rFonts w:ascii="仿宋" w:eastAsia="仿宋" w:hAnsi="仿宋" w:hint="eastAsia"/>
                <w:sz w:val="32"/>
                <w:szCs w:val="32"/>
              </w:rPr>
              <w:t>是否</w:t>
            </w:r>
            <w:r>
              <w:rPr>
                <w:rFonts w:ascii="仿宋" w:eastAsia="仿宋" w:hAnsi="仿宋"/>
                <w:sz w:val="32"/>
                <w:szCs w:val="32"/>
              </w:rPr>
              <w:t>予以核准</w:t>
            </w:r>
            <w:r>
              <w:rPr>
                <w:rFonts w:ascii="仿宋" w:eastAsia="仿宋" w:hAnsi="仿宋" w:hint="eastAsia"/>
                <w:sz w:val="32"/>
                <w:szCs w:val="32"/>
              </w:rPr>
              <w:t>、注册或同意</w:t>
            </w:r>
            <w:r>
              <w:rPr>
                <w:rFonts w:ascii="仿宋" w:eastAsia="仿宋" w:hAnsi="仿宋"/>
                <w:sz w:val="32"/>
                <w:szCs w:val="32"/>
              </w:rPr>
              <w:t>上市的决定</w:t>
            </w:r>
            <w:r>
              <w:rPr>
                <w:rFonts w:ascii="仿宋" w:eastAsia="仿宋" w:hAnsi="仿宋" w:hint="eastAsia"/>
                <w:sz w:val="32"/>
                <w:szCs w:val="32"/>
              </w:rPr>
              <w:t>等。</w:t>
            </w:r>
          </w:p>
          <w:p w:rsidR="00BA7019" w:rsidRDefault="00BA7019">
            <w:pPr>
              <w:spacing w:line="560" w:lineRule="exact"/>
              <w:ind w:firstLine="601"/>
              <w:rPr>
                <w:rFonts w:ascii="Times New Roman" w:eastAsia="仿宋" w:hAnsi="Times New Roman" w:cs="Times New Roman"/>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公司应当在相关事项取得重要进展或者发生重大变化时披露停牌进展公告。事项进展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（精选层公司向境内证券交易所直接申请股票上市适用）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说明相关事项取得的重大</w:t>
            </w:r>
            <w:r>
              <w:rPr>
                <w:rFonts w:ascii="仿宋" w:eastAsia="仿宋" w:hAnsi="仿宋"/>
                <w:sz w:val="32"/>
                <w:szCs w:val="32"/>
              </w:rPr>
              <w:t>进展</w:t>
            </w:r>
            <w:r>
              <w:rPr>
                <w:rFonts w:ascii="仿宋" w:eastAsia="仿宋" w:hAnsi="仿宋" w:hint="eastAsia"/>
                <w:sz w:val="32"/>
                <w:szCs w:val="32"/>
              </w:rPr>
              <w:t>情况，如</w:t>
            </w:r>
            <w:r>
              <w:rPr>
                <w:rFonts w:ascii="仿宋" w:eastAsia="仿宋" w:hAnsi="仿宋"/>
                <w:sz w:val="32"/>
                <w:szCs w:val="32"/>
              </w:rPr>
              <w:t>进行预披露</w:t>
            </w:r>
            <w:r>
              <w:rPr>
                <w:rFonts w:ascii="仿宋" w:eastAsia="仿宋" w:hAnsi="仿宋" w:hint="eastAsia"/>
                <w:sz w:val="32"/>
                <w:szCs w:val="32"/>
              </w:rPr>
              <w:t>或</w:t>
            </w:r>
            <w:r>
              <w:rPr>
                <w:rFonts w:ascii="仿宋" w:eastAsia="仿宋" w:hAnsi="仿宋"/>
                <w:sz w:val="32"/>
                <w:szCs w:val="32"/>
              </w:rPr>
              <w:t>更新预披露</w:t>
            </w:r>
            <w:r>
              <w:rPr>
                <w:rFonts w:ascii="仿宋" w:eastAsia="仿宋" w:hAnsi="仿宋" w:hint="eastAsia"/>
                <w:sz w:val="32"/>
                <w:szCs w:val="32"/>
              </w:rPr>
              <w:t>、收到交易所</w:t>
            </w:r>
            <w:r>
              <w:rPr>
                <w:rFonts w:ascii="仿宋" w:eastAsia="仿宋" w:hAnsi="仿宋"/>
                <w:sz w:val="32"/>
                <w:szCs w:val="32"/>
              </w:rPr>
              <w:t>问询意见</w:t>
            </w:r>
            <w:r>
              <w:rPr>
                <w:rFonts w:ascii="仿宋" w:eastAsia="仿宋" w:hAnsi="仿宋" w:hint="eastAsia"/>
                <w:sz w:val="32"/>
                <w:szCs w:val="32"/>
              </w:rPr>
              <w:t>，中止审查、</w:t>
            </w:r>
            <w:r>
              <w:rPr>
                <w:rFonts w:ascii="仿宋" w:eastAsia="仿宋" w:hAnsi="仿宋"/>
                <w:sz w:val="32"/>
                <w:szCs w:val="32"/>
              </w:rPr>
              <w:t>恢复审查</w:t>
            </w:r>
            <w:r>
              <w:rPr>
                <w:rFonts w:ascii="仿宋" w:eastAsia="仿宋" w:hAnsi="仿宋" w:hint="eastAsia"/>
                <w:sz w:val="32"/>
                <w:szCs w:val="32"/>
              </w:rPr>
              <w:t>或</w:t>
            </w:r>
            <w:r>
              <w:rPr>
                <w:rFonts w:ascii="仿宋" w:eastAsia="仿宋" w:hAnsi="仿宋"/>
                <w:sz w:val="32"/>
                <w:szCs w:val="32"/>
              </w:rPr>
              <w:t>终止审查</w:t>
            </w:r>
            <w:r>
              <w:rPr>
                <w:rFonts w:ascii="仿宋" w:eastAsia="仿宋" w:hAnsi="仿宋" w:hint="eastAsia"/>
                <w:sz w:val="32"/>
                <w:szCs w:val="32"/>
              </w:rPr>
              <w:t>，交易所上市委审核</w:t>
            </w:r>
            <w:r>
              <w:rPr>
                <w:rFonts w:ascii="仿宋" w:eastAsia="仿宋" w:hAnsi="仿宋"/>
                <w:sz w:val="32"/>
                <w:szCs w:val="32"/>
              </w:rPr>
              <w:t>结果，</w:t>
            </w:r>
            <w:r>
              <w:rPr>
                <w:rFonts w:ascii="仿宋" w:eastAsia="仿宋" w:hAnsi="仿宋" w:hint="eastAsia"/>
                <w:sz w:val="32"/>
                <w:szCs w:val="32"/>
              </w:rPr>
              <w:t>交易所</w:t>
            </w:r>
            <w:proofErr w:type="gramStart"/>
            <w:r>
              <w:rPr>
                <w:rFonts w:ascii="仿宋" w:eastAsia="仿宋" w:hAnsi="仿宋" w:hint="eastAsia"/>
                <w:sz w:val="32"/>
                <w:szCs w:val="32"/>
              </w:rPr>
              <w:t>作出</w:t>
            </w:r>
            <w:proofErr w:type="gramEnd"/>
            <w:r>
              <w:rPr>
                <w:rFonts w:ascii="仿宋" w:eastAsia="仿宋" w:hAnsi="仿宋" w:hint="eastAsia"/>
                <w:sz w:val="32"/>
                <w:szCs w:val="32"/>
              </w:rPr>
              <w:t>是否同意</w:t>
            </w:r>
            <w:r>
              <w:rPr>
                <w:rFonts w:ascii="仿宋" w:eastAsia="仿宋" w:hAnsi="仿宋"/>
                <w:sz w:val="32"/>
                <w:szCs w:val="32"/>
              </w:rPr>
              <w:t>上市的决定</w:t>
            </w:r>
            <w:r>
              <w:rPr>
                <w:rFonts w:ascii="仿宋" w:eastAsia="仿宋" w:hAnsi="仿宋" w:hint="eastAsia"/>
                <w:sz w:val="32"/>
                <w:szCs w:val="32"/>
              </w:rPr>
              <w:t>等。</w:t>
            </w:r>
          </w:p>
          <w:p w:rsidR="00BA7019" w:rsidRDefault="00BA7019">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公司应当在相关事项取得重要进展或者发生重大变化时披露停牌进展公告。事项进展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（向全国股转公司申请股票公开发行并在精选层挂牌适用）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说明相关事项取得的重大进展情况，如收到全国股转公司审查问询，</w:t>
            </w:r>
            <w:r>
              <w:rPr>
                <w:rFonts w:ascii="仿宋" w:eastAsia="仿宋" w:hAnsi="仿宋"/>
                <w:sz w:val="32"/>
                <w:szCs w:val="32"/>
              </w:rPr>
              <w:t>全国股转公司</w:t>
            </w:r>
            <w:r>
              <w:rPr>
                <w:rFonts w:ascii="仿宋" w:eastAsia="仿宋" w:hAnsi="仿宋" w:hint="eastAsia"/>
                <w:sz w:val="32"/>
                <w:szCs w:val="32"/>
              </w:rPr>
              <w:t>出具自律监管意见、</w:t>
            </w:r>
            <w:proofErr w:type="gramStart"/>
            <w:r>
              <w:rPr>
                <w:rFonts w:ascii="仿宋" w:eastAsia="仿宋" w:hAnsi="仿宋"/>
                <w:sz w:val="32"/>
                <w:szCs w:val="32"/>
              </w:rPr>
              <w:t>作出</w:t>
            </w:r>
            <w:proofErr w:type="gramEnd"/>
            <w:r>
              <w:rPr>
                <w:rFonts w:ascii="仿宋" w:eastAsia="仿宋" w:hAnsi="仿宋" w:hint="eastAsia"/>
                <w:sz w:val="32"/>
                <w:szCs w:val="32"/>
              </w:rPr>
              <w:t>中止自律审查、恢复自律审查或终止自律审查决定，</w:t>
            </w:r>
            <w:r>
              <w:rPr>
                <w:rFonts w:ascii="Times New Roman" w:eastAsia="仿宋" w:hAnsi="Times New Roman" w:hint="eastAsia"/>
                <w:sz w:val="32"/>
                <w:szCs w:val="32"/>
              </w:rPr>
              <w:t>中国证监会</w:t>
            </w:r>
            <w:proofErr w:type="gramStart"/>
            <w:r>
              <w:rPr>
                <w:rFonts w:ascii="Times New Roman" w:eastAsia="仿宋" w:hAnsi="Times New Roman" w:hint="eastAsia"/>
                <w:sz w:val="32"/>
                <w:szCs w:val="32"/>
              </w:rPr>
              <w:t>作出</w:t>
            </w:r>
            <w:proofErr w:type="gramEnd"/>
            <w:r>
              <w:rPr>
                <w:rFonts w:ascii="Times New Roman" w:eastAsia="仿宋" w:hAnsi="Times New Roman" w:hint="eastAsia"/>
                <w:sz w:val="32"/>
                <w:szCs w:val="32"/>
              </w:rPr>
              <w:t>核准、中止审核、终止审核、不予核准决定，向全国股转公司递交发行与承销方案，股票发行结果</w:t>
            </w:r>
            <w:r>
              <w:rPr>
                <w:rFonts w:ascii="仿宋" w:eastAsia="仿宋" w:hAnsi="仿宋" w:hint="eastAsia"/>
                <w:sz w:val="32"/>
                <w:szCs w:val="32"/>
              </w:rPr>
              <w:t>等。</w:t>
            </w:r>
          </w:p>
          <w:p w:rsidR="00BA7019" w:rsidRDefault="00BA7019">
            <w:pPr>
              <w:adjustRightInd w:val="0"/>
              <w:snapToGrid w:val="0"/>
              <w:spacing w:line="600" w:lineRule="exact"/>
              <w:ind w:firstLineChars="200" w:firstLine="640"/>
              <w:rPr>
                <w:rFonts w:eastAsia="仿宋"/>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公司应当在相关事项取得重要进展或者发生重大变化时披露停牌进展公告。事项进展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（向全国股转公司主动申请股票终止挂牌适用）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说明公司股票终止挂牌事宜</w:t>
            </w:r>
            <w:r>
              <w:rPr>
                <w:rFonts w:ascii="仿宋" w:eastAsia="仿宋" w:hAnsi="仿宋"/>
                <w:sz w:val="32"/>
                <w:szCs w:val="32"/>
              </w:rPr>
              <w:t>的</w:t>
            </w:r>
            <w:r>
              <w:rPr>
                <w:rFonts w:ascii="仿宋" w:eastAsia="仿宋" w:hAnsi="仿宋" w:hint="eastAsia"/>
                <w:sz w:val="32"/>
                <w:szCs w:val="32"/>
              </w:rPr>
              <w:t>进展情况，如异议股东保护相关安排与</w:t>
            </w:r>
            <w:r>
              <w:rPr>
                <w:rFonts w:ascii="仿宋" w:eastAsia="仿宋" w:hAnsi="仿宋"/>
                <w:sz w:val="32"/>
                <w:szCs w:val="32"/>
              </w:rPr>
              <w:t>沟通</w:t>
            </w:r>
            <w:r>
              <w:rPr>
                <w:rFonts w:ascii="仿宋" w:eastAsia="仿宋" w:hAnsi="仿宋" w:hint="eastAsia"/>
                <w:sz w:val="32"/>
                <w:szCs w:val="32"/>
              </w:rPr>
              <w:t>情况、是否已向全国股转公司提交终止挂牌申请等。</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（未及时披露异常波动公告适用）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说明异常</w:t>
            </w:r>
            <w:r>
              <w:rPr>
                <w:rFonts w:ascii="Times New Roman" w:eastAsia="仿宋" w:hAnsi="Times New Roman" w:cs="Times New Roman"/>
                <w:sz w:val="32"/>
                <w:szCs w:val="32"/>
              </w:rPr>
              <w:t>波动核查进展</w:t>
            </w:r>
            <w:r>
              <w:rPr>
                <w:rFonts w:ascii="Times New Roman" w:eastAsia="仿宋" w:hAnsi="Times New Roman" w:cs="Times New Roman" w:hint="eastAsia"/>
                <w:sz w:val="32"/>
                <w:szCs w:val="32"/>
              </w:rPr>
              <w:t>，</w:t>
            </w:r>
            <w:r>
              <w:rPr>
                <w:rFonts w:ascii="Times New Roman" w:eastAsia="仿宋" w:hAnsi="Times New Roman" w:cs="Times New Roman"/>
                <w:sz w:val="32"/>
                <w:szCs w:val="32"/>
              </w:rPr>
              <w:t>如已采取的</w:t>
            </w:r>
            <w:r>
              <w:rPr>
                <w:rFonts w:ascii="Times New Roman" w:eastAsia="仿宋" w:hAnsi="Times New Roman" w:cs="Times New Roman" w:hint="eastAsia"/>
                <w:sz w:val="32"/>
                <w:szCs w:val="32"/>
              </w:rPr>
              <w:t>核查手段及</w:t>
            </w:r>
            <w:r>
              <w:rPr>
                <w:rFonts w:ascii="Times New Roman" w:eastAsia="仿宋" w:hAnsi="Times New Roman" w:cs="Times New Roman"/>
                <w:sz w:val="32"/>
                <w:szCs w:val="32"/>
              </w:rPr>
              <w:t>核查</w:t>
            </w:r>
            <w:r>
              <w:rPr>
                <w:rFonts w:ascii="Times New Roman" w:eastAsia="仿宋" w:hAnsi="Times New Roman" w:cs="Times New Roman" w:hint="eastAsia"/>
                <w:sz w:val="32"/>
                <w:szCs w:val="32"/>
              </w:rPr>
              <w:t>情况</w:t>
            </w:r>
            <w:r>
              <w:rPr>
                <w:rFonts w:ascii="Times New Roman" w:eastAsia="仿宋" w:hAnsi="Times New Roman" w:cs="Times New Roman"/>
                <w:sz w:val="32"/>
                <w:szCs w:val="32"/>
              </w:rPr>
              <w:t>、尚需继续</w:t>
            </w:r>
            <w:r>
              <w:rPr>
                <w:rFonts w:ascii="Times New Roman" w:eastAsia="仿宋" w:hAnsi="Times New Roman" w:cs="Times New Roman" w:hint="eastAsia"/>
                <w:sz w:val="32"/>
                <w:szCs w:val="32"/>
              </w:rPr>
              <w:t>履行</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核查</w:t>
            </w:r>
            <w:r>
              <w:rPr>
                <w:rFonts w:ascii="Times New Roman" w:eastAsia="仿宋" w:hAnsi="Times New Roman" w:cs="Times New Roman"/>
                <w:sz w:val="32"/>
                <w:szCs w:val="32"/>
              </w:rPr>
              <w:t>程序</w:t>
            </w:r>
            <w:r>
              <w:rPr>
                <w:rFonts w:ascii="Times New Roman" w:eastAsia="仿宋" w:hAnsi="Times New Roman" w:cs="Times New Roman" w:hint="eastAsia"/>
                <w:sz w:val="32"/>
                <w:szCs w:val="32"/>
              </w:rPr>
              <w:t>，</w:t>
            </w:r>
            <w:r>
              <w:rPr>
                <w:rFonts w:ascii="Times New Roman" w:eastAsia="仿宋" w:hAnsi="Times New Roman" w:cs="Times New Roman"/>
                <w:sz w:val="32"/>
                <w:szCs w:val="32"/>
              </w:rPr>
              <w:t>预计</w:t>
            </w:r>
            <w:r>
              <w:rPr>
                <w:rFonts w:ascii="Times New Roman" w:eastAsia="仿宋" w:hAnsi="Times New Roman" w:cs="Times New Roman" w:hint="eastAsia"/>
                <w:sz w:val="32"/>
                <w:szCs w:val="32"/>
              </w:rPr>
              <w:t>披露异常波动</w:t>
            </w:r>
            <w:r>
              <w:rPr>
                <w:rFonts w:ascii="Times New Roman" w:eastAsia="仿宋" w:hAnsi="Times New Roman" w:cs="Times New Roman"/>
                <w:sz w:val="32"/>
                <w:szCs w:val="32"/>
              </w:rPr>
              <w:t>公告时间。</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（未能与控股股东、实际控制人同步披露公告适用）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定期报告</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临时公告编制进展，预计披露时间等。</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hint="eastAsia"/>
          <w:color w:val="FF0000"/>
          <w:sz w:val="32"/>
          <w:szCs w:val="32"/>
        </w:rPr>
        <w:t>R-1</w:t>
      </w:r>
      <w:r>
        <w:rPr>
          <w:rFonts w:ascii="Times New Roman" w:eastAsia="仿宋" w:hAnsi="Times New Roman" w:cs="Times New Roman" w:hint="eastAsia"/>
          <w:color w:val="FF0000"/>
          <w:sz w:val="32"/>
          <w:szCs w:val="32"/>
        </w:rPr>
        <w:t>日披露延期公告适用）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说明权益分派</w:t>
            </w:r>
            <w:r>
              <w:rPr>
                <w:rFonts w:ascii="Times New Roman" w:eastAsia="仿宋" w:hAnsi="Times New Roman" w:cs="Times New Roman"/>
                <w:sz w:val="32"/>
                <w:szCs w:val="32"/>
              </w:rPr>
              <w:t>未能按期实施的后续安排。</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hint="eastAsia"/>
                <w:kern w:val="0"/>
                <w:sz w:val="32"/>
                <w:szCs w:val="32"/>
              </w:rPr>
              <w:t>说明相关事项取得的重要进展或者发生重大变化的</w:t>
            </w:r>
            <w:r>
              <w:rPr>
                <w:rFonts w:ascii="Times New Roman" w:eastAsia="仿宋" w:hAnsi="Times New Roman"/>
                <w:kern w:val="0"/>
                <w:sz w:val="32"/>
                <w:szCs w:val="32"/>
              </w:rPr>
              <w:t>情况</w:t>
            </w:r>
            <w:r>
              <w:rPr>
                <w:rFonts w:ascii="Times New Roman" w:eastAsia="仿宋" w:hAnsi="Times New Roman" w:hint="eastAsia"/>
                <w:kern w:val="0"/>
                <w:sz w:val="32"/>
                <w:szCs w:val="32"/>
              </w:rPr>
              <w:t>，后续仍需</w:t>
            </w:r>
            <w:r>
              <w:rPr>
                <w:rFonts w:ascii="Times New Roman" w:eastAsia="仿宋" w:hAnsi="Times New Roman"/>
                <w:kern w:val="0"/>
                <w:sz w:val="32"/>
                <w:szCs w:val="32"/>
              </w:rPr>
              <w:t>推进的工作</w:t>
            </w:r>
            <w:r>
              <w:rPr>
                <w:rFonts w:ascii="Times New Roman" w:eastAsia="仿宋" w:hAnsi="Times New Roman" w:hint="eastAsia"/>
                <w:kern w:val="0"/>
                <w:sz w:val="32"/>
                <w:szCs w:val="32"/>
              </w:rPr>
              <w:t>情况</w:t>
            </w:r>
            <w:r>
              <w:rPr>
                <w:rFonts w:ascii="Times New Roman" w:eastAsia="仿宋" w:hAnsi="Times New Roman"/>
                <w:kern w:val="0"/>
                <w:sz w:val="32"/>
                <w:szCs w:val="32"/>
              </w:rPr>
              <w:t>等。</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Times New Roman" w:eastAsia="仿宋" w:hAnsi="Times New Roman" w:cs="Times New Roman" w:hint="eastAsia"/>
          <w:color w:val="FF0000"/>
          <w:sz w:val="32"/>
          <w:szCs w:val="32"/>
        </w:rPr>
        <w:t>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说明年度报告</w:t>
            </w:r>
            <w:r>
              <w:rPr>
                <w:rFonts w:ascii="Times New Roman" w:eastAsia="仿宋" w:hAnsi="Times New Roman" w:cs="Times New Roman"/>
                <w:sz w:val="32"/>
                <w:szCs w:val="32"/>
              </w:rPr>
              <w:t>、中期报告编制进展，预计披露时间等。</w:t>
            </w:r>
          </w:p>
        </w:tc>
      </w:tr>
    </w:tbl>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（其他强制停牌事项适用）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A7019">
        <w:tc>
          <w:tcPr>
            <w:tcW w:w="8296" w:type="dxa"/>
            <w:tcBorders>
              <w:top w:val="single" w:sz="4" w:space="0" w:color="auto"/>
              <w:left w:val="single" w:sz="4" w:space="0" w:color="auto"/>
              <w:bottom w:val="single" w:sz="4" w:space="0" w:color="auto"/>
              <w:right w:val="single" w:sz="4" w:space="0" w:color="auto"/>
            </w:tcBorders>
          </w:tcPr>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说明强制</w:t>
            </w:r>
            <w:r>
              <w:rPr>
                <w:rFonts w:ascii="Times New Roman" w:eastAsia="仿宋" w:hAnsi="Times New Roman" w:cs="Times New Roman"/>
                <w:sz w:val="32"/>
                <w:szCs w:val="32"/>
              </w:rPr>
              <w:t>停牌事项进展情况</w:t>
            </w:r>
            <w:r>
              <w:rPr>
                <w:rFonts w:ascii="Times New Roman" w:eastAsia="仿宋" w:hAnsi="Times New Roman" w:cs="Times New Roman" w:hint="eastAsia"/>
                <w:color w:val="000000" w:themeColor="text1"/>
                <w:sz w:val="32"/>
                <w:szCs w:val="32"/>
              </w:rPr>
              <w:t>。因做市商</w:t>
            </w:r>
            <w:r>
              <w:rPr>
                <w:rFonts w:ascii="Times New Roman" w:eastAsia="仿宋" w:hAnsi="Times New Roman" w:cs="Times New Roman"/>
                <w:color w:val="000000" w:themeColor="text1"/>
                <w:sz w:val="32"/>
                <w:szCs w:val="32"/>
              </w:rPr>
              <w:t>不足两家被实施停牌的，</w:t>
            </w:r>
            <w:r>
              <w:rPr>
                <w:rFonts w:ascii="Times New Roman" w:eastAsia="仿宋" w:hAnsi="Times New Roman" w:cs="Times New Roman" w:hint="eastAsia"/>
                <w:color w:val="000000" w:themeColor="text1"/>
                <w:sz w:val="32"/>
                <w:szCs w:val="32"/>
              </w:rPr>
              <w:t>应当</w:t>
            </w:r>
            <w:r>
              <w:rPr>
                <w:rFonts w:ascii="Times New Roman" w:eastAsia="仿宋" w:hAnsi="Times New Roman" w:hint="eastAsia"/>
                <w:kern w:val="0"/>
                <w:sz w:val="32"/>
                <w:szCs w:val="32"/>
              </w:rPr>
              <w:t>说明目前股票</w:t>
            </w:r>
            <w:r>
              <w:rPr>
                <w:rFonts w:ascii="Times New Roman" w:eastAsia="仿宋" w:hAnsi="Times New Roman"/>
                <w:kern w:val="0"/>
                <w:sz w:val="32"/>
                <w:szCs w:val="32"/>
              </w:rPr>
              <w:t>做市商情况，</w:t>
            </w:r>
            <w:r>
              <w:rPr>
                <w:rFonts w:ascii="Times New Roman" w:eastAsia="仿宋" w:hAnsi="Times New Roman" w:hint="eastAsia"/>
                <w:kern w:val="0"/>
                <w:sz w:val="32"/>
                <w:szCs w:val="32"/>
              </w:rPr>
              <w:t>关于股票</w:t>
            </w:r>
            <w:r>
              <w:rPr>
                <w:rFonts w:ascii="Times New Roman" w:eastAsia="仿宋" w:hAnsi="Times New Roman"/>
                <w:kern w:val="0"/>
                <w:sz w:val="32"/>
                <w:szCs w:val="32"/>
              </w:rPr>
              <w:t>交易方式的后续计划，预计</w:t>
            </w:r>
            <w:r>
              <w:rPr>
                <w:rFonts w:ascii="Times New Roman" w:eastAsia="仿宋" w:hAnsi="Times New Roman" w:hint="eastAsia"/>
                <w:kern w:val="0"/>
                <w:sz w:val="32"/>
                <w:szCs w:val="32"/>
              </w:rPr>
              <w:t>股票交易</w:t>
            </w:r>
            <w:r>
              <w:rPr>
                <w:rFonts w:ascii="Times New Roman" w:eastAsia="仿宋" w:hAnsi="Times New Roman"/>
                <w:kern w:val="0"/>
                <w:sz w:val="32"/>
                <w:szCs w:val="32"/>
              </w:rPr>
              <w:t>方式是否会变更为集合竞价交易方式</w:t>
            </w:r>
            <w:r>
              <w:rPr>
                <w:rFonts w:ascii="Times New Roman" w:eastAsia="仿宋" w:hAnsi="Times New Roman" w:hint="eastAsia"/>
                <w:kern w:val="0"/>
                <w:sz w:val="32"/>
                <w:szCs w:val="32"/>
              </w:rPr>
              <w:t>等</w:t>
            </w:r>
            <w:r>
              <w:rPr>
                <w:rFonts w:ascii="Times New Roman" w:eastAsia="仿宋" w:hAnsi="Times New Roman"/>
                <w:kern w:val="0"/>
                <w:sz w:val="32"/>
                <w:szCs w:val="32"/>
              </w:rPr>
              <w:t>。</w:t>
            </w:r>
          </w:p>
        </w:tc>
      </w:tr>
    </w:tbl>
    <w:p w:rsidR="00BA7019" w:rsidRDefault="00BA7019">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eastAsia="仿宋" w:hint="eastAsia"/>
          <w:color w:val="FF0000"/>
          <w:sz w:val="32"/>
          <w:szCs w:val="32"/>
        </w:rPr>
        <w:t>□</w:t>
      </w:r>
      <w:r>
        <w:rPr>
          <w:rFonts w:ascii="Times New Roman" w:eastAsia="仿宋" w:hAnsi="Times New Roman" w:cs="Times New Roman" w:hint="eastAsia"/>
          <w:color w:val="FF0000"/>
          <w:sz w:val="32"/>
          <w:szCs w:val="32"/>
        </w:rPr>
        <w:t>拟复牌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拟继续停牌</w:t>
      </w:r>
      <w:r>
        <w:rPr>
          <w:rFonts w:ascii="Times New Roman" w:eastAsia="仿宋" w:hAnsi="Times New Roman" w:cs="Times New Roman"/>
          <w:color w:val="FF0000"/>
          <w:sz w:val="32"/>
          <w:szCs w:val="32"/>
        </w:rPr>
        <w:t xml:space="preserve"> </w:t>
      </w:r>
    </w:p>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（拟复牌适用）</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color w:val="FF0000"/>
          <w:sz w:val="32"/>
          <w:szCs w:val="32"/>
        </w:rPr>
        <w:t>（停牌事项已消除</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已按照相关规定履行信息披露义务</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停牌</w:t>
      </w:r>
      <w:r>
        <w:rPr>
          <w:rFonts w:ascii="Times New Roman" w:eastAsia="仿宋" w:hAnsi="Times New Roman" w:cs="Times New Roman"/>
          <w:color w:val="FF0000"/>
          <w:sz w:val="32"/>
          <w:szCs w:val="32"/>
        </w:rPr>
        <w:t>期限即将届满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，自行填写</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，公司拟于</w:t>
      </w:r>
      <w:r>
        <w:rPr>
          <w:rFonts w:ascii="Times New Roman" w:eastAsia="仿宋" w:hAnsi="Times New Roman" w:cs="Times New Roman"/>
          <w:sz w:val="32"/>
          <w:szCs w:val="32"/>
        </w:rPr>
        <w:t>近日向全国股</w:t>
      </w:r>
      <w:proofErr w:type="gramStart"/>
      <w:r>
        <w:rPr>
          <w:rFonts w:ascii="Times New Roman" w:eastAsia="仿宋" w:hAnsi="Times New Roman" w:cs="Times New Roman"/>
          <w:sz w:val="32"/>
          <w:szCs w:val="32"/>
        </w:rPr>
        <w:t>转系统</w:t>
      </w:r>
      <w:proofErr w:type="gramEnd"/>
      <w:r>
        <w:rPr>
          <w:rFonts w:ascii="Times New Roman" w:eastAsia="仿宋" w:hAnsi="Times New Roman" w:cs="Times New Roman"/>
          <w:sz w:val="32"/>
          <w:szCs w:val="32"/>
        </w:rPr>
        <w:t>公司</w:t>
      </w:r>
      <w:r>
        <w:rPr>
          <w:rFonts w:ascii="Times New Roman" w:eastAsia="仿宋" w:hAnsi="Times New Roman" w:cs="Times New Roman" w:hint="eastAsia"/>
          <w:sz w:val="32"/>
          <w:szCs w:val="32"/>
        </w:rPr>
        <w:t>提出复牌申请。股票复牌后，本公司仍将按照中国证监会、全国股转公司相关规定规范履行信息披露义务，敬请投资者关注。</w:t>
      </w:r>
    </w:p>
    <w:p w:rsidR="00BA7019" w:rsidRDefault="00BA7019">
      <w:pPr>
        <w:adjustRightInd w:val="0"/>
        <w:snapToGrid w:val="0"/>
        <w:spacing w:line="600" w:lineRule="exact"/>
        <w:ind w:firstLineChars="200" w:firstLine="640"/>
        <w:rPr>
          <w:rFonts w:ascii="Times New Roman" w:eastAsia="仿宋" w:hAnsi="Times New Roman" w:cs="Times New Roman"/>
          <w:color w:val="FF0000"/>
          <w:sz w:val="32"/>
          <w:szCs w:val="32"/>
        </w:rPr>
      </w:pPr>
      <w:bookmarkStart w:id="1" w:name="_Hlk48120950"/>
      <w:r>
        <w:rPr>
          <w:rFonts w:ascii="Times New Roman" w:eastAsia="仿宋" w:hAnsi="Times New Roman" w:cs="Times New Roman" w:hint="eastAsia"/>
          <w:color w:val="FF0000"/>
          <w:sz w:val="32"/>
          <w:szCs w:val="32"/>
        </w:rPr>
        <w:t>（拟继续停牌适用）</w:t>
      </w:r>
    </w:p>
    <w:p w:rsidR="00BA7019" w:rsidRDefault="00BA7019">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由于</w:t>
      </w:r>
      <w:r>
        <w:rPr>
          <w:rFonts w:ascii="Times New Roman" w:eastAsia="仿宋" w:hAnsi="Times New Roman" w:cs="Times New Roman" w:hint="eastAsia"/>
          <w:color w:val="FF0000"/>
          <w:sz w:val="32"/>
          <w:szCs w:val="32"/>
        </w:rPr>
        <w:t>（无法申请复牌的原因）</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本公司</w:t>
      </w:r>
      <w:r>
        <w:rPr>
          <w:rFonts w:ascii="Times New Roman" w:eastAsia="仿宋" w:hAnsi="Times New Roman" w:cs="Times New Roman" w:hint="eastAsia"/>
          <w:sz w:val="32"/>
          <w:szCs w:val="32"/>
        </w:rPr>
        <w:t>股票将继续停牌，预计将</w:t>
      </w:r>
      <w:r>
        <w:rPr>
          <w:rFonts w:ascii="Times New Roman" w:eastAsia="仿宋" w:hAnsi="Times New Roman" w:cs="Times New Roman"/>
          <w:sz w:val="32"/>
          <w:szCs w:val="32"/>
        </w:rPr>
        <w:t>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r>
        <w:rPr>
          <w:rFonts w:ascii="Times New Roman" w:eastAsia="仿宋" w:hAnsi="Times New Roman" w:cs="Times New Roman" w:hint="eastAsia"/>
          <w:sz w:val="32"/>
          <w:szCs w:val="32"/>
        </w:rPr>
        <w:t>。</w:t>
      </w:r>
      <w:bookmarkEnd w:id="1"/>
      <w:r>
        <w:rPr>
          <w:rFonts w:ascii="Times New Roman" w:eastAsia="仿宋" w:hAnsi="Times New Roman" w:cs="Times New Roman" w:hint="eastAsia"/>
          <w:sz w:val="32"/>
          <w:szCs w:val="32"/>
        </w:rPr>
        <w:t>本</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将</w:t>
      </w:r>
      <w:r>
        <w:rPr>
          <w:rFonts w:ascii="Times New Roman" w:eastAsia="仿宋" w:hAnsi="Times New Roman" w:cs="Times New Roman" w:hint="eastAsia"/>
          <w:color w:val="FF0000"/>
          <w:sz w:val="32"/>
          <w:szCs w:val="32"/>
        </w:rPr>
        <w:t>（拟采取的措施或安排）</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（积极推进相关事项进展</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尽快按照规定履行信息披露义务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，自行填写</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，敬请投资者关注。</w:t>
      </w:r>
    </w:p>
    <w:p w:rsidR="00BA7019" w:rsidRDefault="00BA7019">
      <w:pPr>
        <w:adjustRightInd w:val="0"/>
        <w:snapToGrid w:val="0"/>
        <w:spacing w:line="600" w:lineRule="exact"/>
        <w:ind w:firstLineChars="200" w:firstLine="640"/>
        <w:rPr>
          <w:rFonts w:eastAsia="黑体"/>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备查文件目录</w:t>
      </w:r>
    </w:p>
    <w:p w:rsidR="00BA7019" w:rsidRDefault="00BA7019">
      <w:pPr>
        <w:adjustRightInd w:val="0"/>
        <w:snapToGrid w:val="0"/>
        <w:spacing w:line="600" w:lineRule="exact"/>
        <w:ind w:firstLineChars="150" w:firstLine="480"/>
        <w:rPr>
          <w:rFonts w:eastAsia="仿宋"/>
          <w:sz w:val="32"/>
          <w:szCs w:val="32"/>
        </w:rPr>
      </w:pPr>
      <w:r>
        <w:rPr>
          <w:rFonts w:eastAsia="仿宋" w:hint="eastAsia"/>
          <w:sz w:val="32"/>
          <w:szCs w:val="32"/>
        </w:rPr>
        <w:t>（一）其他文件</w:t>
      </w:r>
      <w:r>
        <w:rPr>
          <w:rFonts w:eastAsia="仿宋" w:hint="eastAsia"/>
          <w:color w:val="FF0000"/>
          <w:sz w:val="32"/>
          <w:szCs w:val="32"/>
        </w:rPr>
        <w:t>（如有）</w:t>
      </w:r>
      <w:r>
        <w:rPr>
          <w:rFonts w:eastAsia="仿宋" w:hint="eastAsia"/>
          <w:sz w:val="32"/>
          <w:szCs w:val="32"/>
        </w:rPr>
        <w:t>。</w:t>
      </w:r>
    </w:p>
    <w:p w:rsidR="00BA7019" w:rsidRDefault="00BA7019">
      <w:pPr>
        <w:adjustRightInd w:val="0"/>
        <w:snapToGrid w:val="0"/>
        <w:spacing w:line="560" w:lineRule="exact"/>
        <w:ind w:left="567"/>
        <w:rPr>
          <w:rFonts w:ascii="Times New Roman" w:eastAsia="仿宋" w:hAnsi="Times New Roman" w:cs="Times New Roman"/>
          <w:sz w:val="32"/>
          <w:szCs w:val="32"/>
        </w:rPr>
      </w:pPr>
    </w:p>
    <w:p w:rsidR="00BA7019" w:rsidRDefault="00BA7019">
      <w:pPr>
        <w:spacing w:line="560" w:lineRule="exact"/>
        <w:ind w:firstLineChars="200" w:firstLine="640"/>
        <w:rPr>
          <w:rFonts w:ascii="Times New Roman" w:eastAsia="仿宋" w:hAnsi="Times New Roman" w:cs="Times New Roman"/>
          <w:sz w:val="32"/>
          <w:szCs w:val="32"/>
        </w:rPr>
      </w:pPr>
    </w:p>
    <w:p w:rsidR="00BA7019" w:rsidRDefault="00BA7019">
      <w:pPr>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color w:val="FF0000"/>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p>
    <w:p w:rsidR="00BA7019" w:rsidRDefault="00BA7019">
      <w:pPr>
        <w:spacing w:line="560" w:lineRule="exact"/>
        <w:jc w:val="right"/>
        <w:rPr>
          <w:rFonts w:ascii="Times New Roman" w:eastAsia="仿宋" w:hAnsi="Times New Roman" w:cs="Times New Roman"/>
          <w:color w:val="000000"/>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p w:rsidR="00BA7019" w:rsidRDefault="00BA7019" w:rsidP="00BE141A">
      <w:pPr>
        <w:sectPr w:rsidR="00BA7019">
          <w:pgSz w:w="11906" w:h="16838"/>
          <w:pgMar w:top="1440" w:right="1800" w:bottom="1440" w:left="1800" w:header="851" w:footer="992" w:gutter="0"/>
          <w:pgNumType w:fmt="upperLetter"/>
          <w:cols w:space="425"/>
          <w:docGrid w:type="lines" w:linePitch="312"/>
        </w:sectPr>
      </w:pPr>
    </w:p>
    <w:p w:rsidR="001226F0" w:rsidRDefault="001226F0"/>
    <w:sectPr w:rsidR="001226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338A6"/>
    <w:multiLevelType w:val="multilevel"/>
    <w:tmpl w:val="506338A6"/>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019"/>
    <w:rsid w:val="001226F0"/>
    <w:rsid w:val="006E24F1"/>
    <w:rsid w:val="00BA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2B129-1A85-4A16-8910-E70A7F85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A7019"/>
    <w:pPr>
      <w:keepNext/>
      <w:keepLines/>
      <w:spacing w:before="340" w:after="330" w:line="578" w:lineRule="auto"/>
      <w:outlineLvl w:val="0"/>
    </w:pPr>
    <w:rPr>
      <w:rFonts w:ascii="Times New Roman" w:eastAsia="宋体" w:hAnsi="Times New Roman"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A7019"/>
    <w:rPr>
      <w:rFonts w:ascii="Times New Roman" w:eastAsia="宋体" w:hAnsi="Times New Roman" w:cs="Times New Roman"/>
      <w:b/>
      <w:bCs/>
      <w:kern w:val="44"/>
      <w:sz w:val="44"/>
      <w:szCs w:val="44"/>
      <w:lang w:val="zh-CN"/>
    </w:rPr>
  </w:style>
  <w:style w:type="paragraph" w:styleId="a3">
    <w:name w:val="List Paragraph"/>
    <w:basedOn w:val="a"/>
    <w:link w:val="Char"/>
    <w:uiPriority w:val="34"/>
    <w:qFormat/>
    <w:rsid w:val="00BA7019"/>
    <w:pPr>
      <w:ind w:firstLineChars="200" w:firstLine="420"/>
    </w:pPr>
    <w:rPr>
      <w:rFonts w:ascii="Times New Roman" w:eastAsia="宋体" w:hAnsi="Times New Roman" w:cs="Times New Roman"/>
      <w:szCs w:val="24"/>
    </w:rPr>
  </w:style>
  <w:style w:type="character" w:customStyle="1" w:styleId="Char">
    <w:name w:val="列出段落 Char"/>
    <w:basedOn w:val="a0"/>
    <w:link w:val="a3"/>
    <w:uiPriority w:val="34"/>
    <w:qFormat/>
    <w:rsid w:val="00BA701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张铭媛zmy</dc:creator>
  <cp:keywords/>
  <dc:description/>
  <cp:lastModifiedBy>张铭媛zmy</cp:lastModifiedBy>
  <cp:revision>2</cp:revision>
  <dcterms:created xsi:type="dcterms:W3CDTF">2020-10-12T10:24:00Z</dcterms:created>
  <dcterms:modified xsi:type="dcterms:W3CDTF">2020-10-20T06:04:00Z</dcterms:modified>
</cp:coreProperties>
</file>