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6C0" w:rsidRPr="005F184A" w:rsidRDefault="009F19C1" w:rsidP="001D56C0">
      <w:pPr>
        <w:snapToGrid w:val="0"/>
        <w:spacing w:before="100" w:beforeAutospacing="1" w:after="100" w:afterAutospacing="1" w:line="360" w:lineRule="auto"/>
        <w:jc w:val="left"/>
        <w:rPr>
          <w:rFonts w:ascii="Times New Roman" w:eastAsia="方正仿宋简体" w:hAnsi="Times New Roman" w:cs="Times New Roman"/>
          <w:b/>
          <w:sz w:val="30"/>
          <w:szCs w:val="30"/>
        </w:rPr>
      </w:pPr>
      <w:r>
        <w:rPr>
          <w:rFonts w:ascii="Times New Roman" w:eastAsia="方正仿宋简体" w:hAnsi="Times New Roman" w:cs="Times New Roman" w:hint="eastAsia"/>
          <w:b/>
          <w:sz w:val="30"/>
          <w:szCs w:val="30"/>
        </w:rPr>
        <w:t xml:space="preserve"> </w:t>
      </w:r>
    </w:p>
    <w:p w:rsidR="00070C3D" w:rsidRPr="000B7020" w:rsidRDefault="001D56C0" w:rsidP="00070C3D">
      <w:pPr>
        <w:snapToGrid w:val="0"/>
        <w:spacing w:before="100" w:beforeAutospacing="1" w:after="100" w:afterAutospacing="1"/>
        <w:jc w:val="center"/>
        <w:rPr>
          <w:rFonts w:ascii="Times New Roman" w:eastAsia="方正大标宋简体" w:hAnsi="Times New Roman" w:cs="Times New Roman"/>
          <w:sz w:val="42"/>
          <w:szCs w:val="42"/>
        </w:rPr>
      </w:pPr>
      <w:r w:rsidRPr="000B7020">
        <w:rPr>
          <w:rFonts w:ascii="Times New Roman" w:eastAsia="方正大标宋简体" w:hAnsi="Times New Roman" w:cs="Times New Roman"/>
          <w:sz w:val="42"/>
          <w:szCs w:val="42"/>
        </w:rPr>
        <w:t>全国中小企业股份转让系统</w:t>
      </w:r>
    </w:p>
    <w:p w:rsidR="001D56C0" w:rsidRPr="000B7020" w:rsidRDefault="001D56C0" w:rsidP="00070C3D">
      <w:pPr>
        <w:snapToGrid w:val="0"/>
        <w:spacing w:before="100" w:beforeAutospacing="1" w:after="100" w:afterAutospacing="1"/>
        <w:jc w:val="center"/>
        <w:rPr>
          <w:rFonts w:ascii="Times New Roman" w:eastAsia="方正大标宋简体" w:hAnsi="Times New Roman" w:cs="Times New Roman"/>
          <w:sz w:val="42"/>
          <w:szCs w:val="42"/>
        </w:rPr>
      </w:pPr>
      <w:r w:rsidRPr="000B7020">
        <w:rPr>
          <w:rFonts w:ascii="Times New Roman" w:eastAsia="方正大标宋简体" w:hAnsi="Times New Roman" w:cs="Times New Roman"/>
          <w:sz w:val="42"/>
          <w:szCs w:val="42"/>
        </w:rPr>
        <w:t>成份指数编制方案</w:t>
      </w:r>
    </w:p>
    <w:p w:rsidR="001D56C0" w:rsidRPr="000B7020" w:rsidRDefault="00FC09B0" w:rsidP="00070C3D">
      <w:pPr>
        <w:numPr>
          <w:ilvl w:val="0"/>
          <w:numId w:val="1"/>
        </w:numPr>
        <w:tabs>
          <w:tab w:val="clear" w:pos="420"/>
          <w:tab w:val="left" w:pos="720"/>
        </w:tabs>
        <w:snapToGrid w:val="0"/>
        <w:spacing w:line="560" w:lineRule="exact"/>
        <w:ind w:left="0" w:firstLineChars="200" w:firstLine="600"/>
        <w:textAlignment w:val="baseline"/>
        <w:rPr>
          <w:rFonts w:ascii="Times New Roman" w:eastAsia="黑体" w:hAnsi="Times New Roman" w:cs="Times New Roman"/>
          <w:sz w:val="30"/>
          <w:szCs w:val="30"/>
        </w:rPr>
      </w:pPr>
      <w:r>
        <w:rPr>
          <w:rFonts w:ascii="Times New Roman" w:eastAsia="黑体" w:hAnsi="Times New Roman" w:cs="Times New Roman"/>
          <w:sz w:val="30"/>
          <w:szCs w:val="30"/>
        </w:rPr>
        <w:t>指数名称</w:t>
      </w:r>
      <w:r>
        <w:rPr>
          <w:rFonts w:ascii="Times New Roman" w:eastAsia="黑体" w:hAnsi="Times New Roman" w:cs="Times New Roman" w:hint="eastAsia"/>
          <w:sz w:val="30"/>
          <w:szCs w:val="30"/>
        </w:rPr>
        <w:t>与</w:t>
      </w:r>
      <w:r w:rsidR="001D56C0" w:rsidRPr="000B7020">
        <w:rPr>
          <w:rFonts w:ascii="Times New Roman" w:eastAsia="黑体" w:hAnsi="Times New Roman" w:cs="Times New Roman"/>
          <w:sz w:val="30"/>
          <w:szCs w:val="30"/>
        </w:rPr>
        <w:t>代码</w:t>
      </w:r>
    </w:p>
    <w:p w:rsidR="001D56C0" w:rsidRPr="000B7020" w:rsidRDefault="001D56C0" w:rsidP="00070C3D">
      <w:pPr>
        <w:numPr>
          <w:ilvl w:val="0"/>
          <w:numId w:val="2"/>
        </w:numPr>
        <w:tabs>
          <w:tab w:val="num" w:pos="900"/>
        </w:tabs>
        <w:snapToGrid w:val="0"/>
        <w:spacing w:line="560" w:lineRule="exact"/>
        <w:textAlignment w:val="baseline"/>
        <w:rPr>
          <w:rFonts w:ascii="Times New Roman" w:eastAsia="仿宋" w:hAnsi="Times New Roman" w:cs="Times New Roman"/>
          <w:sz w:val="30"/>
          <w:szCs w:val="30"/>
        </w:rPr>
      </w:pPr>
      <w:r w:rsidRPr="000B7020">
        <w:rPr>
          <w:rFonts w:ascii="Times New Roman" w:eastAsia="仿宋" w:hAnsi="Times New Roman" w:cs="Times New Roman"/>
          <w:sz w:val="30"/>
          <w:szCs w:val="30"/>
        </w:rPr>
        <w:t>指数名称：全国中小企业股份转让系统成份指数</w:t>
      </w:r>
    </w:p>
    <w:p w:rsidR="001D56C0" w:rsidRPr="000B7020" w:rsidRDefault="001D56C0" w:rsidP="00070C3D">
      <w:pPr>
        <w:numPr>
          <w:ilvl w:val="0"/>
          <w:numId w:val="2"/>
        </w:numPr>
        <w:tabs>
          <w:tab w:val="num" w:pos="900"/>
        </w:tabs>
        <w:snapToGrid w:val="0"/>
        <w:spacing w:line="560" w:lineRule="exact"/>
        <w:textAlignment w:val="baseline"/>
        <w:rPr>
          <w:rFonts w:ascii="Times New Roman" w:eastAsia="仿宋" w:hAnsi="Times New Roman" w:cs="Times New Roman"/>
          <w:sz w:val="30"/>
          <w:szCs w:val="30"/>
        </w:rPr>
      </w:pPr>
      <w:r w:rsidRPr="000B7020">
        <w:rPr>
          <w:rFonts w:ascii="Times New Roman" w:eastAsia="仿宋" w:hAnsi="Times New Roman" w:cs="Times New Roman"/>
          <w:sz w:val="30"/>
          <w:szCs w:val="30"/>
        </w:rPr>
        <w:t>指数简称：三板成指</w:t>
      </w:r>
    </w:p>
    <w:p w:rsidR="001D56C0" w:rsidRPr="000B7020" w:rsidRDefault="001D56C0" w:rsidP="00070C3D">
      <w:pPr>
        <w:numPr>
          <w:ilvl w:val="0"/>
          <w:numId w:val="2"/>
        </w:numPr>
        <w:tabs>
          <w:tab w:val="num" w:pos="900"/>
        </w:tabs>
        <w:snapToGrid w:val="0"/>
        <w:spacing w:line="560" w:lineRule="exact"/>
        <w:textAlignment w:val="baseline"/>
        <w:rPr>
          <w:rFonts w:ascii="Times New Roman" w:eastAsia="仿宋" w:hAnsi="Times New Roman" w:cs="Times New Roman"/>
          <w:sz w:val="30"/>
          <w:szCs w:val="30"/>
        </w:rPr>
      </w:pPr>
      <w:r w:rsidRPr="000B7020">
        <w:rPr>
          <w:rFonts w:ascii="Times New Roman" w:eastAsia="仿宋" w:hAnsi="Times New Roman" w:cs="Times New Roman"/>
          <w:sz w:val="30"/>
          <w:szCs w:val="30"/>
        </w:rPr>
        <w:t>英文名称</w:t>
      </w:r>
      <w:r w:rsidR="00A81FF4">
        <w:rPr>
          <w:rFonts w:ascii="Times New Roman" w:eastAsia="仿宋" w:hAnsi="Times New Roman" w:cs="Times New Roman" w:hint="eastAsia"/>
          <w:sz w:val="30"/>
          <w:szCs w:val="30"/>
        </w:rPr>
        <w:t>：</w:t>
      </w:r>
      <w:r w:rsidRPr="000B7020">
        <w:rPr>
          <w:rFonts w:ascii="Times New Roman" w:eastAsia="仿宋" w:hAnsi="Times New Roman" w:cs="Times New Roman"/>
          <w:sz w:val="30"/>
          <w:szCs w:val="30"/>
        </w:rPr>
        <w:t>NEEQ COMPONENT INDEX</w:t>
      </w:r>
    </w:p>
    <w:p w:rsidR="001D56C0" w:rsidRPr="000B7020" w:rsidRDefault="001D56C0" w:rsidP="00070C3D">
      <w:pPr>
        <w:numPr>
          <w:ilvl w:val="0"/>
          <w:numId w:val="2"/>
        </w:numPr>
        <w:tabs>
          <w:tab w:val="num" w:pos="900"/>
        </w:tabs>
        <w:snapToGrid w:val="0"/>
        <w:spacing w:line="560" w:lineRule="exact"/>
        <w:textAlignment w:val="baseline"/>
        <w:rPr>
          <w:rFonts w:ascii="Times New Roman" w:eastAsia="仿宋" w:hAnsi="Times New Roman" w:cs="Times New Roman"/>
          <w:sz w:val="30"/>
          <w:szCs w:val="30"/>
        </w:rPr>
      </w:pPr>
      <w:r w:rsidRPr="000B7020">
        <w:rPr>
          <w:rFonts w:ascii="Times New Roman" w:eastAsia="仿宋" w:hAnsi="Times New Roman" w:cs="Times New Roman"/>
          <w:sz w:val="30"/>
          <w:szCs w:val="30"/>
        </w:rPr>
        <w:t>英文简称：</w:t>
      </w:r>
      <w:r w:rsidR="00B145BD" w:rsidRPr="000B7020">
        <w:rPr>
          <w:rFonts w:ascii="Times New Roman" w:eastAsia="仿宋" w:hAnsi="Times New Roman" w:cs="Times New Roman"/>
          <w:sz w:val="30"/>
          <w:szCs w:val="30"/>
        </w:rPr>
        <w:t>NEEQ COMPONENT</w:t>
      </w:r>
    </w:p>
    <w:p w:rsidR="001D56C0" w:rsidRPr="000B7020" w:rsidRDefault="001D56C0" w:rsidP="00070C3D">
      <w:pPr>
        <w:numPr>
          <w:ilvl w:val="0"/>
          <w:numId w:val="2"/>
        </w:numPr>
        <w:tabs>
          <w:tab w:val="num" w:pos="900"/>
        </w:tabs>
        <w:snapToGrid w:val="0"/>
        <w:spacing w:line="560" w:lineRule="exact"/>
        <w:textAlignment w:val="baseline"/>
        <w:rPr>
          <w:rFonts w:ascii="Times New Roman" w:eastAsia="仿宋" w:hAnsi="Times New Roman" w:cs="Times New Roman"/>
          <w:sz w:val="30"/>
          <w:szCs w:val="30"/>
        </w:rPr>
      </w:pPr>
      <w:r w:rsidRPr="000B7020">
        <w:rPr>
          <w:rFonts w:ascii="Times New Roman" w:eastAsia="仿宋" w:hAnsi="Times New Roman" w:cs="Times New Roman"/>
          <w:sz w:val="30"/>
          <w:szCs w:val="30"/>
        </w:rPr>
        <w:t>指数代码：</w:t>
      </w:r>
      <w:r w:rsidRPr="000B7020">
        <w:rPr>
          <w:rFonts w:ascii="Times New Roman" w:eastAsia="仿宋" w:hAnsi="Times New Roman" w:cs="Times New Roman"/>
          <w:sz w:val="30"/>
          <w:szCs w:val="30"/>
        </w:rPr>
        <w:t>899001</w:t>
      </w:r>
    </w:p>
    <w:p w:rsidR="001D56C0" w:rsidRPr="000B7020" w:rsidRDefault="001D56C0" w:rsidP="00070C3D">
      <w:pPr>
        <w:numPr>
          <w:ilvl w:val="0"/>
          <w:numId w:val="1"/>
        </w:numPr>
        <w:tabs>
          <w:tab w:val="clear" w:pos="420"/>
          <w:tab w:val="left" w:pos="720"/>
        </w:tabs>
        <w:snapToGrid w:val="0"/>
        <w:spacing w:line="560" w:lineRule="exact"/>
        <w:ind w:left="0" w:firstLineChars="200" w:firstLine="600"/>
        <w:textAlignment w:val="baseline"/>
        <w:rPr>
          <w:rFonts w:ascii="Times New Roman" w:eastAsia="黑体" w:hAnsi="Times New Roman" w:cs="Times New Roman"/>
          <w:sz w:val="30"/>
          <w:szCs w:val="30"/>
        </w:rPr>
      </w:pPr>
      <w:r w:rsidRPr="000B7020">
        <w:rPr>
          <w:rFonts w:ascii="Times New Roman" w:eastAsia="黑体" w:hAnsi="Times New Roman" w:cs="Times New Roman"/>
          <w:sz w:val="30"/>
          <w:szCs w:val="30"/>
        </w:rPr>
        <w:t>指数基日与基点</w:t>
      </w:r>
    </w:p>
    <w:p w:rsidR="001D56C0" w:rsidRPr="000B7020" w:rsidRDefault="001D56C0" w:rsidP="00070C3D">
      <w:pPr>
        <w:snapToGrid w:val="0"/>
        <w:spacing w:line="560" w:lineRule="exact"/>
        <w:ind w:firstLineChars="200" w:firstLine="600"/>
        <w:textAlignment w:val="baseline"/>
        <w:rPr>
          <w:rFonts w:ascii="Times New Roman" w:eastAsia="仿宋" w:hAnsi="Times New Roman" w:cs="Times New Roman"/>
          <w:sz w:val="30"/>
          <w:szCs w:val="30"/>
        </w:rPr>
      </w:pPr>
      <w:r w:rsidRPr="000B7020">
        <w:rPr>
          <w:rFonts w:ascii="Times New Roman" w:eastAsia="仿宋" w:hAnsi="Times New Roman" w:cs="Times New Roman"/>
          <w:sz w:val="30"/>
          <w:szCs w:val="30"/>
        </w:rPr>
        <w:t>该指数以</w:t>
      </w:r>
      <w:r w:rsidRPr="000B7020">
        <w:rPr>
          <w:rFonts w:ascii="Times New Roman" w:eastAsia="仿宋" w:hAnsi="Times New Roman" w:cs="Times New Roman"/>
          <w:sz w:val="30"/>
          <w:szCs w:val="30"/>
        </w:rPr>
        <w:t>2014</w:t>
      </w:r>
      <w:r w:rsidRPr="000B7020">
        <w:rPr>
          <w:rFonts w:ascii="Times New Roman" w:eastAsia="仿宋" w:hAnsi="Times New Roman" w:cs="Times New Roman"/>
          <w:sz w:val="30"/>
          <w:szCs w:val="30"/>
        </w:rPr>
        <w:t>年</w:t>
      </w:r>
      <w:r w:rsidRPr="000B7020">
        <w:rPr>
          <w:rFonts w:ascii="Times New Roman" w:eastAsia="仿宋" w:hAnsi="Times New Roman" w:cs="Times New Roman"/>
          <w:sz w:val="30"/>
          <w:szCs w:val="30"/>
        </w:rPr>
        <w:t>12</w:t>
      </w:r>
      <w:r w:rsidRPr="000B7020">
        <w:rPr>
          <w:rFonts w:ascii="Times New Roman" w:eastAsia="仿宋" w:hAnsi="Times New Roman" w:cs="Times New Roman"/>
          <w:sz w:val="30"/>
          <w:szCs w:val="30"/>
        </w:rPr>
        <w:t>月</w:t>
      </w:r>
      <w:r w:rsidRPr="000B7020">
        <w:rPr>
          <w:rFonts w:ascii="Times New Roman" w:eastAsia="仿宋" w:hAnsi="Times New Roman" w:cs="Times New Roman"/>
          <w:sz w:val="30"/>
          <w:szCs w:val="30"/>
        </w:rPr>
        <w:t>31</w:t>
      </w:r>
      <w:r w:rsidRPr="000B7020">
        <w:rPr>
          <w:rFonts w:ascii="Times New Roman" w:eastAsia="仿宋" w:hAnsi="Times New Roman" w:cs="Times New Roman"/>
          <w:sz w:val="30"/>
          <w:szCs w:val="30"/>
        </w:rPr>
        <w:t>日为基日，</w:t>
      </w:r>
      <w:r w:rsidRPr="000B7020">
        <w:rPr>
          <w:rFonts w:ascii="Times New Roman" w:eastAsia="仿宋" w:hAnsi="Times New Roman" w:cs="Times New Roman"/>
          <w:kern w:val="0"/>
          <w:sz w:val="30"/>
          <w:szCs w:val="30"/>
        </w:rPr>
        <w:t>以该日收盘后所有样本股的调整市值为基期，以</w:t>
      </w:r>
      <w:r w:rsidRPr="000B7020">
        <w:rPr>
          <w:rFonts w:ascii="Times New Roman" w:eastAsia="仿宋" w:hAnsi="Times New Roman" w:cs="Times New Roman"/>
          <w:kern w:val="0"/>
          <w:sz w:val="30"/>
          <w:szCs w:val="30"/>
        </w:rPr>
        <w:t>1000</w:t>
      </w:r>
      <w:r w:rsidRPr="000B7020">
        <w:rPr>
          <w:rFonts w:ascii="Times New Roman" w:eastAsia="仿宋" w:hAnsi="Times New Roman" w:cs="Times New Roman"/>
          <w:kern w:val="0"/>
          <w:sz w:val="30"/>
          <w:szCs w:val="30"/>
        </w:rPr>
        <w:t>点为基点。</w:t>
      </w:r>
    </w:p>
    <w:p w:rsidR="001D56C0" w:rsidRPr="000B7020" w:rsidRDefault="001D56C0" w:rsidP="00070C3D">
      <w:pPr>
        <w:numPr>
          <w:ilvl w:val="0"/>
          <w:numId w:val="1"/>
        </w:numPr>
        <w:tabs>
          <w:tab w:val="clear" w:pos="420"/>
          <w:tab w:val="left" w:pos="720"/>
        </w:tabs>
        <w:snapToGrid w:val="0"/>
        <w:spacing w:line="560" w:lineRule="exact"/>
        <w:ind w:left="0" w:firstLineChars="200" w:firstLine="600"/>
        <w:textAlignment w:val="baseline"/>
        <w:rPr>
          <w:rFonts w:ascii="Times New Roman" w:eastAsia="黑体" w:hAnsi="Times New Roman" w:cs="Times New Roman"/>
          <w:sz w:val="30"/>
          <w:szCs w:val="30"/>
        </w:rPr>
      </w:pPr>
      <w:r w:rsidRPr="000B7020">
        <w:rPr>
          <w:rFonts w:ascii="Times New Roman" w:eastAsia="黑体" w:hAnsi="Times New Roman" w:cs="Times New Roman"/>
          <w:sz w:val="30"/>
          <w:szCs w:val="30"/>
        </w:rPr>
        <w:t>样本选取方法</w:t>
      </w:r>
    </w:p>
    <w:p w:rsidR="001D56C0" w:rsidRPr="000B7020" w:rsidRDefault="00070C3D" w:rsidP="00070C3D">
      <w:pPr>
        <w:snapToGrid w:val="0"/>
        <w:spacing w:line="560" w:lineRule="exact"/>
        <w:ind w:firstLine="420"/>
        <w:textAlignment w:val="baseline"/>
        <w:rPr>
          <w:rFonts w:ascii="Times New Roman" w:eastAsia="仿宋" w:hAnsi="Times New Roman" w:cs="Times New Roman"/>
          <w:b/>
          <w:sz w:val="30"/>
          <w:szCs w:val="30"/>
        </w:rPr>
      </w:pPr>
      <w:r w:rsidRPr="000B7020">
        <w:rPr>
          <w:rFonts w:ascii="Times New Roman" w:eastAsia="仿宋" w:hAnsi="Times New Roman" w:cs="Times New Roman"/>
          <w:b/>
          <w:sz w:val="30"/>
          <w:szCs w:val="30"/>
        </w:rPr>
        <w:t xml:space="preserve"> 1.</w:t>
      </w:r>
      <w:r w:rsidR="001D56C0" w:rsidRPr="000B7020">
        <w:rPr>
          <w:rFonts w:ascii="Times New Roman" w:eastAsia="仿宋" w:hAnsi="Times New Roman" w:cs="Times New Roman"/>
          <w:b/>
          <w:sz w:val="30"/>
          <w:szCs w:val="30"/>
        </w:rPr>
        <w:t>样本空间</w:t>
      </w:r>
    </w:p>
    <w:p w:rsidR="001D56C0" w:rsidRPr="000B7020" w:rsidRDefault="001D56C0" w:rsidP="00070C3D">
      <w:pPr>
        <w:snapToGrid w:val="0"/>
        <w:spacing w:line="560" w:lineRule="exact"/>
        <w:ind w:firstLineChars="200" w:firstLine="600"/>
        <w:textAlignment w:val="baseline"/>
        <w:rPr>
          <w:rFonts w:ascii="Times New Roman" w:eastAsia="仿宋" w:hAnsi="Times New Roman" w:cs="Times New Roman"/>
          <w:sz w:val="30"/>
          <w:szCs w:val="30"/>
        </w:rPr>
      </w:pPr>
      <w:r w:rsidRPr="000B7020">
        <w:rPr>
          <w:rFonts w:ascii="Times New Roman" w:eastAsia="仿宋" w:hAnsi="Times New Roman" w:cs="Times New Roman"/>
          <w:sz w:val="30"/>
          <w:szCs w:val="30"/>
        </w:rPr>
        <w:t>样本空间由同时满足以下条件的全国中小企业股份转让系统挂牌公司组成：</w:t>
      </w:r>
    </w:p>
    <w:p w:rsidR="00127FF6" w:rsidRPr="00127FF6" w:rsidRDefault="00AA1E8A" w:rsidP="00127FF6">
      <w:pPr>
        <w:pStyle w:val="a5"/>
        <w:numPr>
          <w:ilvl w:val="0"/>
          <w:numId w:val="3"/>
        </w:numPr>
        <w:snapToGrid w:val="0"/>
        <w:spacing w:line="560" w:lineRule="exact"/>
        <w:ind w:firstLineChars="0"/>
        <w:textAlignment w:val="baseline"/>
        <w:rPr>
          <w:rFonts w:ascii="Times New Roman" w:eastAsia="仿宋" w:hAnsi="Times New Roman" w:cs="Times New Roman"/>
          <w:sz w:val="30"/>
          <w:szCs w:val="30"/>
        </w:rPr>
      </w:pPr>
      <w:r w:rsidRPr="00127FF6">
        <w:rPr>
          <w:rFonts w:ascii="Times New Roman" w:eastAsia="仿宋" w:hAnsi="Times New Roman" w:cs="Times New Roman"/>
          <w:sz w:val="30"/>
          <w:szCs w:val="30"/>
        </w:rPr>
        <w:t>非精选层</w:t>
      </w:r>
      <w:r w:rsidR="00257D52">
        <w:rPr>
          <w:rFonts w:ascii="Times New Roman" w:eastAsia="仿宋" w:hAnsi="Times New Roman" w:cs="Times New Roman"/>
          <w:sz w:val="30"/>
          <w:szCs w:val="30"/>
        </w:rPr>
        <w:t>挂牌</w:t>
      </w:r>
      <w:r w:rsidRPr="00127FF6">
        <w:rPr>
          <w:rFonts w:ascii="Times New Roman" w:eastAsia="仿宋" w:hAnsi="Times New Roman" w:cs="Times New Roman"/>
          <w:sz w:val="30"/>
          <w:szCs w:val="30"/>
        </w:rPr>
        <w:t>公司</w:t>
      </w:r>
      <w:r w:rsidR="00127FF6">
        <w:rPr>
          <w:rFonts w:ascii="Times New Roman" w:eastAsia="仿宋" w:hAnsi="Times New Roman" w:cs="Times New Roman" w:hint="eastAsia"/>
          <w:sz w:val="30"/>
          <w:szCs w:val="30"/>
        </w:rPr>
        <w:t>：</w:t>
      </w:r>
      <w:r w:rsidR="00127FF6" w:rsidRPr="00127FF6">
        <w:rPr>
          <w:rFonts w:ascii="Times New Roman" w:eastAsia="仿宋" w:hAnsi="Times New Roman" w:cs="Times New Roman" w:hint="eastAsia"/>
          <w:sz w:val="30"/>
          <w:szCs w:val="30"/>
        </w:rPr>
        <w:t>流通股本不为零；</w:t>
      </w:r>
      <w:r w:rsidR="00070C3D" w:rsidRPr="00127FF6">
        <w:rPr>
          <w:rFonts w:ascii="Times New Roman" w:eastAsia="仿宋" w:hAnsi="Times New Roman" w:cs="Times New Roman" w:hint="eastAsia"/>
          <w:sz w:val="30"/>
          <w:szCs w:val="30"/>
        </w:rPr>
        <w:t>股票</w:t>
      </w:r>
      <w:r w:rsidR="001D56C0" w:rsidRPr="00127FF6">
        <w:rPr>
          <w:rFonts w:ascii="Times New Roman" w:eastAsia="仿宋" w:hAnsi="Times New Roman" w:cs="Times New Roman" w:hint="eastAsia"/>
          <w:sz w:val="30"/>
          <w:szCs w:val="30"/>
        </w:rPr>
        <w:t>挂牌以来有成交</w:t>
      </w:r>
      <w:r w:rsidRPr="00127FF6">
        <w:rPr>
          <w:rFonts w:ascii="Times New Roman" w:eastAsia="仿宋" w:hAnsi="Times New Roman" w:cs="Times New Roman" w:hint="eastAsia"/>
          <w:sz w:val="30"/>
          <w:szCs w:val="30"/>
        </w:rPr>
        <w:t>；</w:t>
      </w:r>
      <w:r w:rsidR="00127FF6" w:rsidRPr="00127FF6">
        <w:rPr>
          <w:rFonts w:ascii="Times New Roman" w:eastAsia="仿宋" w:hAnsi="Times New Roman" w:cs="Times New Roman" w:hint="eastAsia"/>
          <w:sz w:val="30"/>
          <w:szCs w:val="30"/>
        </w:rPr>
        <w:t>非</w:t>
      </w:r>
      <w:r w:rsidR="00127FF6" w:rsidRPr="00127FF6">
        <w:rPr>
          <w:rFonts w:ascii="Times New Roman" w:eastAsia="仿宋" w:hAnsi="Times New Roman" w:cs="Times New Roman"/>
          <w:sz w:val="30"/>
          <w:szCs w:val="30"/>
        </w:rPr>
        <w:t>ST</w:t>
      </w:r>
      <w:r w:rsidR="00127FF6" w:rsidRPr="00127FF6">
        <w:rPr>
          <w:rFonts w:ascii="Times New Roman" w:eastAsia="仿宋" w:hAnsi="Times New Roman" w:cs="Times New Roman" w:hint="eastAsia"/>
          <w:sz w:val="30"/>
          <w:szCs w:val="30"/>
        </w:rPr>
        <w:t>挂牌公司。</w:t>
      </w:r>
    </w:p>
    <w:p w:rsidR="00AA1E8A" w:rsidRPr="00127FF6" w:rsidRDefault="00127FF6" w:rsidP="00127FF6">
      <w:pPr>
        <w:pStyle w:val="a5"/>
        <w:numPr>
          <w:ilvl w:val="0"/>
          <w:numId w:val="3"/>
        </w:numPr>
        <w:snapToGrid w:val="0"/>
        <w:spacing w:line="560" w:lineRule="exact"/>
        <w:ind w:firstLineChars="0"/>
        <w:textAlignment w:val="baseline"/>
        <w:rPr>
          <w:rFonts w:ascii="Times New Roman" w:eastAsia="仿宋" w:hAnsi="Times New Roman" w:cs="Times New Roman"/>
          <w:sz w:val="30"/>
          <w:szCs w:val="30"/>
        </w:rPr>
      </w:pPr>
      <w:r w:rsidRPr="00127FF6">
        <w:rPr>
          <w:rFonts w:ascii="Times New Roman" w:eastAsia="仿宋" w:hAnsi="Times New Roman" w:cs="Times New Roman" w:hint="eastAsia"/>
          <w:sz w:val="30"/>
          <w:szCs w:val="30"/>
        </w:rPr>
        <w:t>精选层</w:t>
      </w:r>
      <w:r w:rsidR="00257D52">
        <w:rPr>
          <w:rFonts w:ascii="Times New Roman" w:eastAsia="仿宋" w:hAnsi="Times New Roman" w:cs="Times New Roman" w:hint="eastAsia"/>
          <w:sz w:val="30"/>
          <w:szCs w:val="30"/>
        </w:rPr>
        <w:t>挂牌</w:t>
      </w:r>
      <w:r w:rsidRPr="00127FF6">
        <w:rPr>
          <w:rFonts w:ascii="Times New Roman" w:eastAsia="仿宋" w:hAnsi="Times New Roman" w:cs="Times New Roman" w:hint="eastAsia"/>
          <w:sz w:val="30"/>
          <w:szCs w:val="30"/>
        </w:rPr>
        <w:t>公司</w:t>
      </w:r>
      <w:r w:rsidRPr="0049107F">
        <w:rPr>
          <w:rFonts w:ascii="Times New Roman" w:eastAsia="仿宋" w:hAnsi="Times New Roman" w:cs="Times New Roman" w:hint="eastAsia"/>
          <w:sz w:val="30"/>
          <w:szCs w:val="30"/>
        </w:rPr>
        <w:t>：</w:t>
      </w:r>
      <w:r w:rsidRPr="00127FF6">
        <w:rPr>
          <w:rFonts w:ascii="Times New Roman" w:eastAsia="仿宋" w:hAnsi="Times New Roman" w:cs="Times New Roman" w:hint="eastAsia"/>
          <w:sz w:val="30"/>
          <w:szCs w:val="30"/>
        </w:rPr>
        <w:t>除满足上述条件外，需</w:t>
      </w:r>
      <w:r w:rsidR="000F2C48">
        <w:rPr>
          <w:rFonts w:ascii="Times New Roman" w:eastAsia="仿宋" w:hAnsi="Times New Roman" w:cs="Times New Roman" w:hint="eastAsia"/>
          <w:sz w:val="30"/>
          <w:szCs w:val="30"/>
        </w:rPr>
        <w:t>在审核截止日及之前已</w:t>
      </w:r>
      <w:r w:rsidRPr="00127FF6">
        <w:rPr>
          <w:rFonts w:ascii="Times New Roman" w:eastAsia="仿宋" w:hAnsi="Times New Roman" w:cs="Times New Roman" w:hint="eastAsia"/>
          <w:sz w:val="30"/>
          <w:szCs w:val="30"/>
        </w:rPr>
        <w:t>在精选层挂牌</w:t>
      </w:r>
      <w:r w:rsidR="00DA23C4">
        <w:rPr>
          <w:rFonts w:ascii="Times New Roman" w:eastAsia="仿宋" w:hAnsi="Times New Roman" w:cs="Times New Roman" w:hint="eastAsia"/>
          <w:sz w:val="30"/>
          <w:szCs w:val="30"/>
        </w:rPr>
        <w:t>交易</w:t>
      </w:r>
      <w:r w:rsidRPr="00127FF6">
        <w:rPr>
          <w:rFonts w:ascii="Times New Roman" w:eastAsia="仿宋" w:hAnsi="Times New Roman" w:cs="Times New Roman" w:hint="eastAsia"/>
          <w:sz w:val="30"/>
          <w:szCs w:val="30"/>
        </w:rPr>
        <w:t>。</w:t>
      </w:r>
    </w:p>
    <w:p w:rsidR="001D56C0" w:rsidRPr="000B7020" w:rsidRDefault="00070C3D" w:rsidP="002F5764">
      <w:pPr>
        <w:pStyle w:val="a5"/>
        <w:ind w:firstLine="602"/>
        <w:rPr>
          <w:rFonts w:ascii="Times New Roman" w:eastAsia="仿宋" w:hAnsi="Times New Roman" w:cs="Times New Roman"/>
          <w:b/>
          <w:sz w:val="30"/>
          <w:szCs w:val="30"/>
        </w:rPr>
      </w:pPr>
      <w:r w:rsidRPr="000B7020">
        <w:rPr>
          <w:rFonts w:ascii="Times New Roman" w:eastAsia="仿宋" w:hAnsi="Times New Roman" w:cs="Times New Roman"/>
          <w:b/>
          <w:sz w:val="30"/>
          <w:szCs w:val="30"/>
        </w:rPr>
        <w:t>2.</w:t>
      </w:r>
      <w:r w:rsidR="001D56C0" w:rsidRPr="000B7020">
        <w:rPr>
          <w:rFonts w:ascii="Times New Roman" w:eastAsia="仿宋" w:hAnsi="Times New Roman" w:cs="Times New Roman"/>
          <w:b/>
          <w:sz w:val="30"/>
          <w:szCs w:val="30"/>
        </w:rPr>
        <w:t>选样方法</w:t>
      </w:r>
    </w:p>
    <w:p w:rsidR="001D56C0" w:rsidRPr="000B7020" w:rsidRDefault="001D56C0" w:rsidP="00070C3D">
      <w:pPr>
        <w:snapToGrid w:val="0"/>
        <w:spacing w:line="560" w:lineRule="exact"/>
        <w:ind w:firstLineChars="200" w:firstLine="600"/>
        <w:textAlignment w:val="baseline"/>
        <w:rPr>
          <w:rFonts w:ascii="Times New Roman" w:eastAsia="仿宋" w:hAnsi="Times New Roman" w:cs="Times New Roman"/>
          <w:sz w:val="30"/>
          <w:szCs w:val="30"/>
        </w:rPr>
      </w:pPr>
      <w:r w:rsidRPr="000B7020">
        <w:rPr>
          <w:rFonts w:ascii="Times New Roman" w:eastAsia="仿宋" w:hAnsi="Times New Roman" w:cs="Times New Roman"/>
          <w:sz w:val="30"/>
          <w:szCs w:val="30"/>
        </w:rPr>
        <w:t>首先，按照过去三个月日均成交金额，过去三个月日均总市值进行排名，所得排名相加得到综合排名；</w:t>
      </w:r>
    </w:p>
    <w:p w:rsidR="001D56C0" w:rsidRPr="000B7020" w:rsidRDefault="001D56C0" w:rsidP="00070C3D">
      <w:pPr>
        <w:snapToGrid w:val="0"/>
        <w:spacing w:line="560" w:lineRule="exact"/>
        <w:ind w:firstLineChars="200" w:firstLine="600"/>
        <w:textAlignment w:val="baseline"/>
        <w:rPr>
          <w:rFonts w:ascii="Times New Roman" w:eastAsia="仿宋" w:hAnsi="Times New Roman" w:cs="Times New Roman"/>
          <w:sz w:val="30"/>
          <w:szCs w:val="30"/>
        </w:rPr>
      </w:pPr>
      <w:r w:rsidRPr="000B7020">
        <w:rPr>
          <w:rFonts w:ascii="Times New Roman" w:eastAsia="仿宋" w:hAnsi="Times New Roman" w:cs="Times New Roman"/>
          <w:sz w:val="30"/>
          <w:szCs w:val="30"/>
        </w:rPr>
        <w:lastRenderedPageBreak/>
        <w:t>其次，根据综合排名</w:t>
      </w:r>
      <w:r w:rsidR="00AD67F7">
        <w:rPr>
          <w:rFonts w:ascii="Times New Roman" w:eastAsia="仿宋" w:hAnsi="Times New Roman" w:cs="Times New Roman" w:hint="eastAsia"/>
          <w:sz w:val="30"/>
          <w:szCs w:val="30"/>
        </w:rPr>
        <w:t>升</w:t>
      </w:r>
      <w:r w:rsidRPr="000B7020">
        <w:rPr>
          <w:rFonts w:ascii="Times New Roman" w:eastAsia="仿宋" w:hAnsi="Times New Roman" w:cs="Times New Roman"/>
          <w:sz w:val="30"/>
          <w:szCs w:val="30"/>
        </w:rPr>
        <w:t>序排列，按照市值覆盖全部挂牌公司</w:t>
      </w:r>
      <w:r w:rsidR="00070C3D" w:rsidRPr="000B7020">
        <w:rPr>
          <w:rFonts w:ascii="Times New Roman" w:eastAsia="仿宋" w:hAnsi="Times New Roman" w:cs="Times New Roman"/>
          <w:sz w:val="30"/>
          <w:szCs w:val="30"/>
        </w:rPr>
        <w:t>总市值</w:t>
      </w:r>
      <w:r w:rsidRPr="000B7020">
        <w:rPr>
          <w:rFonts w:ascii="Times New Roman" w:eastAsia="仿宋" w:hAnsi="Times New Roman" w:cs="Times New Roman"/>
          <w:sz w:val="30"/>
          <w:szCs w:val="30"/>
        </w:rPr>
        <w:t>85%</w:t>
      </w:r>
      <w:r w:rsidRPr="000B7020">
        <w:rPr>
          <w:rFonts w:ascii="Times New Roman" w:eastAsia="仿宋" w:hAnsi="Times New Roman" w:cs="Times New Roman"/>
          <w:sz w:val="30"/>
          <w:szCs w:val="30"/>
        </w:rPr>
        <w:t>来确定样本数量；并根据全国中小企业股份转让系统挂牌公司行业分类二级行业来分配各行业的样本。各行业公司的分配比例如下：</w:t>
      </w:r>
    </w:p>
    <w:p w:rsidR="001D56C0" w:rsidRPr="000B7020" w:rsidRDefault="001D56C0" w:rsidP="00070C3D">
      <w:pPr>
        <w:snapToGrid w:val="0"/>
        <w:spacing w:line="560" w:lineRule="exact"/>
        <w:ind w:firstLineChars="200" w:firstLine="600"/>
        <w:textAlignment w:val="baseline"/>
        <w:rPr>
          <w:rFonts w:ascii="Times New Roman" w:eastAsia="仿宋" w:hAnsi="Times New Roman" w:cs="Times New Roman"/>
          <w:sz w:val="30"/>
          <w:szCs w:val="30"/>
        </w:rPr>
      </w:pPr>
      <w:r w:rsidRPr="000B7020">
        <w:rPr>
          <w:rFonts w:ascii="Times New Roman" w:eastAsia="仿宋" w:hAnsi="Times New Roman" w:cs="Times New Roman"/>
          <w:sz w:val="30"/>
          <w:szCs w:val="30"/>
        </w:rPr>
        <w:t>第</w:t>
      </w:r>
      <w:r w:rsidRPr="000B7020">
        <w:rPr>
          <w:rFonts w:ascii="Times New Roman" w:eastAsia="仿宋" w:hAnsi="Times New Roman" w:cs="Times New Roman"/>
          <w:sz w:val="30"/>
          <w:szCs w:val="30"/>
        </w:rPr>
        <w:t>i</w:t>
      </w:r>
      <w:r w:rsidRPr="000B7020">
        <w:rPr>
          <w:rFonts w:ascii="Times New Roman" w:eastAsia="仿宋" w:hAnsi="Times New Roman" w:cs="Times New Roman"/>
          <w:sz w:val="30"/>
          <w:szCs w:val="30"/>
        </w:rPr>
        <w:t>行业分配公司数量</w:t>
      </w:r>
      <w:r w:rsidRPr="000B7020">
        <w:rPr>
          <w:rFonts w:ascii="Times New Roman" w:eastAsia="仿宋" w:hAnsi="Times New Roman" w:cs="Times New Roman"/>
          <w:sz w:val="30"/>
          <w:szCs w:val="30"/>
        </w:rPr>
        <w:t>=85%</w:t>
      </w:r>
      <w:r w:rsidRPr="000B7020">
        <w:rPr>
          <w:rFonts w:ascii="Times New Roman" w:eastAsia="仿宋" w:hAnsi="Times New Roman" w:cs="Times New Roman"/>
          <w:sz w:val="30"/>
          <w:szCs w:val="30"/>
        </w:rPr>
        <w:t>总市值覆盖确定的样本数量</w:t>
      </w:r>
      <w:r w:rsidRPr="000B7020">
        <w:rPr>
          <w:rFonts w:ascii="Times New Roman" w:eastAsia="仿宋" w:hAnsi="Times New Roman" w:cs="Times New Roman"/>
          <w:sz w:val="30"/>
          <w:szCs w:val="30"/>
        </w:rPr>
        <w:t>*</w:t>
      </w:r>
      <w:r w:rsidRPr="000B7020">
        <w:rPr>
          <w:rFonts w:ascii="Times New Roman" w:eastAsia="仿宋" w:hAnsi="Times New Roman" w:cs="Times New Roman"/>
          <w:sz w:val="30"/>
          <w:szCs w:val="30"/>
        </w:rPr>
        <w:t>第</w:t>
      </w:r>
      <w:r w:rsidRPr="000B7020">
        <w:rPr>
          <w:rFonts w:ascii="Times New Roman" w:eastAsia="仿宋" w:hAnsi="Times New Roman" w:cs="Times New Roman"/>
          <w:sz w:val="30"/>
          <w:szCs w:val="30"/>
        </w:rPr>
        <w:t>i</w:t>
      </w:r>
      <w:r w:rsidRPr="000B7020">
        <w:rPr>
          <w:rFonts w:ascii="Times New Roman" w:eastAsia="仿宋" w:hAnsi="Times New Roman" w:cs="Times New Roman"/>
          <w:sz w:val="30"/>
          <w:szCs w:val="30"/>
        </w:rPr>
        <w:t>行业公司数量</w:t>
      </w:r>
      <w:r w:rsidRPr="000B7020">
        <w:rPr>
          <w:rFonts w:ascii="Times New Roman" w:eastAsia="仿宋" w:hAnsi="Times New Roman" w:cs="Times New Roman"/>
          <w:sz w:val="30"/>
          <w:szCs w:val="30"/>
        </w:rPr>
        <w:t>/</w:t>
      </w:r>
      <w:r w:rsidRPr="000B7020">
        <w:rPr>
          <w:rFonts w:ascii="Times New Roman" w:eastAsia="仿宋" w:hAnsi="Times New Roman" w:cs="Times New Roman"/>
          <w:sz w:val="30"/>
          <w:szCs w:val="30"/>
        </w:rPr>
        <w:t>全部挂牌公司数量</w:t>
      </w:r>
      <w:r w:rsidRPr="000B7020">
        <w:rPr>
          <w:rFonts w:ascii="Times New Roman" w:eastAsia="仿宋" w:hAnsi="Times New Roman" w:cs="Times New Roman"/>
          <w:sz w:val="30"/>
          <w:szCs w:val="30"/>
        </w:rPr>
        <w:t xml:space="preserve"> </w:t>
      </w:r>
      <w:bookmarkStart w:id="0" w:name="_GoBack"/>
      <w:bookmarkEnd w:id="0"/>
    </w:p>
    <w:p w:rsidR="001D56C0" w:rsidRPr="000B7020" w:rsidRDefault="001D56C0" w:rsidP="00625D16">
      <w:pPr>
        <w:numPr>
          <w:ilvl w:val="0"/>
          <w:numId w:val="1"/>
        </w:numPr>
        <w:tabs>
          <w:tab w:val="clear" w:pos="420"/>
          <w:tab w:val="left" w:pos="720"/>
        </w:tabs>
        <w:snapToGrid w:val="0"/>
        <w:spacing w:line="560" w:lineRule="exact"/>
        <w:ind w:left="0" w:firstLineChars="200" w:firstLine="600"/>
        <w:textAlignment w:val="baseline"/>
        <w:rPr>
          <w:rFonts w:ascii="Times New Roman" w:eastAsia="黑体" w:hAnsi="Times New Roman" w:cs="Times New Roman"/>
          <w:sz w:val="30"/>
          <w:szCs w:val="30"/>
        </w:rPr>
      </w:pPr>
      <w:r w:rsidRPr="000B7020">
        <w:rPr>
          <w:rFonts w:ascii="Times New Roman" w:eastAsia="黑体" w:hAnsi="Times New Roman" w:cs="Times New Roman"/>
          <w:sz w:val="30"/>
          <w:szCs w:val="30"/>
        </w:rPr>
        <w:t>指数计算</w:t>
      </w:r>
    </w:p>
    <w:p w:rsidR="001D56C0" w:rsidRPr="000B7020" w:rsidRDefault="001D56C0" w:rsidP="00625D16">
      <w:pPr>
        <w:snapToGrid w:val="0"/>
        <w:spacing w:line="560" w:lineRule="exact"/>
        <w:ind w:firstLineChars="150" w:firstLine="450"/>
        <w:rPr>
          <w:rFonts w:ascii="Times New Roman" w:eastAsia="仿宋" w:hAnsi="Times New Roman" w:cs="Times New Roman"/>
          <w:sz w:val="30"/>
          <w:szCs w:val="30"/>
        </w:rPr>
      </w:pPr>
      <w:r w:rsidRPr="000B7020">
        <w:rPr>
          <w:rFonts w:ascii="Times New Roman" w:eastAsia="仿宋" w:hAnsi="Times New Roman" w:cs="Times New Roman"/>
          <w:sz w:val="30"/>
          <w:szCs w:val="30"/>
        </w:rPr>
        <w:t>指数计算公式为：</w:t>
      </w:r>
    </w:p>
    <w:p w:rsidR="001D56C0" w:rsidRPr="000B7020" w:rsidRDefault="001D56C0" w:rsidP="00625D16">
      <w:pPr>
        <w:tabs>
          <w:tab w:val="left" w:pos="120"/>
        </w:tabs>
        <w:jc w:val="center"/>
        <w:rPr>
          <w:rFonts w:ascii="Times New Roman" w:eastAsia="仿宋" w:hAnsi="Times New Roman" w:cs="Times New Roman"/>
          <w:bCs/>
          <w:kern w:val="0"/>
          <w:sz w:val="30"/>
          <w:szCs w:val="30"/>
        </w:rPr>
      </w:pPr>
      <w:r w:rsidRPr="000B7020">
        <w:rPr>
          <w:rFonts w:ascii="Times New Roman" w:eastAsia="仿宋" w:hAnsi="Times New Roman" w:cs="Times New Roman"/>
          <w:bCs/>
          <w:kern w:val="0"/>
          <w:sz w:val="30"/>
          <w:szCs w:val="30"/>
        </w:rPr>
        <w:object w:dxaOrig="481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pt;height:33pt" o:ole="">
            <v:imagedata r:id="rId7" o:title=""/>
            <o:lock v:ext="edit" aspectratio="f"/>
          </v:shape>
          <o:OLEObject Type="Embed" ProgID="Equation.DSMT4" ShapeID="_x0000_i1025" DrawAspect="Content" ObjectID="_1646726300" r:id="rId8">
            <o:FieldCodes>\* MERGEFORMAT</o:FieldCodes>
          </o:OLEObject>
        </w:object>
      </w:r>
    </w:p>
    <w:p w:rsidR="001D56C0" w:rsidRPr="000B7020" w:rsidRDefault="001D56C0" w:rsidP="00070C3D">
      <w:pPr>
        <w:snapToGrid w:val="0"/>
        <w:spacing w:line="560" w:lineRule="exact"/>
        <w:ind w:firstLineChars="150" w:firstLine="450"/>
        <w:rPr>
          <w:rFonts w:ascii="Times New Roman" w:eastAsia="仿宋" w:hAnsi="Times New Roman" w:cs="Times New Roman"/>
          <w:sz w:val="30"/>
          <w:szCs w:val="30"/>
        </w:rPr>
      </w:pPr>
      <w:r w:rsidRPr="000B7020">
        <w:rPr>
          <w:rFonts w:ascii="Times New Roman" w:eastAsia="仿宋" w:hAnsi="Times New Roman" w:cs="Times New Roman"/>
          <w:sz w:val="30"/>
          <w:szCs w:val="30"/>
        </w:rPr>
        <w:t>其中，调整市值＝</w:t>
      </w:r>
      <w:r w:rsidRPr="000B7020">
        <w:rPr>
          <w:rFonts w:ascii="Times New Roman" w:eastAsia="仿宋" w:hAnsi="Times New Roman" w:cs="Times New Roman"/>
          <w:sz w:val="30"/>
          <w:szCs w:val="30"/>
        </w:rPr>
        <w:t xml:space="preserve"> ∑(</w:t>
      </w:r>
      <w:r w:rsidRPr="000B7020">
        <w:rPr>
          <w:rFonts w:ascii="Times New Roman" w:eastAsia="仿宋" w:hAnsi="Times New Roman" w:cs="Times New Roman"/>
          <w:sz w:val="30"/>
          <w:szCs w:val="30"/>
        </w:rPr>
        <w:t>股价</w:t>
      </w:r>
      <w:r w:rsidRPr="000B7020">
        <w:rPr>
          <w:rFonts w:ascii="Times New Roman" w:eastAsia="仿宋" w:hAnsi="Times New Roman" w:cs="Times New Roman"/>
          <w:sz w:val="30"/>
          <w:szCs w:val="30"/>
        </w:rPr>
        <w:t>×</w:t>
      </w:r>
      <w:r w:rsidRPr="000B7020">
        <w:rPr>
          <w:rFonts w:ascii="Times New Roman" w:eastAsia="仿宋" w:hAnsi="Times New Roman" w:cs="Times New Roman"/>
          <w:sz w:val="30"/>
          <w:szCs w:val="30"/>
        </w:rPr>
        <w:t>流通股本数</w:t>
      </w:r>
      <w:r w:rsidRPr="000B7020">
        <w:rPr>
          <w:rFonts w:ascii="Times New Roman" w:eastAsia="仿宋" w:hAnsi="Times New Roman" w:cs="Times New Roman"/>
          <w:sz w:val="30"/>
          <w:szCs w:val="30"/>
        </w:rPr>
        <w:t>×</w:t>
      </w:r>
      <w:r w:rsidRPr="000B7020">
        <w:rPr>
          <w:rFonts w:ascii="Times New Roman" w:eastAsia="仿宋" w:hAnsi="Times New Roman" w:cs="Times New Roman"/>
          <w:sz w:val="30"/>
          <w:szCs w:val="30"/>
        </w:rPr>
        <w:t>权重上限因子</w:t>
      </w:r>
      <w:r w:rsidRPr="000B7020">
        <w:rPr>
          <w:rFonts w:ascii="Times New Roman" w:eastAsia="仿宋" w:hAnsi="Times New Roman" w:cs="Times New Roman"/>
          <w:sz w:val="30"/>
          <w:szCs w:val="30"/>
        </w:rPr>
        <w:t>)</w:t>
      </w:r>
      <w:r w:rsidRPr="000B7020">
        <w:rPr>
          <w:rFonts w:ascii="Times New Roman" w:eastAsia="仿宋" w:hAnsi="Times New Roman" w:cs="Times New Roman"/>
          <w:sz w:val="30"/>
          <w:szCs w:val="30"/>
        </w:rPr>
        <w:t>，权重上限因子使得单个二级行业权重上限为</w:t>
      </w:r>
      <w:r w:rsidRPr="000B7020">
        <w:rPr>
          <w:rFonts w:ascii="Times New Roman" w:eastAsia="仿宋" w:hAnsi="Times New Roman" w:cs="Times New Roman"/>
          <w:sz w:val="30"/>
          <w:szCs w:val="30"/>
        </w:rPr>
        <w:t>25%</w:t>
      </w:r>
      <w:r w:rsidRPr="000B7020">
        <w:rPr>
          <w:rFonts w:ascii="Times New Roman" w:eastAsia="仿宋" w:hAnsi="Times New Roman" w:cs="Times New Roman"/>
          <w:sz w:val="30"/>
          <w:szCs w:val="30"/>
        </w:rPr>
        <w:t>，个股上限为</w:t>
      </w:r>
      <w:r w:rsidRPr="000B7020">
        <w:rPr>
          <w:rFonts w:ascii="Times New Roman" w:eastAsia="仿宋" w:hAnsi="Times New Roman" w:cs="Times New Roman"/>
          <w:sz w:val="30"/>
          <w:szCs w:val="30"/>
        </w:rPr>
        <w:t>5%</w:t>
      </w:r>
      <w:r w:rsidRPr="000B7020">
        <w:rPr>
          <w:rFonts w:ascii="Times New Roman" w:eastAsia="仿宋" w:hAnsi="Times New Roman" w:cs="Times New Roman"/>
          <w:sz w:val="30"/>
          <w:szCs w:val="30"/>
        </w:rPr>
        <w:t>。</w:t>
      </w:r>
    </w:p>
    <w:p w:rsidR="001D56C0" w:rsidRPr="000B7020" w:rsidRDefault="001D56C0" w:rsidP="00070C3D">
      <w:pPr>
        <w:numPr>
          <w:ilvl w:val="0"/>
          <w:numId w:val="1"/>
        </w:numPr>
        <w:tabs>
          <w:tab w:val="clear" w:pos="420"/>
          <w:tab w:val="left" w:pos="720"/>
        </w:tabs>
        <w:snapToGrid w:val="0"/>
        <w:spacing w:line="560" w:lineRule="exact"/>
        <w:ind w:left="0" w:firstLineChars="200" w:firstLine="600"/>
        <w:textAlignment w:val="baseline"/>
        <w:rPr>
          <w:rFonts w:ascii="Times New Roman" w:eastAsia="黑体" w:hAnsi="Times New Roman" w:cs="Times New Roman"/>
          <w:sz w:val="30"/>
          <w:szCs w:val="30"/>
        </w:rPr>
      </w:pPr>
      <w:r w:rsidRPr="000B7020">
        <w:rPr>
          <w:rFonts w:ascii="Times New Roman" w:eastAsia="黑体" w:hAnsi="Times New Roman" w:cs="Times New Roman"/>
          <w:sz w:val="30"/>
          <w:szCs w:val="30"/>
        </w:rPr>
        <w:t>指数调整</w:t>
      </w:r>
    </w:p>
    <w:p w:rsidR="001D56C0" w:rsidRPr="000B7020" w:rsidRDefault="001D56C0" w:rsidP="00070C3D">
      <w:pPr>
        <w:snapToGrid w:val="0"/>
        <w:spacing w:line="560" w:lineRule="exact"/>
        <w:ind w:firstLineChars="150" w:firstLine="450"/>
        <w:rPr>
          <w:rFonts w:ascii="Times New Roman" w:eastAsia="仿宋" w:hAnsi="Times New Roman" w:cs="Times New Roman"/>
          <w:sz w:val="30"/>
          <w:szCs w:val="30"/>
        </w:rPr>
      </w:pPr>
      <w:r w:rsidRPr="000B7020">
        <w:rPr>
          <w:rFonts w:ascii="Times New Roman" w:eastAsia="仿宋" w:hAnsi="Times New Roman" w:cs="Times New Roman"/>
          <w:sz w:val="30"/>
          <w:szCs w:val="30"/>
        </w:rPr>
        <w:t>该指数每季度调整一次，样本股调整实施时间为：</w:t>
      </w:r>
    </w:p>
    <w:tbl>
      <w:tblPr>
        <w:tblW w:w="8960" w:type="dxa"/>
        <w:tblInd w:w="9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92"/>
        <w:gridCol w:w="5968"/>
      </w:tblGrid>
      <w:tr w:rsidR="001D56C0" w:rsidRPr="000B7020" w:rsidTr="000B7020">
        <w:trPr>
          <w:trHeight w:val="261"/>
        </w:trPr>
        <w:tc>
          <w:tcPr>
            <w:tcW w:w="2992" w:type="dxa"/>
            <w:shd w:val="clear" w:color="auto" w:fill="auto"/>
            <w:noWrap/>
            <w:vAlign w:val="center"/>
            <w:hideMark/>
          </w:tcPr>
          <w:p w:rsidR="001D56C0" w:rsidRPr="000B7020" w:rsidRDefault="001D56C0" w:rsidP="00070C3D">
            <w:pPr>
              <w:widowControl/>
              <w:spacing w:line="560" w:lineRule="exact"/>
              <w:jc w:val="center"/>
              <w:rPr>
                <w:rFonts w:ascii="Times New Roman" w:eastAsia="仿宋" w:hAnsi="Times New Roman" w:cs="Times New Roman"/>
                <w:color w:val="000000"/>
                <w:kern w:val="0"/>
                <w:sz w:val="28"/>
                <w:szCs w:val="28"/>
              </w:rPr>
            </w:pPr>
            <w:r w:rsidRPr="000B7020">
              <w:rPr>
                <w:rFonts w:ascii="Times New Roman" w:eastAsia="仿宋" w:hAnsi="Times New Roman" w:cs="Times New Roman"/>
                <w:color w:val="000000"/>
                <w:kern w:val="0"/>
                <w:sz w:val="28"/>
                <w:szCs w:val="28"/>
              </w:rPr>
              <w:t>月份</w:t>
            </w:r>
          </w:p>
        </w:tc>
        <w:tc>
          <w:tcPr>
            <w:tcW w:w="5968" w:type="dxa"/>
            <w:shd w:val="clear" w:color="auto" w:fill="auto"/>
            <w:noWrap/>
            <w:vAlign w:val="center"/>
            <w:hideMark/>
          </w:tcPr>
          <w:p w:rsidR="001D56C0" w:rsidRPr="000B7020" w:rsidRDefault="001D56C0" w:rsidP="00070C3D">
            <w:pPr>
              <w:widowControl/>
              <w:spacing w:line="560" w:lineRule="exact"/>
              <w:jc w:val="center"/>
              <w:rPr>
                <w:rFonts w:ascii="Times New Roman" w:eastAsia="仿宋" w:hAnsi="Times New Roman" w:cs="Times New Roman"/>
                <w:color w:val="000000"/>
                <w:kern w:val="0"/>
                <w:sz w:val="28"/>
                <w:szCs w:val="28"/>
              </w:rPr>
            </w:pPr>
            <w:r w:rsidRPr="000B7020">
              <w:rPr>
                <w:rFonts w:ascii="Times New Roman" w:eastAsia="仿宋" w:hAnsi="Times New Roman" w:cs="Times New Roman"/>
                <w:color w:val="000000"/>
                <w:kern w:val="0"/>
                <w:sz w:val="28"/>
                <w:szCs w:val="28"/>
              </w:rPr>
              <w:t>日期</w:t>
            </w:r>
          </w:p>
        </w:tc>
      </w:tr>
      <w:tr w:rsidR="001D56C0" w:rsidRPr="000B7020" w:rsidTr="000B7020">
        <w:trPr>
          <w:trHeight w:val="261"/>
        </w:trPr>
        <w:tc>
          <w:tcPr>
            <w:tcW w:w="2992" w:type="dxa"/>
            <w:shd w:val="clear" w:color="auto" w:fill="auto"/>
            <w:noWrap/>
            <w:vAlign w:val="center"/>
            <w:hideMark/>
          </w:tcPr>
          <w:p w:rsidR="001D56C0" w:rsidRPr="000B7020" w:rsidRDefault="001D56C0" w:rsidP="00070C3D">
            <w:pPr>
              <w:widowControl/>
              <w:spacing w:line="560" w:lineRule="exact"/>
              <w:jc w:val="center"/>
              <w:rPr>
                <w:rFonts w:ascii="Times New Roman" w:eastAsia="仿宋" w:hAnsi="Times New Roman" w:cs="Times New Roman"/>
                <w:color w:val="000000"/>
                <w:kern w:val="0"/>
                <w:sz w:val="28"/>
                <w:szCs w:val="28"/>
              </w:rPr>
            </w:pPr>
            <w:r w:rsidRPr="000B7020">
              <w:rPr>
                <w:rFonts w:ascii="Times New Roman" w:eastAsia="仿宋" w:hAnsi="Times New Roman" w:cs="Times New Roman"/>
                <w:color w:val="000000"/>
                <w:kern w:val="0"/>
                <w:sz w:val="28"/>
                <w:szCs w:val="28"/>
              </w:rPr>
              <w:t>3</w:t>
            </w:r>
            <w:r w:rsidRPr="000B7020">
              <w:rPr>
                <w:rFonts w:ascii="Times New Roman" w:eastAsia="仿宋" w:hAnsi="Times New Roman" w:cs="Times New Roman"/>
                <w:color w:val="000000"/>
                <w:kern w:val="0"/>
                <w:sz w:val="28"/>
                <w:szCs w:val="28"/>
              </w:rPr>
              <w:t>月</w:t>
            </w:r>
          </w:p>
        </w:tc>
        <w:tc>
          <w:tcPr>
            <w:tcW w:w="5968" w:type="dxa"/>
            <w:shd w:val="clear" w:color="auto" w:fill="auto"/>
            <w:noWrap/>
            <w:vAlign w:val="center"/>
            <w:hideMark/>
          </w:tcPr>
          <w:p w:rsidR="001D56C0" w:rsidRPr="000B7020" w:rsidRDefault="001D56C0" w:rsidP="00FD76D7">
            <w:pPr>
              <w:widowControl/>
              <w:spacing w:line="560" w:lineRule="exact"/>
              <w:jc w:val="center"/>
              <w:rPr>
                <w:rFonts w:ascii="Times New Roman" w:eastAsia="仿宋" w:hAnsi="Times New Roman" w:cs="Times New Roman"/>
                <w:color w:val="000000"/>
                <w:kern w:val="0"/>
                <w:sz w:val="28"/>
                <w:szCs w:val="28"/>
              </w:rPr>
            </w:pPr>
            <w:r w:rsidRPr="000B7020">
              <w:rPr>
                <w:rFonts w:ascii="Times New Roman" w:eastAsia="仿宋" w:hAnsi="Times New Roman" w:cs="Times New Roman"/>
                <w:color w:val="000000"/>
                <w:kern w:val="0"/>
                <w:sz w:val="28"/>
                <w:szCs w:val="28"/>
              </w:rPr>
              <w:t>第二个星期五收盘后的下一个</w:t>
            </w:r>
            <w:r w:rsidR="00FD76D7">
              <w:rPr>
                <w:rFonts w:ascii="Times New Roman" w:eastAsia="仿宋" w:hAnsi="Times New Roman" w:cs="Times New Roman" w:hint="eastAsia"/>
                <w:color w:val="000000"/>
                <w:kern w:val="0"/>
                <w:sz w:val="28"/>
                <w:szCs w:val="28"/>
              </w:rPr>
              <w:t>交易</w:t>
            </w:r>
            <w:r w:rsidRPr="000B7020">
              <w:rPr>
                <w:rFonts w:ascii="Times New Roman" w:eastAsia="仿宋" w:hAnsi="Times New Roman" w:cs="Times New Roman"/>
                <w:color w:val="000000"/>
                <w:kern w:val="0"/>
                <w:sz w:val="28"/>
                <w:szCs w:val="28"/>
              </w:rPr>
              <w:t>日</w:t>
            </w:r>
          </w:p>
        </w:tc>
      </w:tr>
      <w:tr w:rsidR="001D56C0" w:rsidRPr="000B7020" w:rsidTr="000B7020">
        <w:trPr>
          <w:trHeight w:val="261"/>
        </w:trPr>
        <w:tc>
          <w:tcPr>
            <w:tcW w:w="2992" w:type="dxa"/>
            <w:shd w:val="clear" w:color="auto" w:fill="auto"/>
            <w:noWrap/>
            <w:vAlign w:val="center"/>
            <w:hideMark/>
          </w:tcPr>
          <w:p w:rsidR="001D56C0" w:rsidRPr="000B7020" w:rsidRDefault="001D56C0" w:rsidP="00070C3D">
            <w:pPr>
              <w:widowControl/>
              <w:spacing w:line="560" w:lineRule="exact"/>
              <w:jc w:val="center"/>
              <w:rPr>
                <w:rFonts w:ascii="Times New Roman" w:eastAsia="仿宋" w:hAnsi="Times New Roman" w:cs="Times New Roman"/>
                <w:color w:val="000000"/>
                <w:kern w:val="0"/>
                <w:sz w:val="28"/>
                <w:szCs w:val="28"/>
              </w:rPr>
            </w:pPr>
            <w:r w:rsidRPr="000B7020">
              <w:rPr>
                <w:rFonts w:ascii="Times New Roman" w:eastAsia="仿宋" w:hAnsi="Times New Roman" w:cs="Times New Roman"/>
                <w:color w:val="000000"/>
                <w:kern w:val="0"/>
                <w:sz w:val="28"/>
                <w:szCs w:val="28"/>
              </w:rPr>
              <w:t>6</w:t>
            </w:r>
            <w:r w:rsidRPr="000B7020">
              <w:rPr>
                <w:rFonts w:ascii="Times New Roman" w:eastAsia="仿宋" w:hAnsi="Times New Roman" w:cs="Times New Roman"/>
                <w:color w:val="000000"/>
                <w:kern w:val="0"/>
                <w:sz w:val="28"/>
                <w:szCs w:val="28"/>
              </w:rPr>
              <w:t>月</w:t>
            </w:r>
          </w:p>
        </w:tc>
        <w:tc>
          <w:tcPr>
            <w:tcW w:w="5968" w:type="dxa"/>
            <w:shd w:val="clear" w:color="auto" w:fill="auto"/>
            <w:noWrap/>
            <w:vAlign w:val="center"/>
            <w:hideMark/>
          </w:tcPr>
          <w:p w:rsidR="001D56C0" w:rsidRPr="000B7020" w:rsidRDefault="001D56C0">
            <w:pPr>
              <w:widowControl/>
              <w:spacing w:line="560" w:lineRule="exact"/>
              <w:jc w:val="center"/>
              <w:rPr>
                <w:rFonts w:ascii="Times New Roman" w:eastAsia="仿宋" w:hAnsi="Times New Roman" w:cs="Times New Roman"/>
                <w:color w:val="000000"/>
                <w:kern w:val="0"/>
                <w:sz w:val="28"/>
                <w:szCs w:val="28"/>
              </w:rPr>
            </w:pPr>
            <w:r w:rsidRPr="000B7020">
              <w:rPr>
                <w:rFonts w:ascii="Times New Roman" w:eastAsia="仿宋" w:hAnsi="Times New Roman" w:cs="Times New Roman"/>
                <w:color w:val="000000"/>
                <w:kern w:val="0"/>
                <w:sz w:val="28"/>
                <w:szCs w:val="28"/>
              </w:rPr>
              <w:t>第二个星期五收盘后的下一个</w:t>
            </w:r>
            <w:r w:rsidR="00FD76D7">
              <w:rPr>
                <w:rFonts w:ascii="Times New Roman" w:eastAsia="仿宋" w:hAnsi="Times New Roman" w:cs="Times New Roman" w:hint="eastAsia"/>
                <w:color w:val="000000"/>
                <w:kern w:val="0"/>
                <w:sz w:val="28"/>
                <w:szCs w:val="28"/>
              </w:rPr>
              <w:t>交易</w:t>
            </w:r>
            <w:r w:rsidRPr="000B7020">
              <w:rPr>
                <w:rFonts w:ascii="Times New Roman" w:eastAsia="仿宋" w:hAnsi="Times New Roman" w:cs="Times New Roman"/>
                <w:color w:val="000000"/>
                <w:kern w:val="0"/>
                <w:sz w:val="28"/>
                <w:szCs w:val="28"/>
              </w:rPr>
              <w:t>日</w:t>
            </w:r>
          </w:p>
        </w:tc>
      </w:tr>
      <w:tr w:rsidR="001D56C0" w:rsidRPr="000B7020" w:rsidTr="000B7020">
        <w:trPr>
          <w:trHeight w:val="261"/>
        </w:trPr>
        <w:tc>
          <w:tcPr>
            <w:tcW w:w="2992" w:type="dxa"/>
            <w:shd w:val="clear" w:color="auto" w:fill="auto"/>
            <w:noWrap/>
            <w:vAlign w:val="center"/>
            <w:hideMark/>
          </w:tcPr>
          <w:p w:rsidR="001D56C0" w:rsidRPr="000B7020" w:rsidRDefault="001D56C0" w:rsidP="00070C3D">
            <w:pPr>
              <w:widowControl/>
              <w:spacing w:line="560" w:lineRule="exact"/>
              <w:jc w:val="center"/>
              <w:rPr>
                <w:rFonts w:ascii="Times New Roman" w:eastAsia="仿宋" w:hAnsi="Times New Roman" w:cs="Times New Roman"/>
                <w:color w:val="000000"/>
                <w:kern w:val="0"/>
                <w:sz w:val="28"/>
                <w:szCs w:val="28"/>
              </w:rPr>
            </w:pPr>
            <w:r w:rsidRPr="000B7020">
              <w:rPr>
                <w:rFonts w:ascii="Times New Roman" w:eastAsia="仿宋" w:hAnsi="Times New Roman" w:cs="Times New Roman"/>
                <w:color w:val="000000"/>
                <w:kern w:val="0"/>
                <w:sz w:val="28"/>
                <w:szCs w:val="28"/>
              </w:rPr>
              <w:t>9</w:t>
            </w:r>
            <w:r w:rsidRPr="000B7020">
              <w:rPr>
                <w:rFonts w:ascii="Times New Roman" w:eastAsia="仿宋" w:hAnsi="Times New Roman" w:cs="Times New Roman"/>
                <w:color w:val="000000"/>
                <w:kern w:val="0"/>
                <w:sz w:val="28"/>
                <w:szCs w:val="28"/>
              </w:rPr>
              <w:t>月</w:t>
            </w:r>
          </w:p>
        </w:tc>
        <w:tc>
          <w:tcPr>
            <w:tcW w:w="5968" w:type="dxa"/>
            <w:shd w:val="clear" w:color="auto" w:fill="auto"/>
            <w:noWrap/>
            <w:vAlign w:val="center"/>
            <w:hideMark/>
          </w:tcPr>
          <w:p w:rsidR="001D56C0" w:rsidRPr="000B7020" w:rsidRDefault="001D56C0">
            <w:pPr>
              <w:widowControl/>
              <w:spacing w:line="560" w:lineRule="exact"/>
              <w:jc w:val="center"/>
              <w:rPr>
                <w:rFonts w:ascii="Times New Roman" w:eastAsia="仿宋" w:hAnsi="Times New Roman" w:cs="Times New Roman"/>
                <w:color w:val="000000"/>
                <w:kern w:val="0"/>
                <w:sz w:val="28"/>
                <w:szCs w:val="28"/>
              </w:rPr>
            </w:pPr>
            <w:r w:rsidRPr="000B7020">
              <w:rPr>
                <w:rFonts w:ascii="Times New Roman" w:eastAsia="仿宋" w:hAnsi="Times New Roman" w:cs="Times New Roman"/>
                <w:color w:val="000000"/>
                <w:kern w:val="0"/>
                <w:sz w:val="28"/>
                <w:szCs w:val="28"/>
              </w:rPr>
              <w:t>第二个星期五收盘后的下一个</w:t>
            </w:r>
            <w:r w:rsidR="00FD76D7">
              <w:rPr>
                <w:rFonts w:ascii="Times New Roman" w:eastAsia="仿宋" w:hAnsi="Times New Roman" w:cs="Times New Roman" w:hint="eastAsia"/>
                <w:color w:val="000000"/>
                <w:kern w:val="0"/>
                <w:sz w:val="28"/>
                <w:szCs w:val="28"/>
              </w:rPr>
              <w:t>交易</w:t>
            </w:r>
            <w:r w:rsidRPr="000B7020">
              <w:rPr>
                <w:rFonts w:ascii="Times New Roman" w:eastAsia="仿宋" w:hAnsi="Times New Roman" w:cs="Times New Roman"/>
                <w:color w:val="000000"/>
                <w:kern w:val="0"/>
                <w:sz w:val="28"/>
                <w:szCs w:val="28"/>
              </w:rPr>
              <w:t>日</w:t>
            </w:r>
          </w:p>
        </w:tc>
      </w:tr>
      <w:tr w:rsidR="001D56C0" w:rsidRPr="000B7020" w:rsidTr="000B7020">
        <w:trPr>
          <w:trHeight w:val="261"/>
        </w:trPr>
        <w:tc>
          <w:tcPr>
            <w:tcW w:w="2992" w:type="dxa"/>
            <w:shd w:val="clear" w:color="auto" w:fill="auto"/>
            <w:noWrap/>
            <w:vAlign w:val="center"/>
            <w:hideMark/>
          </w:tcPr>
          <w:p w:rsidR="001D56C0" w:rsidRPr="000B7020" w:rsidRDefault="001D56C0" w:rsidP="00070C3D">
            <w:pPr>
              <w:widowControl/>
              <w:spacing w:line="560" w:lineRule="exact"/>
              <w:jc w:val="center"/>
              <w:rPr>
                <w:rFonts w:ascii="Times New Roman" w:eastAsia="仿宋" w:hAnsi="Times New Roman" w:cs="Times New Roman"/>
                <w:color w:val="000000"/>
                <w:kern w:val="0"/>
                <w:sz w:val="28"/>
                <w:szCs w:val="28"/>
              </w:rPr>
            </w:pPr>
            <w:r w:rsidRPr="000B7020">
              <w:rPr>
                <w:rFonts w:ascii="Times New Roman" w:eastAsia="仿宋" w:hAnsi="Times New Roman" w:cs="Times New Roman"/>
                <w:color w:val="000000"/>
                <w:kern w:val="0"/>
                <w:sz w:val="28"/>
                <w:szCs w:val="28"/>
              </w:rPr>
              <w:t>12</w:t>
            </w:r>
            <w:r w:rsidRPr="000B7020">
              <w:rPr>
                <w:rFonts w:ascii="Times New Roman" w:eastAsia="仿宋" w:hAnsi="Times New Roman" w:cs="Times New Roman"/>
                <w:color w:val="000000"/>
                <w:kern w:val="0"/>
                <w:sz w:val="28"/>
                <w:szCs w:val="28"/>
              </w:rPr>
              <w:t>月</w:t>
            </w:r>
          </w:p>
        </w:tc>
        <w:tc>
          <w:tcPr>
            <w:tcW w:w="5968" w:type="dxa"/>
            <w:shd w:val="clear" w:color="auto" w:fill="auto"/>
            <w:noWrap/>
            <w:vAlign w:val="center"/>
            <w:hideMark/>
          </w:tcPr>
          <w:p w:rsidR="001D56C0" w:rsidRPr="000B7020" w:rsidRDefault="001D56C0">
            <w:pPr>
              <w:widowControl/>
              <w:spacing w:line="560" w:lineRule="exact"/>
              <w:jc w:val="center"/>
              <w:rPr>
                <w:rFonts w:ascii="Times New Roman" w:eastAsia="仿宋" w:hAnsi="Times New Roman" w:cs="Times New Roman"/>
                <w:color w:val="000000"/>
                <w:kern w:val="0"/>
                <w:sz w:val="28"/>
                <w:szCs w:val="28"/>
              </w:rPr>
            </w:pPr>
            <w:r w:rsidRPr="000B7020">
              <w:rPr>
                <w:rFonts w:ascii="Times New Roman" w:eastAsia="仿宋" w:hAnsi="Times New Roman" w:cs="Times New Roman"/>
                <w:color w:val="000000"/>
                <w:kern w:val="0"/>
                <w:sz w:val="28"/>
                <w:szCs w:val="28"/>
              </w:rPr>
              <w:t>第二个星期五收盘后的下一个</w:t>
            </w:r>
            <w:r w:rsidR="00FD76D7">
              <w:rPr>
                <w:rFonts w:ascii="Times New Roman" w:eastAsia="仿宋" w:hAnsi="Times New Roman" w:cs="Times New Roman" w:hint="eastAsia"/>
                <w:color w:val="000000"/>
                <w:kern w:val="0"/>
                <w:sz w:val="28"/>
                <w:szCs w:val="28"/>
              </w:rPr>
              <w:t>交易</w:t>
            </w:r>
            <w:r w:rsidRPr="000B7020">
              <w:rPr>
                <w:rFonts w:ascii="Times New Roman" w:eastAsia="仿宋" w:hAnsi="Times New Roman" w:cs="Times New Roman"/>
                <w:color w:val="000000"/>
                <w:kern w:val="0"/>
                <w:sz w:val="28"/>
                <w:szCs w:val="28"/>
              </w:rPr>
              <w:t>日</w:t>
            </w:r>
          </w:p>
        </w:tc>
      </w:tr>
    </w:tbl>
    <w:p w:rsidR="001D56C0" w:rsidRPr="000B7020" w:rsidRDefault="001D56C0" w:rsidP="00070C3D">
      <w:pPr>
        <w:spacing w:line="560" w:lineRule="exact"/>
        <w:rPr>
          <w:rFonts w:ascii="Times New Roman" w:eastAsia="仿宋" w:hAnsi="Times New Roman" w:cs="Times New Roman"/>
          <w:b/>
          <w:sz w:val="30"/>
          <w:szCs w:val="30"/>
        </w:rPr>
      </w:pPr>
    </w:p>
    <w:p w:rsidR="001D56C0" w:rsidRPr="000B7020" w:rsidRDefault="001D56C0" w:rsidP="001D56C0">
      <w:pPr>
        <w:rPr>
          <w:rFonts w:ascii="Times New Roman" w:eastAsia="仿宋" w:hAnsi="Times New Roman" w:cs="Times New Roman"/>
          <w:b/>
          <w:sz w:val="30"/>
          <w:szCs w:val="30"/>
        </w:rPr>
      </w:pPr>
    </w:p>
    <w:p w:rsidR="000B7020" w:rsidRPr="000B7020" w:rsidRDefault="000B7020">
      <w:pPr>
        <w:rPr>
          <w:rFonts w:ascii="Times New Roman" w:hAnsi="Times New Roman" w:cs="Times New Roman"/>
        </w:rPr>
      </w:pPr>
    </w:p>
    <w:sectPr w:rsidR="000B7020" w:rsidRPr="000B70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B05" w:rsidRDefault="00616B05" w:rsidP="001D56C0">
      <w:r>
        <w:separator/>
      </w:r>
    </w:p>
  </w:endnote>
  <w:endnote w:type="continuationSeparator" w:id="0">
    <w:p w:rsidR="00616B05" w:rsidRDefault="00616B05" w:rsidP="001D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仿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B05" w:rsidRDefault="00616B05" w:rsidP="001D56C0">
      <w:r>
        <w:separator/>
      </w:r>
    </w:p>
  </w:footnote>
  <w:footnote w:type="continuationSeparator" w:id="0">
    <w:p w:rsidR="00616B05" w:rsidRDefault="00616B05" w:rsidP="001D5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DA6CE838"/>
    <w:lvl w:ilvl="0">
      <w:start w:val="1"/>
      <w:numFmt w:val="chineseCountingThousand"/>
      <w:lvlText w:val="%1、"/>
      <w:lvlJc w:val="left"/>
      <w:pPr>
        <w:tabs>
          <w:tab w:val="num" w:pos="420"/>
        </w:tabs>
        <w:ind w:left="420" w:hanging="420"/>
      </w:pPr>
      <w:rPr>
        <w:rFonts w:ascii="仿宋_GB2312" w:eastAsia="仿宋_GB2312" w:hint="eastAsia"/>
        <w:b/>
        <w:lang w:val="en-US"/>
      </w:rPr>
    </w:lvl>
    <w:lvl w:ilvl="1">
      <w:start w:val="1"/>
      <w:numFmt w:val="decimal"/>
      <w:lvlText w:val="%2、"/>
      <w:lvlJc w:val="left"/>
      <w:pPr>
        <w:tabs>
          <w:tab w:val="num" w:pos="1140"/>
        </w:tabs>
        <w:ind w:left="1140" w:hanging="720"/>
      </w:pPr>
      <w:rPr>
        <w:rFonts w:ascii="Times New Roman" w:eastAsia="宋体" w:hAnsi="Times New Roman"/>
      </w:rPr>
    </w:lvl>
    <w:lvl w:ilvl="2">
      <w:start w:val="1"/>
      <w:numFmt w:val="lowerRoman"/>
      <w:lvlText w:val="%3."/>
      <w:lvlJc w:val="right"/>
      <w:pPr>
        <w:tabs>
          <w:tab w:val="num" w:pos="1260"/>
        </w:tabs>
        <w:ind w:left="1260" w:hanging="420"/>
      </w:pPr>
    </w:lvl>
    <w:lvl w:ilvl="3">
      <w:start w:val="1"/>
      <w:numFmt w:val="decimal"/>
      <w:lvlText w:val="%4."/>
      <w:lvlJc w:val="left"/>
      <w:pPr>
        <w:tabs>
          <w:tab w:val="num" w:pos="960"/>
        </w:tabs>
        <w:ind w:left="96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37D0E6E"/>
    <w:multiLevelType w:val="hybridMultilevel"/>
    <w:tmpl w:val="ABCC3D5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5B6F020A"/>
    <w:multiLevelType w:val="multilevel"/>
    <w:tmpl w:val="F9668234"/>
    <w:lvl w:ilvl="0">
      <w:start w:val="1"/>
      <w:numFmt w:val="bullet"/>
      <w:lvlText w:val=""/>
      <w:lvlJc w:val="left"/>
      <w:pPr>
        <w:tabs>
          <w:tab w:val="num" w:pos="840"/>
        </w:tabs>
        <w:ind w:left="840" w:hanging="420"/>
      </w:pPr>
      <w:rPr>
        <w:rFonts w:ascii="Wingdings" w:hAnsi="Wingdings" w:hint="default"/>
        <w:b/>
        <w:sz w:val="18"/>
        <w:szCs w:val="18"/>
        <w:lang w:val="en-US"/>
      </w:rPr>
    </w:lvl>
    <w:lvl w:ilvl="1">
      <w:start w:val="1"/>
      <w:numFmt w:val="decimal"/>
      <w:lvlText w:val="%2、"/>
      <w:lvlJc w:val="left"/>
      <w:pPr>
        <w:tabs>
          <w:tab w:val="num" w:pos="1560"/>
        </w:tabs>
        <w:ind w:left="1560" w:hanging="720"/>
      </w:pPr>
      <w:rPr>
        <w:rFonts w:ascii="Times New Roman" w:eastAsia="宋体" w:hAnsi="Times New Roman"/>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98"/>
    <w:rsid w:val="00070C3D"/>
    <w:rsid w:val="00073B98"/>
    <w:rsid w:val="000B7020"/>
    <w:rsid w:val="000D45F0"/>
    <w:rsid w:val="000F2C48"/>
    <w:rsid w:val="00127FF6"/>
    <w:rsid w:val="001D56C0"/>
    <w:rsid w:val="002502ED"/>
    <w:rsid w:val="00257D52"/>
    <w:rsid w:val="002F5764"/>
    <w:rsid w:val="00306B87"/>
    <w:rsid w:val="0037363A"/>
    <w:rsid w:val="003E1019"/>
    <w:rsid w:val="004F2E2A"/>
    <w:rsid w:val="00534D98"/>
    <w:rsid w:val="00596C74"/>
    <w:rsid w:val="005F184A"/>
    <w:rsid w:val="00614191"/>
    <w:rsid w:val="00616B05"/>
    <w:rsid w:val="00625D16"/>
    <w:rsid w:val="00627731"/>
    <w:rsid w:val="00663465"/>
    <w:rsid w:val="006A423E"/>
    <w:rsid w:val="006C643A"/>
    <w:rsid w:val="008C7FB9"/>
    <w:rsid w:val="00992102"/>
    <w:rsid w:val="009D4710"/>
    <w:rsid w:val="009F19C1"/>
    <w:rsid w:val="00A81FF4"/>
    <w:rsid w:val="00AA1E8A"/>
    <w:rsid w:val="00AB5976"/>
    <w:rsid w:val="00AD67F7"/>
    <w:rsid w:val="00B145BD"/>
    <w:rsid w:val="00B31E78"/>
    <w:rsid w:val="00B532A3"/>
    <w:rsid w:val="00BD62BD"/>
    <w:rsid w:val="00C337B3"/>
    <w:rsid w:val="00CC4A86"/>
    <w:rsid w:val="00D7499F"/>
    <w:rsid w:val="00D976DD"/>
    <w:rsid w:val="00DA23C4"/>
    <w:rsid w:val="00E50470"/>
    <w:rsid w:val="00E72048"/>
    <w:rsid w:val="00EF5FA7"/>
    <w:rsid w:val="00FC09B0"/>
    <w:rsid w:val="00FD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B216A-0980-420E-B1BE-D4D1F0A0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6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56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56C0"/>
    <w:rPr>
      <w:sz w:val="18"/>
      <w:szCs w:val="18"/>
    </w:rPr>
  </w:style>
  <w:style w:type="paragraph" w:styleId="a4">
    <w:name w:val="footer"/>
    <w:basedOn w:val="a"/>
    <w:link w:val="Char0"/>
    <w:uiPriority w:val="99"/>
    <w:unhideWhenUsed/>
    <w:rsid w:val="001D56C0"/>
    <w:pPr>
      <w:tabs>
        <w:tab w:val="center" w:pos="4153"/>
        <w:tab w:val="right" w:pos="8306"/>
      </w:tabs>
      <w:snapToGrid w:val="0"/>
      <w:jc w:val="left"/>
    </w:pPr>
    <w:rPr>
      <w:sz w:val="18"/>
      <w:szCs w:val="18"/>
    </w:rPr>
  </w:style>
  <w:style w:type="character" w:customStyle="1" w:styleId="Char0">
    <w:name w:val="页脚 Char"/>
    <w:basedOn w:val="a0"/>
    <w:link w:val="a4"/>
    <w:uiPriority w:val="99"/>
    <w:rsid w:val="001D56C0"/>
    <w:rPr>
      <w:sz w:val="18"/>
      <w:szCs w:val="18"/>
    </w:rPr>
  </w:style>
  <w:style w:type="paragraph" w:styleId="a5">
    <w:name w:val="List Paragraph"/>
    <w:basedOn w:val="a"/>
    <w:uiPriority w:val="34"/>
    <w:qFormat/>
    <w:rsid w:val="001D56C0"/>
    <w:pPr>
      <w:ind w:firstLineChars="200" w:firstLine="420"/>
    </w:pPr>
  </w:style>
  <w:style w:type="paragraph" w:styleId="a6">
    <w:name w:val="Balloon Text"/>
    <w:basedOn w:val="a"/>
    <w:link w:val="Char1"/>
    <w:uiPriority w:val="99"/>
    <w:semiHidden/>
    <w:unhideWhenUsed/>
    <w:rsid w:val="00AA1E8A"/>
    <w:rPr>
      <w:sz w:val="18"/>
      <w:szCs w:val="18"/>
    </w:rPr>
  </w:style>
  <w:style w:type="character" w:customStyle="1" w:styleId="Char1">
    <w:name w:val="批注框文本 Char"/>
    <w:basedOn w:val="a0"/>
    <w:link w:val="a6"/>
    <w:uiPriority w:val="99"/>
    <w:semiHidden/>
    <w:rsid w:val="00AA1E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2015-02-11T11:36:00Z</dcterms:created>
  <dcterms:modified xsi:type="dcterms:W3CDTF">2020-03-26T03:12:00Z</dcterms:modified>
</cp:coreProperties>
</file>