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="00B474A7">
        <w:rPr>
          <w:rFonts w:ascii="Times New Roman" w:eastAsia="方正大标宋简体" w:hAnsi="Times New Roman" w:cs="Times New Roman"/>
          <w:color w:val="000000"/>
          <w:sz w:val="44"/>
          <w:szCs w:val="42"/>
        </w:rPr>
        <w:t>9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CA12F8">
        <w:rPr>
          <w:rFonts w:ascii="Times New Roman" w:eastAsia="方正大标宋简体" w:hAnsi="Times New Roman" w:cs="Times New Roman"/>
          <w:color w:val="000000"/>
          <w:sz w:val="44"/>
          <w:szCs w:val="42"/>
        </w:rPr>
        <w:t>2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CA12F8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3B091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CA12F8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86.20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CA12F8" w:rsidRPr="005130FD" w:rsidTr="00CA12F8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CA12F8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CA12F8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 w:rsidR="00B474A7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CA12F8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CA12F8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 w:rsidR="00CA12F8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BF343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CA12F8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79*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CA12F8" w:rsidRPr="005130FD" w:rsidTr="00CA12F8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A12F8" w:rsidRDefault="00CA12F8" w:rsidP="00CA1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CA12F8">
        <w:rPr>
          <w:rFonts w:ascii="Times New Roman" w:eastAsia="楷体" w:hAnsi="Times New Roman" w:cs="Times New Roman"/>
          <w:sz w:val="24"/>
          <w:szCs w:val="24"/>
        </w:rPr>
        <w:t>9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CA12F8">
        <w:rPr>
          <w:rFonts w:ascii="Times New Roman" w:eastAsia="楷体" w:hAnsi="Times New Roman" w:cs="Times New Roman"/>
          <w:sz w:val="24"/>
          <w:szCs w:val="24"/>
        </w:rPr>
        <w:t>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BF343B" w:rsidRDefault="00B81BCC">
      <w:pPr>
        <w:rPr>
          <w:rFonts w:ascii="Times New Roman" w:hAnsi="Times New Roman" w:cs="Times New Roman"/>
        </w:rPr>
      </w:pPr>
    </w:p>
    <w:sectPr w:rsidR="00B81BCC" w:rsidRPr="00BF343B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12" w:rsidRDefault="003B0912" w:rsidP="00FE3F47">
      <w:r>
        <w:separator/>
      </w:r>
    </w:p>
  </w:endnote>
  <w:endnote w:type="continuationSeparator" w:id="0">
    <w:p w:rsidR="003B0912" w:rsidRDefault="003B0912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CA12F8">
          <w:rPr>
            <w:rFonts w:ascii="宋体" w:eastAsia="宋体" w:hAnsi="宋体"/>
            <w:noProof/>
            <w:sz w:val="28"/>
          </w:rPr>
          <w:t>- 10 -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CA12F8" w:rsidRPr="00CA12F8">
          <w:rPr>
            <w:rFonts w:ascii="宋体" w:eastAsia="宋体" w:hAnsi="宋体"/>
            <w:noProof/>
            <w:sz w:val="28"/>
            <w:lang w:val="zh-CN"/>
          </w:rPr>
          <w:t>-</w:t>
        </w:r>
        <w:r w:rsidR="00CA12F8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12" w:rsidRDefault="003B0912" w:rsidP="00FE3F47">
      <w:r>
        <w:separator/>
      </w:r>
    </w:p>
  </w:footnote>
  <w:footnote w:type="continuationSeparator" w:id="0">
    <w:p w:rsidR="003B0912" w:rsidRDefault="003B0912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91D87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0912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100F1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6167"/>
    <w:rsid w:val="00A77669"/>
    <w:rsid w:val="00AA4432"/>
    <w:rsid w:val="00AC624E"/>
    <w:rsid w:val="00AD3EB1"/>
    <w:rsid w:val="00AF694C"/>
    <w:rsid w:val="00B06FBC"/>
    <w:rsid w:val="00B3318F"/>
    <w:rsid w:val="00B37607"/>
    <w:rsid w:val="00B474A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BF343B"/>
    <w:rsid w:val="00C01A4E"/>
    <w:rsid w:val="00C054E6"/>
    <w:rsid w:val="00C26464"/>
    <w:rsid w:val="00C3180E"/>
    <w:rsid w:val="00C613E9"/>
    <w:rsid w:val="00C80533"/>
    <w:rsid w:val="00C9651F"/>
    <w:rsid w:val="00CA12F8"/>
    <w:rsid w:val="00CB5BB4"/>
    <w:rsid w:val="00CE0EAF"/>
    <w:rsid w:val="00CE5221"/>
    <w:rsid w:val="00CF6151"/>
    <w:rsid w:val="00D00C55"/>
    <w:rsid w:val="00D3460A"/>
    <w:rsid w:val="00D60DF3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A8BA-99C0-4E0D-8F93-3663E2FD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2657</Words>
  <Characters>15150</Characters>
  <Application>Microsoft Office Word</Application>
  <DocSecurity>0</DocSecurity>
  <Lines>126</Lines>
  <Paragraphs>35</Paragraphs>
  <ScaleCrop>false</ScaleCrop>
  <Company/>
  <LinksUpToDate>false</LinksUpToDate>
  <CharactersWithSpaces>17772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105</cp:revision>
  <cp:lastPrinted>2016-07-06T06:19:00Z</cp:lastPrinted>
  <dcterms:created xsi:type="dcterms:W3CDTF">2016-11-09T07:15:00Z</dcterms:created>
  <dcterms:modified xsi:type="dcterms:W3CDTF">2019-03-08T06:48:00Z</dcterms:modified>
</cp:coreProperties>
</file>