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Pr="00F42602" w:rsidRDefault="000544EE" w:rsidP="00F42602">
      <w:pPr>
        <w:pStyle w:val="1"/>
        <w:numPr>
          <w:ilvl w:val="0"/>
          <w:numId w:val="0"/>
        </w:numPr>
        <w:spacing w:line="240" w:lineRule="auto"/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</w:pPr>
      <w:r w:rsidRPr="00F42602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附件</w:t>
      </w:r>
      <w:r w:rsidR="00F42602" w:rsidRPr="00F42602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1-</w:t>
      </w:r>
      <w:r w:rsidR="003C0D19" w:rsidRPr="00F42602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2</w:t>
      </w:r>
    </w:p>
    <w:p w:rsidR="00F42602" w:rsidRPr="00F42602" w:rsidRDefault="00F42602" w:rsidP="00F42602">
      <w:pPr>
        <w:rPr>
          <w:rFonts w:ascii="Times New Roman" w:eastAsia="方正仿宋简体" w:hAnsi="Times New Roman" w:cs="Times New Roman"/>
        </w:rPr>
      </w:pPr>
    </w:p>
    <w:p w:rsidR="00186804" w:rsidRDefault="000544EE" w:rsidP="00186804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621CEE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75F16" w:rsidRPr="00621CEE">
        <w:rPr>
          <w:rFonts w:ascii="方正大标宋简体" w:eastAsia="方正大标宋简体" w:hint="eastAsia"/>
          <w:sz w:val="42"/>
          <w:szCs w:val="42"/>
        </w:rPr>
        <w:t>行情授权</w:t>
      </w:r>
    </w:p>
    <w:p w:rsidR="000544EE" w:rsidRPr="00621CEE" w:rsidRDefault="003C0D19" w:rsidP="00186804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bookmarkStart w:id="0" w:name="_GoBack"/>
      <w:bookmarkEnd w:id="0"/>
      <w:r w:rsidRPr="00621CEE">
        <w:rPr>
          <w:rFonts w:ascii="方正大标宋简体" w:eastAsia="方正大标宋简体"/>
          <w:sz w:val="42"/>
          <w:szCs w:val="42"/>
        </w:rPr>
        <w:t>第</w:t>
      </w:r>
      <w:r w:rsidR="00604CD0" w:rsidRPr="00621CEE">
        <w:rPr>
          <w:rFonts w:ascii="方正大标宋简体" w:eastAsia="方正大标宋简体" w:hint="eastAsia"/>
          <w:sz w:val="42"/>
          <w:szCs w:val="42"/>
        </w:rPr>
        <w:t>一次全网</w:t>
      </w:r>
      <w:r w:rsidR="000544EE" w:rsidRPr="00621CEE">
        <w:rPr>
          <w:rFonts w:ascii="方正大标宋简体" w:eastAsia="方正大标宋简体" w:hint="eastAsia"/>
          <w:sz w:val="42"/>
          <w:szCs w:val="42"/>
        </w:rPr>
        <w:t>测试报告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98306A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3C0D19"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604CD0">
              <w:rPr>
                <w:rFonts w:ascii="宋体" w:hAnsi="宋体"/>
                <w:color w:val="000000"/>
                <w:szCs w:val="21"/>
              </w:rPr>
              <w:t>18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0544EE" w:rsidRPr="009437F9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填写授权</w:t>
            </w:r>
            <w:r>
              <w:rPr>
                <w:rFonts w:ascii="宋体" w:hAnsi="宋体" w:hint="eastAsia"/>
                <w:color w:val="000000"/>
                <w:szCs w:val="21"/>
              </w:rPr>
              <w:t>ID无法启动</w:t>
            </w:r>
            <w:r>
              <w:rPr>
                <w:rFonts w:ascii="宋体" w:hAnsi="宋体"/>
                <w:color w:val="000000"/>
                <w:szCs w:val="21"/>
              </w:rPr>
              <w:t>行情网关：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  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授权ID有效</w:t>
            </w:r>
            <w:r>
              <w:rPr>
                <w:rFonts w:ascii="宋体" w:hAnsi="宋体"/>
                <w:color w:val="000000"/>
                <w:szCs w:val="21"/>
              </w:rPr>
              <w:t>时能正常开启行情网关并接收行情：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</w:t>
            </w:r>
            <w:r w:rsidR="005502F2">
              <w:rPr>
                <w:rFonts w:ascii="宋体" w:hAnsi="宋体" w:hint="eastAsia"/>
                <w:color w:val="000000"/>
                <w:szCs w:val="21"/>
              </w:rPr>
              <w:t>被禁用</w:t>
            </w:r>
            <w:r>
              <w:rPr>
                <w:rFonts w:ascii="宋体" w:hAnsi="宋体"/>
                <w:color w:val="000000"/>
                <w:szCs w:val="21"/>
              </w:rPr>
              <w:t>时启动行情网关即提示错误信息并</w:t>
            </w:r>
            <w:r>
              <w:rPr>
                <w:rFonts w:ascii="宋体" w:hAnsi="宋体" w:hint="eastAsia"/>
                <w:color w:val="000000"/>
                <w:szCs w:val="21"/>
              </w:rPr>
              <w:t>关闭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0544EE" w:rsidRDefault="000544EE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3230F" w:rsidRDefault="00C778C6" w:rsidP="00C778C6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连接</w:t>
            </w:r>
            <w:r>
              <w:rPr>
                <w:rFonts w:ascii="宋体" w:hAnsi="宋体"/>
                <w:color w:val="000000"/>
                <w:szCs w:val="21"/>
              </w:rPr>
              <w:t>滨海的网关</w:t>
            </w:r>
            <w:r>
              <w:rPr>
                <w:rFonts w:ascii="宋体" w:hAnsi="宋体" w:hint="eastAsia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及时发现</w:t>
            </w:r>
            <w:r>
              <w:rPr>
                <w:rFonts w:ascii="宋体" w:hAnsi="宋体" w:hint="eastAsia"/>
                <w:color w:val="000000"/>
                <w:szCs w:val="21"/>
              </w:rPr>
              <w:t>滨海</w:t>
            </w:r>
            <w:r>
              <w:rPr>
                <w:rFonts w:ascii="宋体" w:hAnsi="宋体"/>
                <w:color w:val="000000"/>
                <w:szCs w:val="21"/>
              </w:rPr>
              <w:t>中心中断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/>
                <w:color w:val="000000"/>
                <w:szCs w:val="21"/>
              </w:rPr>
              <w:t>自动切换到福田中心</w:t>
            </w:r>
            <w:r w:rsidR="00F3230F">
              <w:rPr>
                <w:rFonts w:ascii="宋体" w:hAnsi="宋体"/>
                <w:color w:val="000000"/>
                <w:szCs w:val="21"/>
              </w:rPr>
              <w:t xml:space="preserve">   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C778C6" w:rsidRDefault="00C778C6" w:rsidP="00F3230F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3308B9" w:rsidRPr="00C26AFE" w:rsidRDefault="003308B9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C778C6">
              <w:rPr>
                <w:rFonts w:ascii="宋体" w:hAnsi="宋体" w:hint="eastAsia"/>
                <w:color w:val="000000"/>
                <w:szCs w:val="21"/>
              </w:rPr>
              <w:t>日终结算数据处理是否正常：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064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A1" w:rsidRDefault="008133A1" w:rsidP="00475F16">
      <w:r>
        <w:separator/>
      </w:r>
    </w:p>
  </w:endnote>
  <w:endnote w:type="continuationSeparator" w:id="0">
    <w:p w:rsidR="008133A1" w:rsidRDefault="008133A1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A1" w:rsidRDefault="008133A1" w:rsidP="00475F16">
      <w:r>
        <w:separator/>
      </w:r>
    </w:p>
  </w:footnote>
  <w:footnote w:type="continuationSeparator" w:id="0">
    <w:p w:rsidR="008133A1" w:rsidRDefault="008133A1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544EE"/>
    <w:rsid w:val="00186804"/>
    <w:rsid w:val="002325D2"/>
    <w:rsid w:val="002B6259"/>
    <w:rsid w:val="003308B9"/>
    <w:rsid w:val="003A05D3"/>
    <w:rsid w:val="003C0D19"/>
    <w:rsid w:val="00473E4F"/>
    <w:rsid w:val="00475F16"/>
    <w:rsid w:val="005502F2"/>
    <w:rsid w:val="00570484"/>
    <w:rsid w:val="00604CD0"/>
    <w:rsid w:val="00621CEE"/>
    <w:rsid w:val="0073299C"/>
    <w:rsid w:val="0077601B"/>
    <w:rsid w:val="008133A1"/>
    <w:rsid w:val="00832AE2"/>
    <w:rsid w:val="00897804"/>
    <w:rsid w:val="008C1A0C"/>
    <w:rsid w:val="0098306A"/>
    <w:rsid w:val="00AE5262"/>
    <w:rsid w:val="00B303FF"/>
    <w:rsid w:val="00B330A5"/>
    <w:rsid w:val="00C673CE"/>
    <w:rsid w:val="00C778C6"/>
    <w:rsid w:val="00D37BE4"/>
    <w:rsid w:val="00DA27E6"/>
    <w:rsid w:val="00E357F2"/>
    <w:rsid w:val="00E6090B"/>
    <w:rsid w:val="00F3230F"/>
    <w:rsid w:val="00F42602"/>
    <w:rsid w:val="00F95181"/>
    <w:rsid w:val="00FA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F4677-7869-4B9F-9568-C2C1B3B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文印室wys</cp:lastModifiedBy>
  <cp:revision>22</cp:revision>
  <dcterms:created xsi:type="dcterms:W3CDTF">2016-12-20T08:06:00Z</dcterms:created>
  <dcterms:modified xsi:type="dcterms:W3CDTF">2017-03-16T07:50:00Z</dcterms:modified>
</cp:coreProperties>
</file>